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Arial" w:cs="Arial" w:eastAsia="Arial" w:hAnsi="Arial"/>
          <w:sz w:val="18"/>
          <w:szCs w:val="18"/>
          <w:color w:val="auto"/>
        </w:rPr>
        <w:t>UNITED STATES</w:t>
      </w:r>
    </w:p>
    <w:p>
      <w:pPr>
        <w:spacing w:after="0" w:line="32"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SECURITIES AND EXCHANGE COMMISSION</w:t>
      </w:r>
    </w:p>
    <w:p>
      <w:pPr>
        <w:spacing w:after="0" w:line="27"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Washington, D.C. 20549</w:t>
      </w:r>
    </w:p>
    <w:p>
      <w:pPr>
        <w:spacing w:after="0" w:line="131" w:lineRule="exact"/>
        <w:rPr>
          <w:sz w:val="24"/>
          <w:szCs w:val="24"/>
          <w:color w:val="auto"/>
        </w:rPr>
      </w:pPr>
    </w:p>
    <w:p>
      <w:pPr>
        <w:ind w:left="4920"/>
        <w:spacing w:after="0"/>
        <w:rPr>
          <w:sz w:val="20"/>
          <w:szCs w:val="20"/>
          <w:color w:val="auto"/>
        </w:rPr>
      </w:pPr>
      <w:r>
        <w:rPr>
          <w:rFonts w:ascii="Arial" w:cs="Arial" w:eastAsia="Arial" w:hAnsi="Arial"/>
          <w:sz w:val="18"/>
          <w:szCs w:val="18"/>
          <w:color w:val="auto"/>
        </w:rPr>
        <w:t>SCHEDULE 14A</w:t>
      </w:r>
    </w:p>
    <w:p>
      <w:pPr>
        <w:spacing w:after="0" w:line="131"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Proxy Statement Pursuant to Section 14(a) of the</w:t>
      </w:r>
    </w:p>
    <w:p>
      <w:pPr>
        <w:spacing w:after="0" w:line="36"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Securities Exchange Act of 1934 (Amendment No. )</w:t>
      </w:r>
    </w:p>
    <w:p>
      <w:pPr>
        <w:spacing w:after="0" w:line="128" w:lineRule="exact"/>
        <w:rPr>
          <w:sz w:val="24"/>
          <w:szCs w:val="24"/>
          <w:color w:val="auto"/>
        </w:rPr>
      </w:pPr>
    </w:p>
    <w:p>
      <w:pPr>
        <w:spacing w:after="0" w:line="242" w:lineRule="exact"/>
        <w:tabs>
          <w:tab w:leader="none" w:pos="440" w:val="left"/>
          <w:tab w:leader="none" w:pos="5580" w:val="left"/>
          <w:tab w:leader="none" w:pos="604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ab/>
        <w:t>Filed by the Registrant</w:t>
      </w:r>
      <w:r>
        <w:rPr>
          <w:sz w:val="20"/>
          <w:szCs w:val="20"/>
          <w:color w:val="auto"/>
        </w:rPr>
        <w:tab/>
      </w:r>
      <w:r>
        <w:rPr>
          <w:rFonts w:ascii="MS PGothic" w:cs="MS PGothic" w:eastAsia="MS PGothic" w:hAnsi="MS PGothic"/>
          <w:sz w:val="22"/>
          <w:szCs w:val="22"/>
          <w:color w:val="auto"/>
        </w:rPr>
        <w:t>☐</w:t>
      </w:r>
      <w:r>
        <w:rPr>
          <w:sz w:val="20"/>
          <w:szCs w:val="20"/>
          <w:color w:val="auto"/>
        </w:rPr>
        <w:tab/>
      </w:r>
      <w:r>
        <w:rPr>
          <w:rFonts w:ascii="Arial" w:cs="Arial" w:eastAsia="Arial" w:hAnsi="Arial"/>
          <w:sz w:val="17"/>
          <w:szCs w:val="17"/>
          <w:color w:val="auto"/>
        </w:rPr>
        <w:t>Filed by a party other than the Registrant</w:t>
      </w:r>
    </w:p>
    <w:p>
      <w:pPr>
        <w:spacing w:after="0" w:line="396"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520" w:hanging="437"/>
        <w:spacing w:after="0"/>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150" w:lineRule="exact"/>
        <w:rPr>
          <w:rFonts w:ascii="MS PGothic" w:cs="MS PGothic" w:eastAsia="MS PGothic" w:hAnsi="MS PGothic"/>
          <w:sz w:val="22"/>
          <w:szCs w:val="22"/>
          <w:color w:val="auto"/>
        </w:rPr>
      </w:pPr>
    </w:p>
    <w:p>
      <w:pPr>
        <w:ind w:left="520" w:hanging="437"/>
        <w:spacing w:after="0"/>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Confidential, for Use of the Commission Only (as permitted by Rule 14a-6(e)(2))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-440055</wp:posOffset>
            </wp:positionV>
            <wp:extent cx="7132320" cy="1200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200150"/>
                    </a:xfrm>
                    <a:prstGeom prst="rect">
                      <a:avLst/>
                    </a:prstGeom>
                    <a:noFill/>
                  </pic:spPr>
                </pic:pic>
              </a:graphicData>
            </a:graphic>
          </wp:anchor>
        </w:drawing>
      </w:r>
    </w:p>
    <w:p>
      <w:pPr>
        <w:spacing w:after="0" w:line="131" w:lineRule="exact"/>
        <w:rPr>
          <w:sz w:val="24"/>
          <w:szCs w:val="24"/>
          <w:color w:val="auto"/>
        </w:rPr>
      </w:pPr>
    </w:p>
    <w:p>
      <w:pPr>
        <w:ind w:left="520" w:hanging="437"/>
        <w:spacing w:after="0"/>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Definitive Proxy Statement</w:t>
      </w:r>
    </w:p>
    <w:p>
      <w:pPr>
        <w:spacing w:after="0" w:line="151" w:lineRule="exact"/>
        <w:rPr>
          <w:sz w:val="24"/>
          <w:szCs w:val="24"/>
          <w:color w:val="auto"/>
        </w:rPr>
      </w:pPr>
    </w:p>
    <w:p>
      <w:pPr>
        <w:ind w:left="520" w:hanging="437"/>
        <w:spacing w:after="0"/>
        <w:tabs>
          <w:tab w:leader="none" w:pos="52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150" w:lineRule="exact"/>
        <w:rPr>
          <w:rFonts w:ascii="MS PGothic" w:cs="MS PGothic" w:eastAsia="MS PGothic" w:hAnsi="MS PGothic"/>
          <w:sz w:val="22"/>
          <w:szCs w:val="22"/>
          <w:color w:val="auto"/>
        </w:rPr>
      </w:pPr>
    </w:p>
    <w:p>
      <w:pPr>
        <w:ind w:left="520" w:hanging="437"/>
        <w:spacing w:after="0"/>
        <w:tabs>
          <w:tab w:leader="none" w:pos="52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39370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2804160</wp:posOffset>
            </wp:positionH>
            <wp:positionV relativeFrom="paragraph">
              <wp:posOffset>219075</wp:posOffset>
            </wp:positionV>
            <wp:extent cx="1517015"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01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MSCI INC.</w:t>
      </w:r>
    </w:p>
    <w:p>
      <w:pPr>
        <w:spacing w:after="0" w:line="155" w:lineRule="exact"/>
        <w:rPr>
          <w:sz w:val="24"/>
          <w:szCs w:val="24"/>
          <w:color w:val="auto"/>
        </w:rPr>
      </w:pPr>
    </w:p>
    <w:p>
      <w:pPr>
        <w:jc w:val="center"/>
        <w:ind w:right="-1080"/>
        <w:spacing w:after="0"/>
        <w:rPr>
          <w:sz w:val="20"/>
          <w:szCs w:val="20"/>
          <w:color w:val="auto"/>
        </w:rPr>
      </w:pPr>
      <w:r>
        <w:rPr>
          <w:rFonts w:ascii="Arial" w:cs="Arial" w:eastAsia="Arial" w:hAnsi="Arial"/>
          <w:sz w:val="13"/>
          <w:szCs w:val="13"/>
          <w:color w:val="auto"/>
        </w:rPr>
        <w:t>(Name of Registrant as Specified In Its Charter)</w:t>
      </w:r>
    </w:p>
    <w:p>
      <w:pPr>
        <w:spacing w:after="0" w:line="27" w:lineRule="exact"/>
        <w:rPr>
          <w:sz w:val="24"/>
          <w:szCs w:val="24"/>
          <w:color w:val="auto"/>
        </w:rPr>
      </w:pPr>
    </w:p>
    <w:p>
      <w:pPr>
        <w:jc w:val="center"/>
        <w:ind w:right="-1080"/>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195"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ALL BOXES THAT APPLY):</w:t>
      </w:r>
    </w:p>
    <w:p>
      <w:pPr>
        <w:spacing w:after="0" w:line="171" w:lineRule="exact"/>
        <w:rPr>
          <w:sz w:val="24"/>
          <w:szCs w:val="24"/>
          <w:color w:val="auto"/>
        </w:rPr>
      </w:pPr>
    </w:p>
    <w:p>
      <w:pPr>
        <w:ind w:left="520" w:hanging="437"/>
        <w:spacing w:after="0"/>
        <w:tabs>
          <w:tab w:leader="none" w:pos="52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32320" cy="720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131" w:lineRule="exact"/>
        <w:rPr>
          <w:sz w:val="24"/>
          <w:szCs w:val="24"/>
          <w:color w:val="auto"/>
        </w:rPr>
      </w:pPr>
    </w:p>
    <w:p>
      <w:pPr>
        <w:ind w:left="520" w:hanging="437"/>
        <w:spacing w:after="0"/>
        <w:tabs>
          <w:tab w:leader="none" w:pos="52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150" w:lineRule="exact"/>
        <w:rPr>
          <w:rFonts w:ascii="MS PGothic" w:cs="MS PGothic" w:eastAsia="MS PGothic" w:hAnsi="MS PGothic"/>
          <w:sz w:val="22"/>
          <w:szCs w:val="22"/>
          <w:color w:val="auto"/>
        </w:rPr>
      </w:pPr>
    </w:p>
    <w:p>
      <w:pPr>
        <w:ind w:left="520" w:hanging="437"/>
        <w:spacing w:after="0"/>
        <w:tabs>
          <w:tab w:leader="none" w:pos="52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849630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39370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19"/>
          </w:cols>
          <w:pgMar w:left="340" w:top="1322"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57720" cy="9004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57720" cy="9004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7560"/>
              <w:spacing w:after="0"/>
              <w:rPr>
                <w:sz w:val="20"/>
                <w:szCs w:val="20"/>
                <w:color w:val="auto"/>
              </w:rPr>
            </w:pPr>
            <w:r>
              <w:rPr>
                <w:rFonts w:ascii="Arial" w:cs="Arial" w:eastAsia="Arial" w:hAnsi="Arial"/>
                <w:sz w:val="14"/>
                <w:szCs w:val="14"/>
                <w:b w:val="1"/>
                <w:bCs w:val="1"/>
                <w:color w:val="1A3FD6"/>
              </w:rPr>
              <w:t>Letter from Our Chairman and CEO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3</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368300</wp:posOffset>
            </wp:positionV>
            <wp:extent cx="488315" cy="6172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8315" cy="61722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380"/>
        <w:spacing w:after="0"/>
        <w:rPr>
          <w:sz w:val="20"/>
          <w:szCs w:val="20"/>
          <w:color w:val="auto"/>
        </w:rPr>
      </w:pPr>
      <w:r>
        <w:rPr>
          <w:rFonts w:ascii="Arial" w:cs="Arial" w:eastAsia="Arial" w:hAnsi="Arial"/>
          <w:sz w:val="50"/>
          <w:szCs w:val="50"/>
          <w:b w:val="1"/>
          <w:bCs w:val="1"/>
          <w:color w:val="1A3FD6"/>
        </w:rPr>
        <w:t>Letter from our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608965</wp:posOffset>
            </wp:positionV>
            <wp:extent cx="882650" cy="883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2650" cy="88328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566420</wp:posOffset>
            </wp:positionV>
            <wp:extent cx="240030" cy="17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003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40" w:right="540"/>
        <w:spacing w:after="0" w:line="263" w:lineRule="auto"/>
        <w:rPr>
          <w:sz w:val="20"/>
          <w:szCs w:val="20"/>
          <w:color w:val="auto"/>
        </w:rPr>
      </w:pPr>
      <w:r>
        <w:rPr>
          <w:rFonts w:ascii="Arial" w:cs="Arial" w:eastAsia="Arial" w:hAnsi="Arial"/>
          <w:sz w:val="20"/>
          <w:szCs w:val="20"/>
          <w:b w:val="1"/>
          <w:bCs w:val="1"/>
          <w:color w:val="auto"/>
        </w:rPr>
        <w:t>We are focused on delivering innovative solutions, strengthening client relationships and driving sustainable long-term growth. We continue to engage with our shareholders to ensure alignment between our strategic priorities and investor expectations, reinforcing our commitment to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color w:val="1A3FD6"/>
        </w:rPr>
        <w:t>Dear fellow shareholders,</w:t>
      </w:r>
    </w:p>
    <w:p>
      <w:pPr>
        <w:spacing w:after="0" w:line="145" w:lineRule="exact"/>
        <w:rPr>
          <w:sz w:val="20"/>
          <w:szCs w:val="20"/>
          <w:color w:val="auto"/>
        </w:rPr>
      </w:pPr>
    </w:p>
    <w:p>
      <w:pPr>
        <w:spacing w:after="0" w:line="263" w:lineRule="auto"/>
        <w:rPr>
          <w:sz w:val="20"/>
          <w:szCs w:val="20"/>
          <w:color w:val="auto"/>
        </w:rPr>
      </w:pPr>
      <w:r>
        <w:rPr>
          <w:rFonts w:ascii="Arial" w:cs="Arial" w:eastAsia="Arial" w:hAnsi="Arial"/>
          <w:sz w:val="13"/>
          <w:szCs w:val="13"/>
          <w:color w:val="auto"/>
        </w:rPr>
        <w:t>First and foremost, thank you for your continued confidence in MSCI. In 2024, we remained focused on execution, innovation and client engagement, delivering strong financial results while investing in the future of our business. Our integrated franchise, advanced technology and deep client relationships continue to drive growth and reinforce our position as a leader in providing tools and solutions to the global financial ecosystem.</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Performance and Business Results</w:t>
      </w:r>
    </w:p>
    <w:p>
      <w:pPr>
        <w:spacing w:after="0" w:line="11" w:lineRule="exact"/>
        <w:rPr>
          <w:sz w:val="20"/>
          <w:szCs w:val="20"/>
          <w:color w:val="auto"/>
        </w:rPr>
      </w:pPr>
    </w:p>
    <w:p>
      <w:pPr>
        <w:ind w:right="340"/>
        <w:spacing w:after="0" w:line="268" w:lineRule="auto"/>
        <w:rPr>
          <w:sz w:val="20"/>
          <w:szCs w:val="20"/>
          <w:color w:val="auto"/>
        </w:rPr>
      </w:pPr>
      <w:r>
        <w:rPr>
          <w:rFonts w:ascii="Arial" w:cs="Arial" w:eastAsia="Arial" w:hAnsi="Arial"/>
          <w:sz w:val="13"/>
          <w:szCs w:val="13"/>
          <w:color w:val="auto"/>
        </w:rPr>
        <w:t>In 2024, MSCI delivered strong financial results. We achieved solid revenue growth, earnings-per-share growth and free-cash-flow growth, while maintaining a strong capital return program, including $810.2 million in share repurchases during 2024.</w:t>
      </w:r>
    </w:p>
    <w:p>
      <w:pPr>
        <w:spacing w:after="0" w:line="135" w:lineRule="exact"/>
        <w:rPr>
          <w:sz w:val="20"/>
          <w:szCs w:val="20"/>
          <w:color w:val="auto"/>
        </w:rPr>
      </w:pPr>
    </w:p>
    <w:p>
      <w:pPr>
        <w:spacing w:after="0" w:line="259" w:lineRule="auto"/>
        <w:rPr>
          <w:sz w:val="20"/>
          <w:szCs w:val="20"/>
          <w:color w:val="auto"/>
        </w:rPr>
      </w:pPr>
      <w:r>
        <w:rPr>
          <w:rFonts w:ascii="Arial" w:cs="Arial" w:eastAsia="Arial" w:hAnsi="Arial"/>
          <w:sz w:val="13"/>
          <w:szCs w:val="13"/>
          <w:color w:val="auto"/>
        </w:rPr>
        <w:t>Our Index segment remained a core driver of growth, supported by record levels of AUM in ETFs linked to MSCI equity indexes, reflecting strong demand for index-based investment strategies. Custom index solutions also saw increasing adoption as investors sought more tailored approaches to portfolio construction. In Wealth, we further strengthened our position by launching MSCI Wealth Manager, providing tools and analytics to support portfolio design, risk management and investment personalization for wealth management firms. In Fixed Income, we advanced our analytics capabilities, deepening client relationships and expanding our presence.</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Reinforcing Our Client-Centric Approach</w:t>
      </w:r>
    </w:p>
    <w:p>
      <w:pPr>
        <w:spacing w:after="0" w:line="11"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A core pillar of our strategy is deepening engagement across our client base, which includes asset managers, asset owners, hedge funds, banks, wealth managers, insurance companies, private-asset managers, broker-dealers, corporates and government entities. We have accelerated our efforts in wealth management, private assets, fixed income, and climate and sustainability solutions to serve our clients’ evolving needs.</w:t>
      </w:r>
    </w:p>
    <w:p>
      <w:pPr>
        <w:spacing w:after="0" w:line="143" w:lineRule="exact"/>
        <w:rPr>
          <w:sz w:val="20"/>
          <w:szCs w:val="20"/>
          <w:color w:val="auto"/>
        </w:rPr>
      </w:pPr>
    </w:p>
    <w:p>
      <w:pPr>
        <w:ind w:right="120"/>
        <w:spacing w:after="0" w:line="258" w:lineRule="auto"/>
        <w:rPr>
          <w:sz w:val="20"/>
          <w:szCs w:val="20"/>
          <w:color w:val="auto"/>
        </w:rPr>
      </w:pPr>
      <w:r>
        <w:rPr>
          <w:rFonts w:ascii="Arial" w:cs="Arial" w:eastAsia="Arial" w:hAnsi="Arial"/>
          <w:sz w:val="13"/>
          <w:szCs w:val="13"/>
          <w:color w:val="auto"/>
        </w:rPr>
        <w:t>We are also enhancing how we serve our clients through technology. Our custom index solutions help investors align their portfolios with their investment objectives, while our artificial intelligence (“AI”)-enhanced analytics tools improve risk management, performance attribution and decision-making. Our expansion in private assets, including deeper private credit and private equity data and analytics, strengthens our position as a partner for investors navigating alternative investments.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Harnessing AI and Technology for Growth</w:t>
      </w:r>
    </w:p>
    <w:p>
      <w:pPr>
        <w:spacing w:after="0" w:line="25" w:lineRule="exact"/>
        <w:rPr>
          <w:sz w:val="20"/>
          <w:szCs w:val="20"/>
          <w:color w:val="auto"/>
        </w:rPr>
      </w:pPr>
    </w:p>
    <w:p>
      <w:pPr>
        <w:jc w:val="both"/>
        <w:ind w:right="120"/>
        <w:spacing w:after="0" w:line="257" w:lineRule="auto"/>
        <w:rPr>
          <w:sz w:val="20"/>
          <w:szCs w:val="20"/>
          <w:color w:val="auto"/>
        </w:rPr>
      </w:pPr>
      <w:r>
        <w:rPr>
          <w:rFonts w:ascii="Arial" w:cs="Arial" w:eastAsia="Arial" w:hAnsi="Arial"/>
          <w:sz w:val="13"/>
          <w:szCs w:val="13"/>
          <w:color w:val="auto"/>
        </w:rPr>
        <w:t>AI and advanced technology continue to reshape global investment processes. In 2024, we expanded our AI-enhanced risk and analytics tools, integrated AI-powered insights into new solutions and leveraged AI to enhance operational efficiency.</w:t>
      </w:r>
    </w:p>
    <w:p>
      <w:pPr>
        <w:spacing w:after="0" w:line="156" w:lineRule="exact"/>
        <w:rPr>
          <w:sz w:val="20"/>
          <w:szCs w:val="20"/>
          <w:color w:val="auto"/>
        </w:rPr>
      </w:pPr>
    </w:p>
    <w:p>
      <w:pPr>
        <w:ind w:right="100"/>
        <w:spacing w:after="0" w:line="264" w:lineRule="auto"/>
        <w:rPr>
          <w:sz w:val="20"/>
          <w:szCs w:val="20"/>
          <w:color w:val="auto"/>
        </w:rPr>
      </w:pPr>
      <w:r>
        <w:rPr>
          <w:rFonts w:ascii="Arial" w:cs="Arial" w:eastAsia="Arial" w:hAnsi="Arial"/>
          <w:sz w:val="13"/>
          <w:szCs w:val="13"/>
          <w:color w:val="auto"/>
        </w:rPr>
        <w:t>Technology is also transforming how our clients customize portfolios, measure risk and integrate sustainability considerations. In response, we are continuing to expand our data ecosystem, enhance connectivity across our solutions and invest in cloud-based technology platforms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0"/>
        <w:spacing w:after="0" w:line="278" w:lineRule="auto"/>
        <w:rPr>
          <w:sz w:val="20"/>
          <w:szCs w:val="20"/>
          <w:color w:val="auto"/>
        </w:rPr>
      </w:pPr>
      <w:r>
        <w:rPr>
          <w:rFonts w:ascii="Arial" w:cs="Arial" w:eastAsia="Arial" w:hAnsi="Arial"/>
          <w:sz w:val="13"/>
          <w:szCs w:val="13"/>
          <w:color w:val="auto"/>
        </w:rPr>
        <w:t>provide seamless access to our models, solutions and data. As technology continues to play an increasing role in financial markets, we remain focused on ensuring that our data and systems remain secure, with strong governance over cybersecurity and AI risks.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Strengthening Leadership</w:t>
      </w:r>
    </w:p>
    <w:p>
      <w:pPr>
        <w:spacing w:after="0" w:line="11" w:lineRule="exact"/>
        <w:rPr>
          <w:sz w:val="20"/>
          <w:szCs w:val="20"/>
          <w:color w:val="auto"/>
        </w:rPr>
      </w:pPr>
    </w:p>
    <w:p>
      <w:pPr>
        <w:jc w:val="both"/>
        <w:ind w:right="160"/>
        <w:spacing w:after="0" w:line="258" w:lineRule="auto"/>
        <w:rPr>
          <w:sz w:val="20"/>
          <w:szCs w:val="20"/>
          <w:color w:val="auto"/>
        </w:rPr>
      </w:pPr>
      <w:r>
        <w:rPr>
          <w:rFonts w:ascii="Arial" w:cs="Arial" w:eastAsia="Arial" w:hAnsi="Arial"/>
          <w:sz w:val="13"/>
          <w:szCs w:val="13"/>
          <w:color w:val="auto"/>
        </w:rPr>
        <w:t>MSCI’s employees remain one of our greatest strengths, and we are committed to fostering a culture of collaboration, innovation and execution. In 2024, we welcomed new senior leaders, including Richard Mattison as Head of ESG &amp; Climate and Luke Flemmer as Head of Private Assets, both of whom bring deep expertise to expand MSCI’s leadership in sustainability and private markets,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Looking Ahead</w:t>
      </w:r>
    </w:p>
    <w:p>
      <w:pPr>
        <w:spacing w:after="0" w:line="25" w:lineRule="exact"/>
        <w:rPr>
          <w:sz w:val="20"/>
          <w:szCs w:val="20"/>
          <w:color w:val="auto"/>
        </w:rPr>
      </w:pPr>
    </w:p>
    <w:p>
      <w:pPr>
        <w:ind w:right="440"/>
        <w:spacing w:after="0" w:line="254" w:lineRule="auto"/>
        <w:rPr>
          <w:sz w:val="20"/>
          <w:szCs w:val="20"/>
          <w:color w:val="auto"/>
        </w:rPr>
      </w:pPr>
      <w:r>
        <w:rPr>
          <w:rFonts w:ascii="Arial" w:cs="Arial" w:eastAsia="Arial" w:hAnsi="Arial"/>
          <w:sz w:val="13"/>
          <w:szCs w:val="13"/>
          <w:color w:val="auto"/>
        </w:rPr>
        <w:t>MSCI remains well-positioned to capture growth from key investment trends. Investors continue to seek greater customization, driving demand for custom indexing and tailored portfolio solutions. Advances in AI-enhanced tools are transforming risk management, decision-making and analytics, enhancing how market participants assess risks and opportunities. Additionally, the expansion of private markets is increasing the need for transparency in private investments, reinforcing MSCI’s role across asset classes.</w:t>
      </w:r>
    </w:p>
    <w:p>
      <w:pPr>
        <w:spacing w:after="0" w:line="159" w:lineRule="exact"/>
        <w:rPr>
          <w:sz w:val="20"/>
          <w:szCs w:val="20"/>
          <w:color w:val="auto"/>
        </w:rPr>
      </w:pPr>
    </w:p>
    <w:p>
      <w:pPr>
        <w:ind w:right="120"/>
        <w:spacing w:after="0" w:line="258" w:lineRule="auto"/>
        <w:rPr>
          <w:sz w:val="20"/>
          <w:szCs w:val="20"/>
          <w:color w:val="auto"/>
        </w:rPr>
      </w:pPr>
      <w:r>
        <w:rPr>
          <w:rFonts w:ascii="Arial" w:cs="Arial" w:eastAsia="Arial" w:hAnsi="Arial"/>
          <w:sz w:val="13"/>
          <w:szCs w:val="13"/>
          <w:color w:val="auto"/>
        </w:rPr>
        <w:t>We also want to recognize Wayne Edmunds, who has decided to retire from the MSCI Board at the 2025 Annual Meeting. Wayne has been an invaluable member of the Board for nearly a decade, contributing significantly to our financial oversight, cybersecurity governance and compensation programs. We thank him for his dedication, leadership and many contributions to MSCI’s success.</w:t>
      </w:r>
    </w:p>
    <w:p>
      <w:pPr>
        <w:spacing w:after="0" w:line="155" w:lineRule="exact"/>
        <w:rPr>
          <w:sz w:val="20"/>
          <w:szCs w:val="20"/>
          <w:color w:val="auto"/>
        </w:rPr>
      </w:pPr>
    </w:p>
    <w:p>
      <w:pPr>
        <w:ind w:right="160"/>
        <w:spacing w:after="0" w:line="264" w:lineRule="auto"/>
        <w:rPr>
          <w:sz w:val="20"/>
          <w:szCs w:val="20"/>
          <w:color w:val="auto"/>
        </w:rPr>
      </w:pPr>
      <w:r>
        <w:rPr>
          <w:rFonts w:ascii="Arial" w:cs="Arial" w:eastAsia="Arial" w:hAnsi="Arial"/>
          <w:sz w:val="13"/>
          <w:szCs w:val="13"/>
          <w:color w:val="auto"/>
        </w:rPr>
        <w:t>We are focused on delivering innovative solutions, strengthening client relationships and driving sustainable long-term growth. We continue to engage with our shareholders to ensure alignment between our strategic priorities and investor expectations, reinforcing our commitment to shareholder value creation.</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Ask for Your Support</w:t>
      </w:r>
    </w:p>
    <w:p>
      <w:pPr>
        <w:spacing w:after="0" w:line="25" w:lineRule="exact"/>
        <w:rPr>
          <w:sz w:val="20"/>
          <w:szCs w:val="20"/>
          <w:color w:val="auto"/>
        </w:rPr>
      </w:pPr>
    </w:p>
    <w:p>
      <w:pPr>
        <w:ind w:right="160"/>
        <w:spacing w:after="0" w:line="251" w:lineRule="auto"/>
        <w:rPr>
          <w:sz w:val="20"/>
          <w:szCs w:val="20"/>
          <w:color w:val="auto"/>
        </w:rPr>
      </w:pPr>
      <w:r>
        <w:rPr>
          <w:rFonts w:ascii="Arial" w:cs="Arial" w:eastAsia="Arial" w:hAnsi="Arial"/>
          <w:sz w:val="13"/>
          <w:szCs w:val="13"/>
          <w:color w:val="auto"/>
        </w:rPr>
        <w:t>Your vote is important to us. We encourage you to review our Proxy Statement and 2024 Annual Report on Form 10-K in full and support the Board’s recommendations. Thank you for your continued trust in MSCI. We look forward to your participation in the 2025 Annual Meeting.</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79375</wp:posOffset>
            </wp:positionV>
            <wp:extent cx="608965"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8965" cy="24003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b w:val="1"/>
          <w:bCs w:val="1"/>
          <w:color w:val="1A3FD6"/>
        </w:rPr>
        <w:t>HENRY A. FERNANDEZ</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Chairman, Chief Executive Officer</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and Shareholder</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681355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00" w:space="320"/>
            <w:col w:w="5520"/>
          </w:cols>
          <w:pgMar w:left="320" w:top="167" w:right="339" w:bottom="1440" w:gutter="0" w:footer="0" w:header="0"/>
          <w:type w:val="continuous"/>
        </w:sectPr>
      </w:pPr>
    </w:p>
    <w:bookmarkStart w:id="4" w:name="page5"/>
    <w:bookmarkEnd w:id="4"/>
    <w:p>
      <w:pPr>
        <w:ind w:left="800" w:hanging="709"/>
        <w:spacing w:after="0"/>
        <w:tabs>
          <w:tab w:leader="none" w:pos="800" w:val="left"/>
        </w:tabs>
        <w:numPr>
          <w:ilvl w:val="0"/>
          <w:numId w:val="6"/>
        </w:numPr>
        <w:rPr>
          <w:rFonts w:ascii="Arial" w:cs="Arial" w:eastAsia="Arial" w:hAnsi="Arial"/>
          <w:sz w:val="14"/>
          <w:szCs w:val="14"/>
          <w:b w:val="1"/>
          <w:bCs w:val="1"/>
          <w:color w:val="1A3FD6"/>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2025 PROXY STATEMENT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380" w:right="2980"/>
        <w:spacing w:after="0" w:line="281" w:lineRule="auto"/>
        <w:rPr>
          <w:sz w:val="20"/>
          <w:szCs w:val="20"/>
          <w:color w:val="auto"/>
        </w:rPr>
      </w:pPr>
      <w:r>
        <w:rPr>
          <w:rFonts w:ascii="Arial" w:cs="Arial" w:eastAsia="Arial" w:hAnsi="Arial"/>
          <w:sz w:val="50"/>
          <w:szCs w:val="50"/>
          <w:b w:val="1"/>
          <w:bCs w:val="1"/>
          <w:color w:val="1A3FD6"/>
        </w:rPr>
        <w:t>Letter from our Independent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-797560</wp:posOffset>
            </wp:positionV>
            <wp:extent cx="488315" cy="6172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8315" cy="61722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213360</wp:posOffset>
            </wp:positionV>
            <wp:extent cx="882650" cy="8826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2650" cy="88265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153670</wp:posOffset>
            </wp:positionV>
            <wp:extent cx="24003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003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40" w:right="440"/>
        <w:spacing w:after="0" w:line="282" w:lineRule="auto"/>
        <w:rPr>
          <w:sz w:val="20"/>
          <w:szCs w:val="20"/>
          <w:color w:val="auto"/>
        </w:rPr>
      </w:pPr>
      <w:r>
        <w:rPr>
          <w:rFonts w:ascii="Arial" w:cs="Arial" w:eastAsia="Arial" w:hAnsi="Arial"/>
          <w:sz w:val="20"/>
          <w:szCs w:val="20"/>
          <w:b w:val="1"/>
          <w:bCs w:val="1"/>
          <w:color w:val="auto"/>
        </w:rPr>
        <w:t>As MSCI continues to expand its role as a leading provider of critical tools and solutions for the global investment community, the Board remains focused on overseeing MSCI’s business strategy to ensure it supports sustainable growth, innovation and resilience in a rapidly evolving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292" w:right="45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b w:val="1"/>
          <w:bCs w:val="1"/>
          <w:color w:val="1A3FD6"/>
        </w:rPr>
        <w:t>Dear fellow shareholders,</w:t>
      </w:r>
    </w:p>
    <w:p>
      <w:pPr>
        <w:spacing w:after="0" w:line="175" w:lineRule="exact"/>
        <w:rPr>
          <w:sz w:val="20"/>
          <w:szCs w:val="20"/>
          <w:color w:val="auto"/>
        </w:rPr>
      </w:pPr>
    </w:p>
    <w:p>
      <w:pPr>
        <w:spacing w:after="0" w:line="306" w:lineRule="auto"/>
        <w:rPr>
          <w:sz w:val="20"/>
          <w:szCs w:val="20"/>
          <w:color w:val="auto"/>
        </w:rPr>
      </w:pPr>
      <w:r>
        <w:rPr>
          <w:rFonts w:ascii="Arial" w:cs="Arial" w:eastAsia="Arial" w:hAnsi="Arial"/>
          <w:sz w:val="12"/>
          <w:szCs w:val="12"/>
          <w:color w:val="auto"/>
        </w:rPr>
        <w:t>The independent directors of MSCI and I join Henry in inviting you to attend our 2025 Annual Meeting. It is a privilege to continue serving as your Independent Lead Director, and I appreciate this opportunity to update you on the Board’s priorities and work over the past year.</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 Oversight</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As MSCI continues to expand its role as a leading provider of critical tools and solutions for the global investment community, the Board remains focused on overseeing MSCI’s business strategy to ensure it supports sustainable growth, innovation and resilience in a rapidly evolving market. The Board continues to work closely with management to assess key strategic priorities, including product development, client segment expansion, risk management and operational efficiency. As part of this oversight, we also evaluate the risks and opportunities associated with AI, ensuring that MSCI’s governance of AI aligns with emerging regulatory expectations and best practices.</w:t>
      </w:r>
    </w:p>
    <w:p>
      <w:pPr>
        <w:spacing w:after="0" w:line="160" w:lineRule="exact"/>
        <w:rPr>
          <w:sz w:val="20"/>
          <w:szCs w:val="20"/>
          <w:color w:val="auto"/>
        </w:rPr>
      </w:pPr>
    </w:p>
    <w:p>
      <w:pPr>
        <w:ind w:right="120"/>
        <w:spacing w:after="0" w:line="269" w:lineRule="auto"/>
        <w:rPr>
          <w:sz w:val="20"/>
          <w:szCs w:val="20"/>
          <w:color w:val="auto"/>
        </w:rPr>
      </w:pPr>
      <w:r>
        <w:rPr>
          <w:rFonts w:ascii="Arial" w:cs="Arial" w:eastAsia="Arial" w:hAnsi="Arial"/>
          <w:sz w:val="13"/>
          <w:szCs w:val="13"/>
          <w:color w:val="auto"/>
        </w:rPr>
        <w:t>The cybersecurity landscape continues to evolve rapidly, and protecting MSCI’s data, systems and intellectual property remains a top priority. The Audit and Risk Committee receives regular updates on cybersecurity threats and risk management. The Board plays a critical role in overseeing MSCI’s risk management governance to ensure that management has taken appropriate steps to implement programs to assess, monitor and control key business risks, including cyber and operational risks.</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 Refreshment and Leadership</w:t>
      </w:r>
    </w:p>
    <w:p>
      <w:pPr>
        <w:spacing w:after="0" w:line="23" w:lineRule="exact"/>
        <w:rPr>
          <w:sz w:val="20"/>
          <w:szCs w:val="20"/>
          <w:color w:val="auto"/>
        </w:rPr>
      </w:pPr>
    </w:p>
    <w:p>
      <w:pPr>
        <w:ind w:right="20"/>
        <w:spacing w:after="0" w:line="262" w:lineRule="auto"/>
        <w:rPr>
          <w:sz w:val="20"/>
          <w:szCs w:val="20"/>
          <w:color w:val="auto"/>
        </w:rPr>
      </w:pPr>
      <w:r>
        <w:rPr>
          <w:rFonts w:ascii="Arial" w:cs="Arial" w:eastAsia="Arial" w:hAnsi="Arial"/>
          <w:sz w:val="13"/>
          <w:szCs w:val="13"/>
          <w:color w:val="auto"/>
        </w:rPr>
        <w:t>In 2024, the Board continued its focus on refreshment by welcoming two new directors, Michelle Seitz and June Yang. Michelle Seitz brings deep experience in asset management and private wealth, having spent more than three decades as both a CEO and investor, driving client-centricity and overseeing asset management businesses. Her leadership and strategic insight will further strengthen the Board’s oversight of MSCI’s investment-focused solutions and growth strategies.</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3"/>
          <w:szCs w:val="13"/>
          <w:color w:val="auto"/>
        </w:rPr>
        <w:t>June Yang brings extensive expertise in technology, AI and cloud computing, with a track record of leading innovation, engineering and product development in enterprise technology. Her deep understanding of AI adoption and digital transformation will provide valuable insight as MSCI continues to enhance its technology-driven solutions and data capabilities.</w:t>
      </w:r>
    </w:p>
    <w:p>
      <w:pPr>
        <w:spacing w:after="0" w:line="153" w:lineRule="exact"/>
        <w:rPr>
          <w:sz w:val="20"/>
          <w:szCs w:val="20"/>
          <w:color w:val="auto"/>
        </w:rPr>
      </w:pPr>
    </w:p>
    <w:p>
      <w:pPr>
        <w:ind w:right="120"/>
        <w:spacing w:after="0" w:line="264" w:lineRule="auto"/>
        <w:rPr>
          <w:sz w:val="20"/>
          <w:szCs w:val="20"/>
          <w:color w:val="auto"/>
        </w:rPr>
      </w:pPr>
      <w:r>
        <w:rPr>
          <w:rFonts w:ascii="Arial" w:cs="Arial" w:eastAsia="Arial" w:hAnsi="Arial"/>
          <w:sz w:val="13"/>
          <w:szCs w:val="13"/>
          <w:color w:val="auto"/>
        </w:rPr>
        <w:t>We also want to recognize Wayne Edmunds, who will be retiring from the Board in connection with the 2025 Annual Meeting. Over nearly a decade, Wayne has provided invaluable leadership, strengthening MSCI’s financial reporting, internal controls and cybersecurity oversight through his work on the Audit and Risk Committee. His contributions to the Compensation, Talent and Culture Committee have helped shape MSCI’s performance-based compensation framework. On behalf of the Board, I thank Wayne for his dedication and impact on MSCI’s success.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0"/>
        <w:spacing w:after="0" w:line="306" w:lineRule="auto"/>
        <w:rPr>
          <w:sz w:val="20"/>
          <w:szCs w:val="20"/>
          <w:color w:val="auto"/>
        </w:rPr>
      </w:pPr>
      <w:r>
        <w:rPr>
          <w:rFonts w:ascii="Arial" w:cs="Arial" w:eastAsia="Arial" w:hAnsi="Arial"/>
          <w:sz w:val="12"/>
          <w:szCs w:val="12"/>
          <w:color w:val="auto"/>
        </w:rPr>
        <w:t>As part of our ongoing commitment to strong corporate governance, the Board conducted a third-party evaluation of its effectiveness in 2024. This assessment provided helpful insights into our governance processes and oversight, reinforcing our dedication to continuous improvement.</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Shareholder Engagement and Evolving Governance Trends</w:t>
      </w:r>
    </w:p>
    <w:p>
      <w:pPr>
        <w:spacing w:after="0" w:line="23" w:lineRule="exact"/>
        <w:rPr>
          <w:sz w:val="20"/>
          <w:szCs w:val="20"/>
          <w:color w:val="auto"/>
        </w:rPr>
      </w:pPr>
    </w:p>
    <w:p>
      <w:pPr>
        <w:spacing w:after="0" w:line="262" w:lineRule="auto"/>
        <w:rPr>
          <w:sz w:val="20"/>
          <w:szCs w:val="20"/>
          <w:color w:val="auto"/>
        </w:rPr>
      </w:pPr>
      <w:r>
        <w:rPr>
          <w:rFonts w:ascii="Arial" w:cs="Arial" w:eastAsia="Arial" w:hAnsi="Arial"/>
          <w:sz w:val="13"/>
          <w:szCs w:val="13"/>
          <w:color w:val="auto"/>
        </w:rPr>
        <w:t>We remain deeply engaged with our shareholders, ensuring that your perspectives continue to inform our oversight. In 2024, members of the Board and management engaged with investors on corporate governance, sustainability, executive compensation, MSCI’s strategic direction, and workforce and talent priorities. These discussions remain essential to our work, and we value the feedback we receive.</w:t>
      </w:r>
    </w:p>
    <w:p>
      <w:pPr>
        <w:spacing w:after="0" w:line="159" w:lineRule="exact"/>
        <w:rPr>
          <w:sz w:val="20"/>
          <w:szCs w:val="20"/>
          <w:color w:val="auto"/>
        </w:rPr>
      </w:pPr>
    </w:p>
    <w:p>
      <w:pPr>
        <w:ind w:right="20"/>
        <w:spacing w:after="0" w:line="269" w:lineRule="auto"/>
        <w:rPr>
          <w:sz w:val="20"/>
          <w:szCs w:val="20"/>
          <w:color w:val="auto"/>
        </w:rPr>
      </w:pPr>
      <w:r>
        <w:rPr>
          <w:rFonts w:ascii="Arial" w:cs="Arial" w:eastAsia="Arial" w:hAnsi="Arial"/>
          <w:sz w:val="13"/>
          <w:szCs w:val="13"/>
          <w:color w:val="auto"/>
        </w:rPr>
        <w:t>Investor expectations around board composition, director expertise and succession planning continue to evolve. The Board remains focused on ensuring that the skill sets of MSCI’s directors align with our long-term strategy, particularly in technology and the investment industry. We also recognize the importance of board independence and refreshment, and we are committed to maintaining strong governance structures that foster accountability and long-term value creation.</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MSCI Employees and Talent Priorities</w:t>
      </w:r>
    </w:p>
    <w:p>
      <w:pPr>
        <w:spacing w:after="0" w:line="23" w:lineRule="exact"/>
        <w:rPr>
          <w:sz w:val="20"/>
          <w:szCs w:val="20"/>
          <w:color w:val="auto"/>
        </w:rPr>
      </w:pPr>
    </w:p>
    <w:p>
      <w:pPr>
        <w:jc w:val="both"/>
        <w:ind w:right="20"/>
        <w:spacing w:after="0" w:line="289" w:lineRule="auto"/>
        <w:rPr>
          <w:sz w:val="20"/>
          <w:szCs w:val="20"/>
          <w:color w:val="auto"/>
        </w:rPr>
      </w:pPr>
      <w:r>
        <w:rPr>
          <w:rFonts w:ascii="Arial" w:cs="Arial" w:eastAsia="Arial" w:hAnsi="Arial"/>
          <w:sz w:val="12"/>
          <w:szCs w:val="12"/>
          <w:color w:val="auto"/>
        </w:rPr>
        <w:t>MSCI’s employees are at the heart of our continued success, and the Board remains focused on supporting a culture of innovation, collaboration and execution. In 2024, the Board engaged with management on leadership development, talent retention and succession planning, recognizing that attracting and retaining top-tier talent is critical to MSCI’s continued growth. As we continue to scale, we are committed to ensuring that MSCI remains a top destination for the best talent.</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Equity Plan Proposal</w:t>
      </w:r>
    </w:p>
    <w:p>
      <w:pPr>
        <w:spacing w:after="0" w:line="23" w:lineRule="exact"/>
        <w:rPr>
          <w:sz w:val="20"/>
          <w:szCs w:val="20"/>
          <w:color w:val="auto"/>
        </w:rPr>
      </w:pPr>
    </w:p>
    <w:p>
      <w:pPr>
        <w:ind w:right="120"/>
        <w:spacing w:after="0" w:line="270" w:lineRule="auto"/>
        <w:rPr>
          <w:sz w:val="20"/>
          <w:szCs w:val="20"/>
          <w:color w:val="auto"/>
        </w:rPr>
      </w:pPr>
      <w:r>
        <w:rPr>
          <w:rFonts w:ascii="Arial" w:cs="Arial" w:eastAsia="Arial" w:hAnsi="Arial"/>
          <w:sz w:val="13"/>
          <w:szCs w:val="13"/>
          <w:color w:val="auto"/>
        </w:rPr>
        <w:t>At this year’s Annual Meeting, the Board is recommending approval of a new equity plan, designed to maintain MSCI’s ability to attract and retain top talent while reinforcing our pay-for-performance culture. We encourage you to review the proposal, which is detailed in this Proxy Statement.</w:t>
      </w:r>
    </w:p>
    <w:p>
      <w:pPr>
        <w:spacing w:after="0" w:line="154" w:lineRule="exact"/>
        <w:rPr>
          <w:sz w:val="20"/>
          <w:szCs w:val="20"/>
          <w:color w:val="auto"/>
        </w:rPr>
      </w:pPr>
    </w:p>
    <w:p>
      <w:pPr>
        <w:ind w:right="40"/>
        <w:spacing w:after="0" w:line="287" w:lineRule="auto"/>
        <w:rPr>
          <w:sz w:val="20"/>
          <w:szCs w:val="20"/>
          <w:color w:val="auto"/>
        </w:rPr>
      </w:pPr>
      <w:r>
        <w:rPr>
          <w:rFonts w:ascii="Arial" w:cs="Arial" w:eastAsia="Arial" w:hAnsi="Arial"/>
          <w:sz w:val="13"/>
          <w:szCs w:val="13"/>
          <w:color w:val="auto"/>
        </w:rPr>
        <w:t>On behalf of my fellow independent directors and the entire Board, thank you for your continued support. We appreciate the opportunity to serve MSCI on your behalf.</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45720</wp:posOffset>
            </wp:positionV>
            <wp:extent cx="65151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5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b w:val="1"/>
          <w:bCs w:val="1"/>
          <w:color w:val="1A3FD6"/>
        </w:rPr>
        <w:t>ROBERT G. ASHE</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Independent Lead Director and Shareholder</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March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715645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00" w:space="320"/>
            <w:col w:w="5400"/>
          </w:cols>
          <w:pgMar w:left="320" w:top="292" w:right="45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7120"/>
              <w:spacing w:after="0"/>
              <w:rPr>
                <w:sz w:val="20"/>
                <w:szCs w:val="20"/>
                <w:color w:val="auto"/>
              </w:rPr>
            </w:pPr>
            <w:r>
              <w:rPr>
                <w:rFonts w:ascii="Arial" w:cs="Arial" w:eastAsia="Arial" w:hAnsi="Arial"/>
                <w:sz w:val="14"/>
                <w:szCs w:val="14"/>
                <w:b w:val="1"/>
                <w:bCs w:val="1"/>
                <w:color w:val="1A3FD6"/>
              </w:rPr>
              <w:t>Notice of Annual Meeting of Shareholders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5</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0" w:lineRule="exact"/>
        <w:rPr>
          <w:sz w:val="20"/>
          <w:szCs w:val="20"/>
          <w:color w:val="auto"/>
        </w:rPr>
      </w:pPr>
    </w:p>
    <w:p>
      <w:pPr>
        <w:spacing w:after="0" w:line="372" w:lineRule="exact"/>
        <w:rPr>
          <w:sz w:val="20"/>
          <w:szCs w:val="20"/>
          <w:color w:val="auto"/>
        </w:rPr>
      </w:pPr>
    </w:p>
    <w:p>
      <w:pPr>
        <w:ind w:left="1380" w:right="3800"/>
        <w:spacing w:after="0" w:line="281" w:lineRule="auto"/>
        <w:rPr>
          <w:sz w:val="20"/>
          <w:szCs w:val="20"/>
          <w:color w:val="auto"/>
        </w:rPr>
      </w:pPr>
      <w:r>
        <w:rPr>
          <w:rFonts w:ascii="Arial" w:cs="Arial" w:eastAsia="Arial" w:hAnsi="Arial"/>
          <w:sz w:val="50"/>
          <w:szCs w:val="50"/>
          <w:b w:val="1"/>
          <w:bCs w:val="1"/>
          <w:color w:val="1A3FD6"/>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-746125</wp:posOffset>
            </wp:positionV>
            <wp:extent cx="488315" cy="6172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8315" cy="617220"/>
                    </a:xfrm>
                    <a:prstGeom prst="rect">
                      <a:avLst/>
                    </a:prstGeom>
                    <a:noFill/>
                  </pic:spPr>
                </pic:pic>
              </a:graphicData>
            </a:graphic>
          </wp:anchor>
        </w:drawing>
      </w:r>
    </w:p>
    <w:p>
      <w:pPr>
        <w:spacing w:after="0" w:line="280" w:lineRule="exact"/>
        <w:rPr>
          <w:sz w:val="20"/>
          <w:szCs w:val="20"/>
          <w:color w:val="auto"/>
        </w:rPr>
      </w:pPr>
    </w:p>
    <w:tbl>
      <w:tblPr>
        <w:tblLayout w:type="fixed"/>
        <w:tblInd w:w="760" w:type="dxa"/>
        <w:tblCellMar>
          <w:top w:w="0" w:type="dxa"/>
          <w:left w:w="0" w:type="dxa"/>
          <w:bottom w:w="0" w:type="dxa"/>
          <w:right w:w="0" w:type="dxa"/>
        </w:tblCellMar>
      </w:tblPr>
      <w:tr>
        <w:trPr>
          <w:trHeight w:val="189"/>
        </w:trPr>
        <w:tc>
          <w:tcPr>
            <w:tcW w:w="2440" w:type="dxa"/>
            <w:vAlign w:val="bottom"/>
          </w:tcPr>
          <w:p>
            <w:pPr>
              <w:spacing w:after="0"/>
              <w:rPr>
                <w:sz w:val="20"/>
                <w:szCs w:val="20"/>
                <w:color w:val="auto"/>
              </w:rPr>
            </w:pPr>
            <w:r>
              <w:rPr>
                <w:rFonts w:ascii="Arial" w:cs="Arial" w:eastAsia="Arial" w:hAnsi="Arial"/>
                <w:sz w:val="14"/>
                <w:szCs w:val="14"/>
                <w:b w:val="1"/>
                <w:bCs w:val="1"/>
                <w:color w:val="1A3FD6"/>
              </w:rPr>
              <w:t>DATE AND TIME</w:t>
            </w:r>
          </w:p>
        </w:tc>
        <w:tc>
          <w:tcPr>
            <w:tcW w:w="5960" w:type="dxa"/>
            <w:vAlign w:val="bottom"/>
          </w:tcPr>
          <w:p>
            <w:pPr>
              <w:ind w:left="680"/>
              <w:spacing w:after="0"/>
              <w:rPr>
                <w:sz w:val="20"/>
                <w:szCs w:val="20"/>
                <w:color w:val="auto"/>
              </w:rPr>
            </w:pPr>
            <w:r>
              <w:rPr>
                <w:rFonts w:ascii="Arial" w:cs="Arial" w:eastAsia="Arial" w:hAnsi="Arial"/>
                <w:sz w:val="14"/>
                <w:szCs w:val="14"/>
                <w:b w:val="1"/>
                <w:bCs w:val="1"/>
                <w:color w:val="1A3FD6"/>
              </w:rPr>
              <w:t>LOCATION</w:t>
            </w:r>
          </w:p>
        </w:tc>
        <w:tc>
          <w:tcPr>
            <w:tcW w:w="1660" w:type="dxa"/>
            <w:vAlign w:val="bottom"/>
          </w:tcPr>
          <w:p>
            <w:pPr>
              <w:ind w:left="480"/>
              <w:spacing w:after="0"/>
              <w:rPr>
                <w:sz w:val="20"/>
                <w:szCs w:val="20"/>
                <w:color w:val="auto"/>
              </w:rPr>
            </w:pPr>
            <w:r>
              <w:rPr>
                <w:rFonts w:ascii="Arial" w:cs="Arial" w:eastAsia="Arial" w:hAnsi="Arial"/>
                <w:sz w:val="14"/>
                <w:szCs w:val="14"/>
                <w:b w:val="1"/>
                <w:bCs w:val="1"/>
                <w:color w:val="1A3FD6"/>
              </w:rPr>
              <w:t>RECORD DATE</w:t>
            </w:r>
          </w:p>
        </w:tc>
      </w:tr>
      <w:tr>
        <w:trPr>
          <w:trHeight w:val="189"/>
        </w:trPr>
        <w:tc>
          <w:tcPr>
            <w:tcW w:w="2440" w:type="dxa"/>
            <w:vAlign w:val="bottom"/>
          </w:tcPr>
          <w:p>
            <w:pPr>
              <w:spacing w:after="0"/>
              <w:rPr>
                <w:sz w:val="20"/>
                <w:szCs w:val="20"/>
                <w:color w:val="auto"/>
              </w:rPr>
            </w:pPr>
            <w:r>
              <w:rPr>
                <w:rFonts w:ascii="Arial" w:cs="Arial" w:eastAsia="Arial" w:hAnsi="Arial"/>
                <w:sz w:val="14"/>
                <w:szCs w:val="14"/>
                <w:color w:val="auto"/>
              </w:rPr>
              <w:t>April 22, 2025 (Tuesday)</w:t>
            </w:r>
          </w:p>
        </w:tc>
        <w:tc>
          <w:tcPr>
            <w:tcW w:w="5960" w:type="dxa"/>
            <w:vAlign w:val="bottom"/>
          </w:tcPr>
          <w:p>
            <w:pPr>
              <w:ind w:left="680"/>
              <w:spacing w:after="0"/>
              <w:rPr>
                <w:sz w:val="20"/>
                <w:szCs w:val="20"/>
                <w:color w:val="auto"/>
              </w:rPr>
            </w:pPr>
            <w:r>
              <w:rPr>
                <w:rFonts w:ascii="Arial" w:cs="Arial" w:eastAsia="Arial" w:hAnsi="Arial"/>
                <w:sz w:val="14"/>
                <w:szCs w:val="14"/>
                <w:color w:val="auto"/>
              </w:rPr>
              <w:t>Attend the virtual meeting, including to vote and/or submit questions via the</w:t>
            </w:r>
          </w:p>
        </w:tc>
        <w:tc>
          <w:tcPr>
            <w:tcW w:w="1660" w:type="dxa"/>
            <w:vAlign w:val="bottom"/>
          </w:tcPr>
          <w:p>
            <w:pPr>
              <w:ind w:left="480"/>
              <w:spacing w:after="0"/>
              <w:rPr>
                <w:sz w:val="20"/>
                <w:szCs w:val="20"/>
                <w:color w:val="auto"/>
              </w:rPr>
            </w:pPr>
            <w:r>
              <w:rPr>
                <w:rFonts w:ascii="Arial" w:cs="Arial" w:eastAsia="Arial" w:hAnsi="Arial"/>
                <w:sz w:val="14"/>
                <w:szCs w:val="14"/>
                <w:color w:val="auto"/>
              </w:rPr>
              <w:t>February 28, 2025</w:t>
            </w:r>
          </w:p>
        </w:tc>
      </w:tr>
      <w:tr>
        <w:trPr>
          <w:trHeight w:val="189"/>
        </w:trPr>
        <w:tc>
          <w:tcPr>
            <w:tcW w:w="2440" w:type="dxa"/>
            <w:vAlign w:val="bottom"/>
          </w:tcPr>
          <w:p>
            <w:pPr>
              <w:spacing w:after="0"/>
              <w:rPr>
                <w:sz w:val="20"/>
                <w:szCs w:val="20"/>
                <w:color w:val="auto"/>
              </w:rPr>
            </w:pPr>
            <w:r>
              <w:rPr>
                <w:rFonts w:ascii="Arial" w:cs="Arial" w:eastAsia="Arial" w:hAnsi="Arial"/>
                <w:sz w:val="14"/>
                <w:szCs w:val="14"/>
                <w:color w:val="auto"/>
              </w:rPr>
              <w:t>2:30 P.M., EASTERN TIME</w:t>
            </w:r>
          </w:p>
        </w:tc>
        <w:tc>
          <w:tcPr>
            <w:tcW w:w="5960" w:type="dxa"/>
            <w:vAlign w:val="bottom"/>
          </w:tcPr>
          <w:p>
            <w:pPr>
              <w:ind w:left="680"/>
              <w:spacing w:after="0"/>
              <w:rPr>
                <w:sz w:val="20"/>
                <w:szCs w:val="20"/>
                <w:color w:val="auto"/>
              </w:rPr>
            </w:pPr>
            <w:r>
              <w:rPr>
                <w:rFonts w:ascii="Arial" w:cs="Arial" w:eastAsia="Arial" w:hAnsi="Arial"/>
                <w:sz w:val="14"/>
                <w:szCs w:val="14"/>
                <w:color w:val="auto"/>
              </w:rPr>
              <w:t>internet through a virtual web conference</w:t>
            </w:r>
          </w:p>
        </w:tc>
        <w:tc>
          <w:tcPr>
            <w:tcW w:w="1660" w:type="dxa"/>
            <w:vAlign w:val="bottom"/>
          </w:tcPr>
          <w:p>
            <w:pPr>
              <w:spacing w:after="0"/>
              <w:rPr>
                <w:sz w:val="16"/>
                <w:szCs w:val="16"/>
                <w:color w:val="auto"/>
              </w:rPr>
            </w:pPr>
          </w:p>
        </w:tc>
      </w:tr>
      <w:tr>
        <w:trPr>
          <w:trHeight w:val="190"/>
        </w:trPr>
        <w:tc>
          <w:tcPr>
            <w:tcW w:w="2440" w:type="dxa"/>
            <w:vAlign w:val="bottom"/>
          </w:tcPr>
          <w:p>
            <w:pPr>
              <w:spacing w:after="0"/>
              <w:rPr>
                <w:sz w:val="16"/>
                <w:szCs w:val="16"/>
                <w:color w:val="auto"/>
              </w:rPr>
            </w:pPr>
          </w:p>
        </w:tc>
        <w:tc>
          <w:tcPr>
            <w:tcW w:w="5960" w:type="dxa"/>
            <w:vAlign w:val="bottom"/>
          </w:tcPr>
          <w:p>
            <w:pPr>
              <w:ind w:left="680"/>
              <w:spacing w:after="0"/>
              <w:rPr>
                <w:sz w:val="20"/>
                <w:szCs w:val="20"/>
                <w:color w:val="auto"/>
              </w:rPr>
            </w:pPr>
            <w:r>
              <w:rPr>
                <w:rFonts w:ascii="Arial" w:cs="Arial" w:eastAsia="Arial" w:hAnsi="Arial"/>
                <w:sz w:val="14"/>
                <w:szCs w:val="14"/>
                <w:color w:val="auto"/>
              </w:rPr>
              <w:t xml:space="preserve">at: </w:t>
            </w:r>
            <w:r>
              <w:rPr>
                <w:rFonts w:ascii="Arial" w:cs="Arial" w:eastAsia="Arial" w:hAnsi="Arial"/>
                <w:sz w:val="14"/>
                <w:szCs w:val="14"/>
                <w:color w:val="1A3FD6"/>
              </w:rPr>
              <w:t>www.virtualshareholdermeeting.com/MSCI2025</w:t>
            </w:r>
          </w:p>
        </w:tc>
        <w:tc>
          <w:tcPr>
            <w:tcW w:w="16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-405765</wp:posOffset>
            </wp:positionV>
            <wp:extent cx="282575" cy="283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2575" cy="283210"/>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-405765</wp:posOffset>
            </wp:positionV>
            <wp:extent cx="28321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3210" cy="30861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-405765</wp:posOffset>
            </wp:positionV>
            <wp:extent cx="282575"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2575"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920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9202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60"/>
        <w:spacing w:after="0"/>
        <w:rPr>
          <w:sz w:val="20"/>
          <w:szCs w:val="20"/>
          <w:color w:val="auto"/>
        </w:rPr>
      </w:pPr>
      <w:r>
        <w:rPr>
          <w:rFonts w:ascii="Arial" w:cs="Arial" w:eastAsia="Arial" w:hAnsi="Arial"/>
          <w:sz w:val="22"/>
          <w:szCs w:val="22"/>
          <w:color w:val="1A3FD6"/>
        </w:rPr>
        <w:t>Annual Meeting Proposals and Voting Recommendations</w:t>
      </w:r>
    </w:p>
    <w:p>
      <w:pPr>
        <w:spacing w:after="0" w:line="71" w:lineRule="exact"/>
        <w:rPr>
          <w:sz w:val="20"/>
          <w:szCs w:val="20"/>
          <w:color w:val="auto"/>
        </w:rPr>
      </w:pPr>
    </w:p>
    <w:tbl>
      <w:tblPr>
        <w:tblLayout w:type="fixed"/>
        <w:tblInd w:w="340" w:type="dxa"/>
        <w:tblCellMar>
          <w:top w:w="0" w:type="dxa"/>
          <w:left w:w="0" w:type="dxa"/>
          <w:bottom w:w="0" w:type="dxa"/>
          <w:right w:w="0" w:type="dxa"/>
        </w:tblCellMar>
      </w:tblPr>
      <w:tr>
        <w:trPr>
          <w:trHeight w:val="95"/>
        </w:trPr>
        <w:tc>
          <w:tcPr>
            <w:tcW w:w="460" w:type="dxa"/>
            <w:vAlign w:val="bottom"/>
            <w:tcBorders>
              <w:bottom w:val="single" w:sz="8" w:color="1A3FD6"/>
            </w:tcBorders>
            <w:shd w:val="clear" w:color="auto" w:fill="EDF0FC"/>
          </w:tcPr>
          <w:p>
            <w:pPr>
              <w:spacing w:after="0"/>
              <w:rPr>
                <w:sz w:val="8"/>
                <w:szCs w:val="8"/>
                <w:color w:val="auto"/>
              </w:rPr>
            </w:pPr>
          </w:p>
        </w:tc>
        <w:tc>
          <w:tcPr>
            <w:tcW w:w="6800" w:type="dxa"/>
            <w:vAlign w:val="bottom"/>
            <w:tcBorders>
              <w:bottom w:val="single" w:sz="8" w:color="1A3FD6"/>
            </w:tcBorders>
          </w:tcPr>
          <w:p>
            <w:pPr>
              <w:spacing w:after="0"/>
              <w:rPr>
                <w:sz w:val="8"/>
                <w:szCs w:val="8"/>
                <w:color w:val="auto"/>
              </w:rPr>
            </w:pPr>
          </w:p>
        </w:tc>
        <w:tc>
          <w:tcPr>
            <w:tcW w:w="1980" w:type="dxa"/>
            <w:vAlign w:val="bottom"/>
            <w:tcBorders>
              <w:bottom w:val="single" w:sz="8" w:color="EDF0FC"/>
            </w:tcBorders>
          </w:tcPr>
          <w:p>
            <w:pPr>
              <w:spacing w:after="0"/>
              <w:rPr>
                <w:sz w:val="8"/>
                <w:szCs w:val="8"/>
                <w:color w:val="auto"/>
              </w:rPr>
            </w:pPr>
          </w:p>
        </w:tc>
        <w:tc>
          <w:tcPr>
            <w:tcW w:w="1300" w:type="dxa"/>
            <w:vAlign w:val="bottom"/>
            <w:tcBorders>
              <w:bottom w:val="single" w:sz="8" w:color="EDF0FC"/>
            </w:tcBorders>
          </w:tcPr>
          <w:p>
            <w:pPr>
              <w:spacing w:after="0"/>
              <w:rPr>
                <w:sz w:val="8"/>
                <w:szCs w:val="8"/>
                <w:color w:val="auto"/>
              </w:rPr>
            </w:pPr>
          </w:p>
        </w:tc>
        <w:tc>
          <w:tcPr>
            <w:tcW w:w="360" w:type="dxa"/>
            <w:vAlign w:val="bottom"/>
            <w:tcBorders>
              <w:bottom w:val="single" w:sz="8" w:color="EDF0FC"/>
            </w:tcBorders>
          </w:tcPr>
          <w:p>
            <w:pPr>
              <w:spacing w:after="0"/>
              <w:rPr>
                <w:sz w:val="8"/>
                <w:szCs w:val="8"/>
                <w:color w:val="auto"/>
              </w:rPr>
            </w:pPr>
          </w:p>
        </w:tc>
      </w:tr>
      <w:tr>
        <w:trPr>
          <w:trHeight w:val="411"/>
        </w:trPr>
        <w:tc>
          <w:tcPr>
            <w:tcW w:w="460" w:type="dxa"/>
            <w:vAlign w:val="bottom"/>
            <w:shd w:val="clear" w:color="auto" w:fill="EDF0FC"/>
          </w:tcPr>
          <w:p>
            <w:pPr>
              <w:jc w:val="right"/>
              <w:ind w:right="52"/>
              <w:spacing w:after="0"/>
              <w:rPr>
                <w:sz w:val="20"/>
                <w:szCs w:val="20"/>
                <w:color w:val="auto"/>
              </w:rPr>
            </w:pPr>
            <w:r>
              <w:rPr>
                <w:rFonts w:ascii="Arial" w:cs="Arial" w:eastAsia="Arial" w:hAnsi="Arial"/>
                <w:sz w:val="22"/>
                <w:szCs w:val="22"/>
                <w:b w:val="1"/>
                <w:bCs w:val="1"/>
                <w:color w:val="1A3FD6"/>
              </w:rPr>
              <w:t>1</w:t>
            </w:r>
          </w:p>
        </w:tc>
        <w:tc>
          <w:tcPr>
            <w:tcW w:w="6800" w:type="dxa"/>
            <w:vAlign w:val="bottom"/>
            <w:shd w:val="clear" w:color="auto" w:fill="EDF0FC"/>
          </w:tcPr>
          <w:p>
            <w:pPr>
              <w:ind w:left="20"/>
              <w:spacing w:after="0"/>
              <w:rPr>
                <w:sz w:val="20"/>
                <w:szCs w:val="20"/>
                <w:color w:val="auto"/>
              </w:rPr>
            </w:pPr>
            <w:r>
              <w:rPr>
                <w:rFonts w:ascii="Arial" w:cs="Arial" w:eastAsia="Arial" w:hAnsi="Arial"/>
                <w:sz w:val="14"/>
                <w:szCs w:val="14"/>
                <w:color w:val="auto"/>
              </w:rPr>
              <w:t>Election of Directors</w:t>
            </w:r>
          </w:p>
        </w:tc>
        <w:tc>
          <w:tcPr>
            <w:tcW w:w="1980" w:type="dxa"/>
            <w:vAlign w:val="bottom"/>
            <w:shd w:val="clear" w:color="auto" w:fill="EDF0FC"/>
          </w:tcPr>
          <w:p>
            <w:pPr>
              <w:ind w:left="20"/>
              <w:spacing w:after="0"/>
              <w:rPr>
                <w:sz w:val="20"/>
                <w:szCs w:val="20"/>
                <w:color w:val="auto"/>
              </w:rPr>
            </w:pPr>
            <w:r>
              <w:rPr>
                <w:rFonts w:ascii="Arial" w:cs="Arial" w:eastAsia="Arial" w:hAnsi="Arial"/>
                <w:sz w:val="14"/>
                <w:szCs w:val="14"/>
                <w:b w:val="1"/>
                <w:bCs w:val="1"/>
                <w:color w:val="1A3FD6"/>
              </w:rPr>
              <w:t xml:space="preserve">“FOR” </w:t>
            </w:r>
            <w:r>
              <w:rPr>
                <w:rFonts w:ascii="Arial" w:cs="Arial" w:eastAsia="Arial" w:hAnsi="Arial"/>
                <w:sz w:val="14"/>
                <w:szCs w:val="14"/>
                <w:color w:val="000000"/>
              </w:rPr>
              <w:t>each nominee</w:t>
            </w:r>
          </w:p>
        </w:tc>
        <w:tc>
          <w:tcPr>
            <w:tcW w:w="1660" w:type="dxa"/>
            <w:vAlign w:val="bottom"/>
            <w:gridSpan w:val="2"/>
            <w:shd w:val="clear" w:color="auto" w:fill="EDF0FC"/>
          </w:tcPr>
          <w:p>
            <w:pPr>
              <w:ind w:left="20"/>
              <w:spacing w:after="0"/>
              <w:rPr>
                <w:sz w:val="20"/>
                <w:szCs w:val="20"/>
                <w:color w:val="auto"/>
              </w:rPr>
            </w:pPr>
            <w:r>
              <w:rPr>
                <w:rFonts w:ascii="Arial" w:cs="Arial" w:eastAsia="Arial" w:hAnsi="Arial"/>
                <w:sz w:val="14"/>
                <w:szCs w:val="14"/>
                <w:color w:val="auto"/>
              </w:rPr>
              <w:t>See Page 19</w:t>
            </w:r>
          </w:p>
        </w:tc>
      </w:tr>
      <w:tr>
        <w:trPr>
          <w:trHeight w:val="136"/>
        </w:trPr>
        <w:tc>
          <w:tcPr>
            <w:tcW w:w="460" w:type="dxa"/>
            <w:vAlign w:val="bottom"/>
            <w:tcBorders>
              <w:bottom w:val="single" w:sz="8" w:color="999999"/>
            </w:tcBorders>
            <w:shd w:val="clear" w:color="auto" w:fill="EDF0FC"/>
          </w:tcPr>
          <w:p>
            <w:pPr>
              <w:spacing w:after="0"/>
              <w:rPr>
                <w:sz w:val="11"/>
                <w:szCs w:val="11"/>
                <w:color w:val="auto"/>
              </w:rPr>
            </w:pPr>
          </w:p>
        </w:tc>
        <w:tc>
          <w:tcPr>
            <w:tcW w:w="6800" w:type="dxa"/>
            <w:vAlign w:val="bottom"/>
            <w:tcBorders>
              <w:bottom w:val="single" w:sz="8" w:color="999999"/>
            </w:tcBorders>
            <w:shd w:val="clear" w:color="auto" w:fill="EDF0FC"/>
          </w:tcPr>
          <w:p>
            <w:pPr>
              <w:spacing w:after="0"/>
              <w:rPr>
                <w:sz w:val="11"/>
                <w:szCs w:val="11"/>
                <w:color w:val="auto"/>
              </w:rPr>
            </w:pPr>
          </w:p>
        </w:tc>
        <w:tc>
          <w:tcPr>
            <w:tcW w:w="1980" w:type="dxa"/>
            <w:vAlign w:val="bottom"/>
            <w:tcBorders>
              <w:bottom w:val="single" w:sz="8" w:color="999999"/>
            </w:tcBorders>
            <w:shd w:val="clear" w:color="auto" w:fill="EDF0FC"/>
          </w:tcPr>
          <w:p>
            <w:pPr>
              <w:spacing w:after="0"/>
              <w:rPr>
                <w:sz w:val="11"/>
                <w:szCs w:val="11"/>
                <w:color w:val="auto"/>
              </w:rPr>
            </w:pPr>
          </w:p>
        </w:tc>
        <w:tc>
          <w:tcPr>
            <w:tcW w:w="1300" w:type="dxa"/>
            <w:vAlign w:val="bottom"/>
            <w:tcBorders>
              <w:bottom w:val="single" w:sz="8" w:color="999999"/>
            </w:tcBorders>
            <w:shd w:val="clear" w:color="auto" w:fill="EDF0FC"/>
          </w:tcPr>
          <w:p>
            <w:pPr>
              <w:spacing w:after="0"/>
              <w:rPr>
                <w:sz w:val="11"/>
                <w:szCs w:val="11"/>
                <w:color w:val="auto"/>
              </w:rPr>
            </w:pPr>
          </w:p>
        </w:tc>
        <w:tc>
          <w:tcPr>
            <w:tcW w:w="360" w:type="dxa"/>
            <w:vAlign w:val="bottom"/>
            <w:tcBorders>
              <w:bottom w:val="single" w:sz="8" w:color="EDF0FC"/>
            </w:tcBorders>
            <w:shd w:val="clear" w:color="auto" w:fill="EDF0FC"/>
          </w:tcPr>
          <w:p>
            <w:pPr>
              <w:spacing w:after="0"/>
              <w:rPr>
                <w:sz w:val="11"/>
                <w:szCs w:val="11"/>
                <w:color w:val="auto"/>
              </w:rPr>
            </w:pPr>
          </w:p>
        </w:tc>
      </w:tr>
      <w:tr>
        <w:trPr>
          <w:trHeight w:val="411"/>
        </w:trPr>
        <w:tc>
          <w:tcPr>
            <w:tcW w:w="460" w:type="dxa"/>
            <w:vAlign w:val="bottom"/>
            <w:shd w:val="clear" w:color="auto" w:fill="EDF0FC"/>
          </w:tcPr>
          <w:p>
            <w:pPr>
              <w:jc w:val="right"/>
              <w:ind w:right="52"/>
              <w:spacing w:after="0"/>
              <w:rPr>
                <w:sz w:val="20"/>
                <w:szCs w:val="20"/>
                <w:color w:val="auto"/>
              </w:rPr>
            </w:pPr>
            <w:r>
              <w:rPr>
                <w:rFonts w:ascii="Arial" w:cs="Arial" w:eastAsia="Arial" w:hAnsi="Arial"/>
                <w:sz w:val="22"/>
                <w:szCs w:val="22"/>
                <w:b w:val="1"/>
                <w:bCs w:val="1"/>
                <w:color w:val="1A3FD6"/>
              </w:rPr>
              <w:t>2</w:t>
            </w:r>
          </w:p>
        </w:tc>
        <w:tc>
          <w:tcPr>
            <w:tcW w:w="6800" w:type="dxa"/>
            <w:vAlign w:val="bottom"/>
            <w:shd w:val="clear" w:color="auto" w:fill="EDF0FC"/>
          </w:tcPr>
          <w:p>
            <w:pPr>
              <w:ind w:left="20"/>
              <w:spacing w:after="0"/>
              <w:rPr>
                <w:sz w:val="20"/>
                <w:szCs w:val="20"/>
                <w:color w:val="auto"/>
              </w:rPr>
            </w:pPr>
            <w:r>
              <w:rPr>
                <w:rFonts w:ascii="Arial" w:cs="Arial" w:eastAsia="Arial" w:hAnsi="Arial"/>
                <w:sz w:val="14"/>
                <w:szCs w:val="14"/>
                <w:color w:val="auto"/>
              </w:rPr>
              <w:t>Advisory Vote to Approve Executive Compensation (Say-on-Pay)</w:t>
            </w:r>
          </w:p>
        </w:tc>
        <w:tc>
          <w:tcPr>
            <w:tcW w:w="1980" w:type="dxa"/>
            <w:vAlign w:val="bottom"/>
            <w:shd w:val="clear" w:color="auto" w:fill="EDF0FC"/>
          </w:tcPr>
          <w:p>
            <w:pPr>
              <w:ind w:left="20"/>
              <w:spacing w:after="0"/>
              <w:rPr>
                <w:sz w:val="20"/>
                <w:szCs w:val="20"/>
                <w:color w:val="auto"/>
              </w:rPr>
            </w:pPr>
            <w:r>
              <w:rPr>
                <w:rFonts w:ascii="Arial" w:cs="Arial" w:eastAsia="Arial" w:hAnsi="Arial"/>
                <w:sz w:val="14"/>
                <w:szCs w:val="14"/>
                <w:b w:val="1"/>
                <w:bCs w:val="1"/>
                <w:color w:val="1A3FD6"/>
              </w:rPr>
              <w:t>“FOR”</w:t>
            </w:r>
          </w:p>
        </w:tc>
        <w:tc>
          <w:tcPr>
            <w:tcW w:w="1300" w:type="dxa"/>
            <w:vAlign w:val="bottom"/>
            <w:shd w:val="clear" w:color="auto" w:fill="EDF0FC"/>
          </w:tcPr>
          <w:p>
            <w:pPr>
              <w:ind w:left="20"/>
              <w:spacing w:after="0"/>
              <w:rPr>
                <w:sz w:val="20"/>
                <w:szCs w:val="20"/>
                <w:color w:val="auto"/>
              </w:rPr>
            </w:pPr>
            <w:r>
              <w:rPr>
                <w:rFonts w:ascii="Arial" w:cs="Arial" w:eastAsia="Arial" w:hAnsi="Arial"/>
                <w:sz w:val="14"/>
                <w:szCs w:val="14"/>
                <w:color w:val="auto"/>
              </w:rPr>
              <w:t>See Page 56</w:t>
            </w:r>
          </w:p>
        </w:tc>
        <w:tc>
          <w:tcPr>
            <w:tcW w:w="360" w:type="dxa"/>
            <w:vAlign w:val="bottom"/>
            <w:shd w:val="clear" w:color="auto" w:fill="EDF0FC"/>
          </w:tcPr>
          <w:p>
            <w:pPr>
              <w:spacing w:after="0"/>
              <w:rPr>
                <w:sz w:val="24"/>
                <w:szCs w:val="24"/>
                <w:color w:val="auto"/>
              </w:rPr>
            </w:pPr>
          </w:p>
        </w:tc>
      </w:tr>
      <w:tr>
        <w:trPr>
          <w:trHeight w:val="136"/>
        </w:trPr>
        <w:tc>
          <w:tcPr>
            <w:tcW w:w="460" w:type="dxa"/>
            <w:vAlign w:val="bottom"/>
            <w:tcBorders>
              <w:bottom w:val="single" w:sz="8" w:color="999999"/>
            </w:tcBorders>
            <w:shd w:val="clear" w:color="auto" w:fill="EDF0FC"/>
          </w:tcPr>
          <w:p>
            <w:pPr>
              <w:spacing w:after="0"/>
              <w:rPr>
                <w:sz w:val="11"/>
                <w:szCs w:val="11"/>
                <w:color w:val="auto"/>
              </w:rPr>
            </w:pPr>
          </w:p>
        </w:tc>
        <w:tc>
          <w:tcPr>
            <w:tcW w:w="6800" w:type="dxa"/>
            <w:vAlign w:val="bottom"/>
            <w:tcBorders>
              <w:bottom w:val="single" w:sz="8" w:color="999999"/>
            </w:tcBorders>
            <w:shd w:val="clear" w:color="auto" w:fill="EDF0FC"/>
          </w:tcPr>
          <w:p>
            <w:pPr>
              <w:spacing w:after="0"/>
              <w:rPr>
                <w:sz w:val="11"/>
                <w:szCs w:val="11"/>
                <w:color w:val="auto"/>
              </w:rPr>
            </w:pPr>
          </w:p>
        </w:tc>
        <w:tc>
          <w:tcPr>
            <w:tcW w:w="1980" w:type="dxa"/>
            <w:vAlign w:val="bottom"/>
            <w:tcBorders>
              <w:bottom w:val="single" w:sz="8" w:color="999999"/>
            </w:tcBorders>
            <w:shd w:val="clear" w:color="auto" w:fill="EDF0FC"/>
          </w:tcPr>
          <w:p>
            <w:pPr>
              <w:spacing w:after="0"/>
              <w:rPr>
                <w:sz w:val="11"/>
                <w:szCs w:val="11"/>
                <w:color w:val="auto"/>
              </w:rPr>
            </w:pPr>
          </w:p>
        </w:tc>
        <w:tc>
          <w:tcPr>
            <w:tcW w:w="1300" w:type="dxa"/>
            <w:vAlign w:val="bottom"/>
            <w:tcBorders>
              <w:bottom w:val="single" w:sz="8" w:color="999999"/>
            </w:tcBorders>
            <w:shd w:val="clear" w:color="auto" w:fill="EDF0FC"/>
          </w:tcPr>
          <w:p>
            <w:pPr>
              <w:spacing w:after="0"/>
              <w:rPr>
                <w:sz w:val="11"/>
                <w:szCs w:val="11"/>
                <w:color w:val="auto"/>
              </w:rPr>
            </w:pPr>
          </w:p>
        </w:tc>
        <w:tc>
          <w:tcPr>
            <w:tcW w:w="360" w:type="dxa"/>
            <w:vAlign w:val="bottom"/>
            <w:tcBorders>
              <w:bottom w:val="single" w:sz="8" w:color="EDF0FC"/>
            </w:tcBorders>
            <w:shd w:val="clear" w:color="auto" w:fill="EDF0FC"/>
          </w:tcPr>
          <w:p>
            <w:pPr>
              <w:spacing w:after="0"/>
              <w:rPr>
                <w:sz w:val="11"/>
                <w:szCs w:val="11"/>
                <w:color w:val="auto"/>
              </w:rPr>
            </w:pPr>
          </w:p>
        </w:tc>
      </w:tr>
      <w:tr>
        <w:trPr>
          <w:trHeight w:val="411"/>
        </w:trPr>
        <w:tc>
          <w:tcPr>
            <w:tcW w:w="460" w:type="dxa"/>
            <w:vAlign w:val="bottom"/>
            <w:shd w:val="clear" w:color="auto" w:fill="EDF0FC"/>
          </w:tcPr>
          <w:p>
            <w:pPr>
              <w:jc w:val="right"/>
              <w:ind w:right="52"/>
              <w:spacing w:after="0"/>
              <w:rPr>
                <w:sz w:val="20"/>
                <w:szCs w:val="20"/>
                <w:color w:val="auto"/>
              </w:rPr>
            </w:pPr>
            <w:r>
              <w:rPr>
                <w:rFonts w:ascii="Arial" w:cs="Arial" w:eastAsia="Arial" w:hAnsi="Arial"/>
                <w:sz w:val="22"/>
                <w:szCs w:val="22"/>
                <w:b w:val="1"/>
                <w:bCs w:val="1"/>
                <w:color w:val="1A3FD6"/>
              </w:rPr>
              <w:t>3</w:t>
            </w:r>
          </w:p>
        </w:tc>
        <w:tc>
          <w:tcPr>
            <w:tcW w:w="6800" w:type="dxa"/>
            <w:vAlign w:val="bottom"/>
            <w:shd w:val="clear" w:color="auto" w:fill="EDF0FC"/>
          </w:tcPr>
          <w:p>
            <w:pPr>
              <w:ind w:left="20"/>
              <w:spacing w:after="0"/>
              <w:rPr>
                <w:sz w:val="20"/>
                <w:szCs w:val="20"/>
                <w:color w:val="auto"/>
              </w:rPr>
            </w:pPr>
            <w:r>
              <w:rPr>
                <w:rFonts w:ascii="Arial" w:cs="Arial" w:eastAsia="Arial" w:hAnsi="Arial"/>
                <w:sz w:val="14"/>
                <w:szCs w:val="14"/>
                <w:color w:val="auto"/>
              </w:rPr>
              <w:t>Approval of the MSCI Inc. 2025 Omnibus Incentive Plan</w:t>
            </w:r>
          </w:p>
        </w:tc>
        <w:tc>
          <w:tcPr>
            <w:tcW w:w="1980" w:type="dxa"/>
            <w:vAlign w:val="bottom"/>
            <w:shd w:val="clear" w:color="auto" w:fill="EDF0FC"/>
          </w:tcPr>
          <w:p>
            <w:pPr>
              <w:ind w:left="20"/>
              <w:spacing w:after="0"/>
              <w:rPr>
                <w:sz w:val="20"/>
                <w:szCs w:val="20"/>
                <w:color w:val="auto"/>
              </w:rPr>
            </w:pPr>
            <w:r>
              <w:rPr>
                <w:rFonts w:ascii="Arial" w:cs="Arial" w:eastAsia="Arial" w:hAnsi="Arial"/>
                <w:sz w:val="14"/>
                <w:szCs w:val="14"/>
                <w:b w:val="1"/>
                <w:bCs w:val="1"/>
                <w:color w:val="1A3FD6"/>
              </w:rPr>
              <w:t>“FOR”</w:t>
            </w:r>
          </w:p>
        </w:tc>
        <w:tc>
          <w:tcPr>
            <w:tcW w:w="1300" w:type="dxa"/>
            <w:vAlign w:val="bottom"/>
            <w:shd w:val="clear" w:color="auto" w:fill="EDF0FC"/>
          </w:tcPr>
          <w:p>
            <w:pPr>
              <w:ind w:left="20"/>
              <w:spacing w:after="0"/>
              <w:rPr>
                <w:sz w:val="20"/>
                <w:szCs w:val="20"/>
                <w:color w:val="auto"/>
              </w:rPr>
            </w:pPr>
            <w:r>
              <w:rPr>
                <w:rFonts w:ascii="Arial" w:cs="Arial" w:eastAsia="Arial" w:hAnsi="Arial"/>
                <w:sz w:val="14"/>
                <w:szCs w:val="14"/>
                <w:color w:val="auto"/>
              </w:rPr>
              <w:t>See Page 98</w:t>
            </w:r>
          </w:p>
        </w:tc>
        <w:tc>
          <w:tcPr>
            <w:tcW w:w="360" w:type="dxa"/>
            <w:vAlign w:val="bottom"/>
            <w:shd w:val="clear" w:color="auto" w:fill="EDF0FC"/>
          </w:tcPr>
          <w:p>
            <w:pPr>
              <w:spacing w:after="0"/>
              <w:rPr>
                <w:sz w:val="24"/>
                <w:szCs w:val="24"/>
                <w:color w:val="auto"/>
              </w:rPr>
            </w:pPr>
          </w:p>
        </w:tc>
      </w:tr>
      <w:tr>
        <w:trPr>
          <w:trHeight w:val="136"/>
        </w:trPr>
        <w:tc>
          <w:tcPr>
            <w:tcW w:w="460" w:type="dxa"/>
            <w:vAlign w:val="bottom"/>
            <w:tcBorders>
              <w:bottom w:val="single" w:sz="8" w:color="999999"/>
            </w:tcBorders>
            <w:shd w:val="clear" w:color="auto" w:fill="EDF0FC"/>
          </w:tcPr>
          <w:p>
            <w:pPr>
              <w:spacing w:after="0"/>
              <w:rPr>
                <w:sz w:val="11"/>
                <w:szCs w:val="11"/>
                <w:color w:val="auto"/>
              </w:rPr>
            </w:pPr>
          </w:p>
        </w:tc>
        <w:tc>
          <w:tcPr>
            <w:tcW w:w="6800" w:type="dxa"/>
            <w:vAlign w:val="bottom"/>
            <w:tcBorders>
              <w:bottom w:val="single" w:sz="8" w:color="999999"/>
            </w:tcBorders>
            <w:shd w:val="clear" w:color="auto" w:fill="EDF0FC"/>
          </w:tcPr>
          <w:p>
            <w:pPr>
              <w:spacing w:after="0"/>
              <w:rPr>
                <w:sz w:val="11"/>
                <w:szCs w:val="11"/>
                <w:color w:val="auto"/>
              </w:rPr>
            </w:pPr>
          </w:p>
        </w:tc>
        <w:tc>
          <w:tcPr>
            <w:tcW w:w="1980" w:type="dxa"/>
            <w:vAlign w:val="bottom"/>
            <w:tcBorders>
              <w:bottom w:val="single" w:sz="8" w:color="999999"/>
            </w:tcBorders>
            <w:shd w:val="clear" w:color="auto" w:fill="EDF0FC"/>
          </w:tcPr>
          <w:p>
            <w:pPr>
              <w:spacing w:after="0"/>
              <w:rPr>
                <w:sz w:val="11"/>
                <w:szCs w:val="11"/>
                <w:color w:val="auto"/>
              </w:rPr>
            </w:pPr>
          </w:p>
        </w:tc>
        <w:tc>
          <w:tcPr>
            <w:tcW w:w="1300" w:type="dxa"/>
            <w:vAlign w:val="bottom"/>
            <w:tcBorders>
              <w:bottom w:val="single" w:sz="8" w:color="999999"/>
            </w:tcBorders>
            <w:shd w:val="clear" w:color="auto" w:fill="EDF0FC"/>
          </w:tcPr>
          <w:p>
            <w:pPr>
              <w:spacing w:after="0"/>
              <w:rPr>
                <w:sz w:val="11"/>
                <w:szCs w:val="11"/>
                <w:color w:val="auto"/>
              </w:rPr>
            </w:pPr>
          </w:p>
        </w:tc>
        <w:tc>
          <w:tcPr>
            <w:tcW w:w="360" w:type="dxa"/>
            <w:vAlign w:val="bottom"/>
            <w:tcBorders>
              <w:bottom w:val="single" w:sz="8" w:color="EDF0FC"/>
            </w:tcBorders>
            <w:shd w:val="clear" w:color="auto" w:fill="EDF0FC"/>
          </w:tcPr>
          <w:p>
            <w:pPr>
              <w:spacing w:after="0"/>
              <w:rPr>
                <w:sz w:val="11"/>
                <w:szCs w:val="11"/>
                <w:color w:val="auto"/>
              </w:rPr>
            </w:pPr>
          </w:p>
        </w:tc>
      </w:tr>
      <w:tr>
        <w:trPr>
          <w:trHeight w:val="411"/>
        </w:trPr>
        <w:tc>
          <w:tcPr>
            <w:tcW w:w="460" w:type="dxa"/>
            <w:vAlign w:val="bottom"/>
            <w:shd w:val="clear" w:color="auto" w:fill="EDF0FC"/>
          </w:tcPr>
          <w:p>
            <w:pPr>
              <w:jc w:val="right"/>
              <w:ind w:right="52"/>
              <w:spacing w:after="0"/>
              <w:rPr>
                <w:sz w:val="20"/>
                <w:szCs w:val="20"/>
                <w:color w:val="auto"/>
              </w:rPr>
            </w:pPr>
            <w:r>
              <w:rPr>
                <w:rFonts w:ascii="Arial" w:cs="Arial" w:eastAsia="Arial" w:hAnsi="Arial"/>
                <w:sz w:val="22"/>
                <w:szCs w:val="22"/>
                <w:b w:val="1"/>
                <w:bCs w:val="1"/>
                <w:color w:val="1A3FD6"/>
              </w:rPr>
              <w:t>4</w:t>
            </w:r>
          </w:p>
        </w:tc>
        <w:tc>
          <w:tcPr>
            <w:tcW w:w="6800" w:type="dxa"/>
            <w:vAlign w:val="bottom"/>
            <w:shd w:val="clear" w:color="auto" w:fill="EDF0FC"/>
          </w:tcPr>
          <w:p>
            <w:pPr>
              <w:ind w:left="20"/>
              <w:spacing w:after="0"/>
              <w:rPr>
                <w:sz w:val="20"/>
                <w:szCs w:val="20"/>
                <w:color w:val="auto"/>
              </w:rPr>
            </w:pPr>
            <w:r>
              <w:rPr>
                <w:rFonts w:ascii="Arial" w:cs="Arial" w:eastAsia="Arial" w:hAnsi="Arial"/>
                <w:sz w:val="14"/>
                <w:szCs w:val="14"/>
                <w:color w:val="auto"/>
              </w:rPr>
              <w:t>Ratification of the Appointment of MSCI’s Independent Auditor</w:t>
            </w:r>
          </w:p>
        </w:tc>
        <w:tc>
          <w:tcPr>
            <w:tcW w:w="1980" w:type="dxa"/>
            <w:vAlign w:val="bottom"/>
            <w:shd w:val="clear" w:color="auto" w:fill="EDF0FC"/>
          </w:tcPr>
          <w:p>
            <w:pPr>
              <w:ind w:left="20"/>
              <w:spacing w:after="0"/>
              <w:rPr>
                <w:sz w:val="20"/>
                <w:szCs w:val="20"/>
                <w:color w:val="auto"/>
              </w:rPr>
            </w:pPr>
            <w:r>
              <w:rPr>
                <w:rFonts w:ascii="Arial" w:cs="Arial" w:eastAsia="Arial" w:hAnsi="Arial"/>
                <w:sz w:val="14"/>
                <w:szCs w:val="14"/>
                <w:b w:val="1"/>
                <w:bCs w:val="1"/>
                <w:color w:val="1A3FD6"/>
              </w:rPr>
              <w:t>“FOR”</w:t>
            </w:r>
          </w:p>
        </w:tc>
        <w:tc>
          <w:tcPr>
            <w:tcW w:w="1300" w:type="dxa"/>
            <w:vAlign w:val="bottom"/>
            <w:shd w:val="clear" w:color="auto" w:fill="EDF0FC"/>
          </w:tcPr>
          <w:p>
            <w:pPr>
              <w:ind w:left="20"/>
              <w:spacing w:after="0"/>
              <w:rPr>
                <w:sz w:val="20"/>
                <w:szCs w:val="20"/>
                <w:color w:val="auto"/>
              </w:rPr>
            </w:pPr>
            <w:r>
              <w:rPr>
                <w:rFonts w:ascii="Arial" w:cs="Arial" w:eastAsia="Arial" w:hAnsi="Arial"/>
                <w:sz w:val="14"/>
                <w:szCs w:val="14"/>
                <w:color w:val="auto"/>
              </w:rPr>
              <w:t>See Page 112</w:t>
            </w:r>
          </w:p>
        </w:tc>
        <w:tc>
          <w:tcPr>
            <w:tcW w:w="360" w:type="dxa"/>
            <w:vAlign w:val="bottom"/>
            <w:shd w:val="clear" w:color="auto" w:fill="EDF0FC"/>
          </w:tcPr>
          <w:p>
            <w:pPr>
              <w:spacing w:after="0"/>
              <w:rPr>
                <w:sz w:val="24"/>
                <w:szCs w:val="24"/>
                <w:color w:val="auto"/>
              </w:rPr>
            </w:pPr>
          </w:p>
        </w:tc>
      </w:tr>
      <w:tr>
        <w:trPr>
          <w:trHeight w:val="136"/>
        </w:trPr>
        <w:tc>
          <w:tcPr>
            <w:tcW w:w="460" w:type="dxa"/>
            <w:vAlign w:val="bottom"/>
            <w:tcBorders>
              <w:bottom w:val="single" w:sz="8" w:color="1A3FD6"/>
            </w:tcBorders>
            <w:shd w:val="clear" w:color="auto" w:fill="EDF0FC"/>
          </w:tcPr>
          <w:p>
            <w:pPr>
              <w:spacing w:after="0"/>
              <w:rPr>
                <w:sz w:val="11"/>
                <w:szCs w:val="11"/>
                <w:color w:val="auto"/>
              </w:rPr>
            </w:pPr>
          </w:p>
        </w:tc>
        <w:tc>
          <w:tcPr>
            <w:tcW w:w="6800" w:type="dxa"/>
            <w:vAlign w:val="bottom"/>
            <w:tcBorders>
              <w:bottom w:val="single" w:sz="8" w:color="1A3FD6"/>
            </w:tcBorders>
            <w:shd w:val="clear" w:color="auto" w:fill="EDF0FC"/>
          </w:tcPr>
          <w:p>
            <w:pPr>
              <w:spacing w:after="0"/>
              <w:rPr>
                <w:sz w:val="11"/>
                <w:szCs w:val="11"/>
                <w:color w:val="auto"/>
              </w:rPr>
            </w:pPr>
          </w:p>
        </w:tc>
        <w:tc>
          <w:tcPr>
            <w:tcW w:w="1980" w:type="dxa"/>
            <w:vAlign w:val="bottom"/>
            <w:tcBorders>
              <w:bottom w:val="single" w:sz="8" w:color="1A3FD6"/>
            </w:tcBorders>
            <w:shd w:val="clear" w:color="auto" w:fill="EDF0FC"/>
          </w:tcPr>
          <w:p>
            <w:pPr>
              <w:spacing w:after="0"/>
              <w:rPr>
                <w:sz w:val="11"/>
                <w:szCs w:val="11"/>
                <w:color w:val="auto"/>
              </w:rPr>
            </w:pPr>
          </w:p>
        </w:tc>
        <w:tc>
          <w:tcPr>
            <w:tcW w:w="1300" w:type="dxa"/>
            <w:vAlign w:val="bottom"/>
            <w:tcBorders>
              <w:bottom w:val="single" w:sz="8" w:color="1A3FD6"/>
            </w:tcBorders>
            <w:shd w:val="clear" w:color="auto" w:fill="EDF0FC"/>
          </w:tcPr>
          <w:p>
            <w:pPr>
              <w:spacing w:after="0"/>
              <w:rPr>
                <w:sz w:val="11"/>
                <w:szCs w:val="11"/>
                <w:color w:val="auto"/>
              </w:rPr>
            </w:pPr>
          </w:p>
        </w:tc>
        <w:tc>
          <w:tcPr>
            <w:tcW w:w="360" w:type="dxa"/>
            <w:vAlign w:val="bottom"/>
            <w:tcBorders>
              <w:bottom w:val="single" w:sz="8" w:color="EDF0FC"/>
            </w:tcBorders>
            <w:shd w:val="clear" w:color="auto" w:fill="EDF0FC"/>
          </w:tcPr>
          <w:p>
            <w:pPr>
              <w:spacing w:after="0"/>
              <w:rPr>
                <w:sz w:val="11"/>
                <w:szCs w:val="11"/>
                <w:color w:val="auto"/>
              </w:rPr>
            </w:pPr>
          </w:p>
        </w:tc>
      </w:tr>
      <w:tr>
        <w:trPr>
          <w:trHeight w:val="142"/>
        </w:trPr>
        <w:tc>
          <w:tcPr>
            <w:tcW w:w="460" w:type="dxa"/>
            <w:vAlign w:val="bottom"/>
            <w:shd w:val="clear" w:color="auto" w:fill="EDF0FC"/>
          </w:tcPr>
          <w:p>
            <w:pPr>
              <w:spacing w:after="0"/>
              <w:rPr>
                <w:sz w:val="12"/>
                <w:szCs w:val="12"/>
                <w:color w:val="auto"/>
              </w:rPr>
            </w:pPr>
          </w:p>
        </w:tc>
        <w:tc>
          <w:tcPr>
            <w:tcW w:w="6800" w:type="dxa"/>
            <w:vAlign w:val="bottom"/>
            <w:shd w:val="clear" w:color="auto" w:fill="EDF0FC"/>
          </w:tcPr>
          <w:p>
            <w:pPr>
              <w:spacing w:after="0"/>
              <w:rPr>
                <w:sz w:val="12"/>
                <w:szCs w:val="12"/>
                <w:color w:val="auto"/>
              </w:rPr>
            </w:pPr>
          </w:p>
        </w:tc>
        <w:tc>
          <w:tcPr>
            <w:tcW w:w="1980" w:type="dxa"/>
            <w:vAlign w:val="bottom"/>
            <w:shd w:val="clear" w:color="auto" w:fill="EDF0FC"/>
          </w:tcPr>
          <w:p>
            <w:pPr>
              <w:spacing w:after="0"/>
              <w:rPr>
                <w:sz w:val="12"/>
                <w:szCs w:val="12"/>
                <w:color w:val="auto"/>
              </w:rPr>
            </w:pPr>
          </w:p>
        </w:tc>
        <w:tc>
          <w:tcPr>
            <w:tcW w:w="1300" w:type="dxa"/>
            <w:vAlign w:val="bottom"/>
            <w:shd w:val="clear" w:color="auto" w:fill="EDF0FC"/>
          </w:tcPr>
          <w:p>
            <w:pPr>
              <w:spacing w:after="0"/>
              <w:rPr>
                <w:sz w:val="12"/>
                <w:szCs w:val="12"/>
                <w:color w:val="auto"/>
              </w:rPr>
            </w:pPr>
          </w:p>
        </w:tc>
        <w:tc>
          <w:tcPr>
            <w:tcW w:w="360" w:type="dxa"/>
            <w:vAlign w:val="bottom"/>
            <w:shd w:val="clear" w:color="auto" w:fill="EDF0FC"/>
          </w:tcPr>
          <w:p>
            <w:pPr>
              <w:spacing w:after="0"/>
              <w:rPr>
                <w:sz w:val="12"/>
                <w:szCs w:val="12"/>
                <w:color w:val="auto"/>
              </w:rPr>
            </w:pPr>
          </w:p>
        </w:tc>
      </w:tr>
    </w:tbl>
    <w:p>
      <w:pPr>
        <w:spacing w:after="0" w:line="166" w:lineRule="exact"/>
        <w:rPr>
          <w:sz w:val="20"/>
          <w:szCs w:val="20"/>
          <w:color w:val="auto"/>
        </w:rPr>
      </w:pPr>
    </w:p>
    <w:p>
      <w:pPr>
        <w:ind w:right="400"/>
        <w:spacing w:after="0" w:line="305" w:lineRule="auto"/>
        <w:rPr>
          <w:sz w:val="20"/>
          <w:szCs w:val="20"/>
          <w:color w:val="auto"/>
        </w:rPr>
      </w:pPr>
      <w:r>
        <w:rPr>
          <w:rFonts w:ascii="Arial" w:cs="Arial" w:eastAsia="Arial" w:hAnsi="Arial"/>
          <w:sz w:val="14"/>
          <w:szCs w:val="14"/>
          <w:color w:val="auto"/>
        </w:rPr>
        <w:t>The 2025 annual meeting of shareholders (the “2025 Annual Meeting”) will commence at 2:30 P.M., Eastern Time. Online check-in will be available beginning at 1:30 P.M., Eastern Time. Please allow ample time for the online check-in process.</w:t>
      </w:r>
    </w:p>
    <w:p>
      <w:pPr>
        <w:spacing w:after="0" w:line="50" w:lineRule="exact"/>
        <w:rPr>
          <w:sz w:val="20"/>
          <w:szCs w:val="20"/>
          <w:color w:val="auto"/>
        </w:rPr>
      </w:pPr>
    </w:p>
    <w:p>
      <w:pPr>
        <w:ind w:right="140"/>
        <w:spacing w:after="0" w:line="305" w:lineRule="auto"/>
        <w:rPr>
          <w:sz w:val="20"/>
          <w:szCs w:val="20"/>
          <w:color w:val="auto"/>
        </w:rPr>
      </w:pPr>
      <w:r>
        <w:rPr>
          <w:rFonts w:ascii="Arial" w:cs="Arial" w:eastAsia="Arial" w:hAnsi="Arial"/>
          <w:sz w:val="14"/>
          <w:szCs w:val="14"/>
          <w:color w:val="auto"/>
        </w:rPr>
        <w:t>To participate in the 2025 Annual Meeting, you will need the 16-digit control number included on your Notice of Internet Availability of Proxy Materials, on your proxy card or on any additional voting instructions that accompanied your proxy materials.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A webcast replay of the 2025 Annual Meeting will also be made available on our Investor Relations website (</w:t>
      </w:r>
      <w:r>
        <w:rPr>
          <w:rFonts w:ascii="Arial" w:cs="Arial" w:eastAsia="Arial" w:hAnsi="Arial"/>
          <w:sz w:val="14"/>
          <w:szCs w:val="14"/>
          <w:color w:val="1A3FD6"/>
        </w:rPr>
        <w:t>https://ir.msci.com</w:t>
      </w:r>
      <w:r>
        <w:rPr>
          <w:rFonts w:ascii="Arial" w:cs="Arial" w:eastAsia="Arial" w:hAnsi="Arial"/>
          <w:sz w:val="14"/>
          <w:szCs w:val="14"/>
          <w:color w:val="auto"/>
        </w:rPr>
        <w:t>).</w:t>
      </w:r>
    </w:p>
    <w:p>
      <w:pPr>
        <w:spacing w:after="0" w:line="123" w:lineRule="exact"/>
        <w:rPr>
          <w:sz w:val="20"/>
          <w:szCs w:val="20"/>
          <w:color w:val="auto"/>
        </w:rPr>
      </w:pPr>
    </w:p>
    <w:p>
      <w:pPr>
        <w:ind w:right="160"/>
        <w:spacing w:after="0" w:line="305" w:lineRule="auto"/>
        <w:rPr>
          <w:sz w:val="20"/>
          <w:szCs w:val="20"/>
          <w:color w:val="auto"/>
        </w:rPr>
      </w:pPr>
      <w:r>
        <w:rPr>
          <w:rFonts w:ascii="Arial" w:cs="Arial" w:eastAsia="Arial" w:hAnsi="Arial"/>
          <w:sz w:val="14"/>
          <w:szCs w:val="14"/>
          <w:color w:val="auto"/>
        </w:rPr>
        <w:t>If you are a beneficial shareholder, your broker will not be able to vote your shares with respect to any of the matters presented at the meeting, other than the ratification of the selection of our independent registered public accounting firm, unless you give your broker specific voting instructions.</w:t>
      </w:r>
    </w:p>
    <w:p>
      <w:pPr>
        <w:spacing w:after="0" w:line="50" w:lineRule="exact"/>
        <w:rPr>
          <w:sz w:val="20"/>
          <w:szCs w:val="20"/>
          <w:color w:val="auto"/>
        </w:rPr>
      </w:pPr>
    </w:p>
    <w:p>
      <w:pPr>
        <w:ind w:right="40"/>
        <w:spacing w:after="0" w:line="305" w:lineRule="auto"/>
        <w:rPr>
          <w:sz w:val="20"/>
          <w:szCs w:val="20"/>
          <w:color w:val="auto"/>
        </w:rPr>
      </w:pPr>
      <w:r>
        <w:rPr>
          <w:rFonts w:ascii="Arial" w:cs="Arial" w:eastAsia="Arial" w:hAnsi="Arial"/>
          <w:sz w:val="14"/>
          <w:szCs w:val="14"/>
          <w:color w:val="auto"/>
        </w:rPr>
        <w:t>We will mail the Notice of Internet Availability of Proxy Materials on or about March 12, 2025. The Notice of Internet Availability of Proxy Materials is not a proxy card and cannot be used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737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40" w:right="300"/>
        <w:spacing w:after="0" w:line="303" w:lineRule="auto"/>
        <w:rPr>
          <w:sz w:val="20"/>
          <w:szCs w:val="20"/>
          <w:color w:val="auto"/>
        </w:rPr>
      </w:pPr>
      <w:r>
        <w:rPr>
          <w:rFonts w:ascii="Arial" w:cs="Arial" w:eastAsia="Arial" w:hAnsi="Arial"/>
          <w:sz w:val="14"/>
          <w:szCs w:val="14"/>
          <w:b w:val="1"/>
          <w:bCs w:val="1"/>
          <w:color w:val="auto"/>
        </w:rPr>
        <w:t xml:space="preserve">Important Notice Regarding the Availability of Proxy Materials for the 2025 Annual Meeting to be held on April 22, 2025. </w:t>
      </w:r>
      <w:r>
        <w:rPr>
          <w:rFonts w:ascii="Arial" w:cs="Arial" w:eastAsia="Arial" w:hAnsi="Arial"/>
          <w:sz w:val="14"/>
          <w:szCs w:val="14"/>
          <w:color w:val="auto"/>
        </w:rPr>
        <w:t>This Proxy Statement and our 2024</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Annual Report on Form 10-K for the fiscal year ended December 31, 2024 are available without charge at </w:t>
      </w:r>
      <w:r>
        <w:rPr>
          <w:rFonts w:ascii="Arial" w:cs="Arial" w:eastAsia="Arial" w:hAnsi="Arial"/>
          <w:sz w:val="14"/>
          <w:szCs w:val="14"/>
          <w:color w:val="1A3FD6"/>
        </w:rPr>
        <w:t>www.proxyvote.com</w:t>
      </w:r>
      <w:r>
        <w:rPr>
          <w:rFonts w:ascii="Arial" w:cs="Arial" w:eastAsia="Arial" w:hAnsi="Arial"/>
          <w:sz w:val="14"/>
          <w:szCs w:val="14"/>
          <w:color w:val="auto"/>
        </w:rPr>
        <w:t>. Information contained on such website is not incorporated by reference into this Proxy Statement or any other report we file with the Securities and Exchange Commission (the “SEC”).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1A3FD6"/>
        </w:rPr>
        <w:t>How to Vote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Whether or not you plan to attend our 2025 Annual Meeting, it is important that you vote as soon as possible to ensure that your shares are represented.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135255</wp:posOffset>
            </wp:positionV>
            <wp:extent cx="282575" cy="283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2575" cy="28321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135255</wp:posOffset>
            </wp:positionV>
            <wp:extent cx="282575" cy="2832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2575" cy="28321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135255</wp:posOffset>
            </wp:positionV>
            <wp:extent cx="351790" cy="283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1790" cy="283210"/>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1A3FD6"/>
        </w:rPr>
        <w:t>INTERNET</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1A3FD6"/>
        </w:rPr>
        <w:t>www.proxyvote.com</w:t>
      </w:r>
    </w:p>
    <w:p>
      <w:pPr>
        <w:spacing w:after="0" w:line="21" w:lineRule="exact"/>
        <w:rPr>
          <w:sz w:val="20"/>
          <w:szCs w:val="20"/>
          <w:color w:val="auto"/>
        </w:rPr>
      </w:pPr>
    </w:p>
    <w:p>
      <w:pPr>
        <w:ind w:left="20"/>
        <w:spacing w:after="0" w:line="287"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on April 21, 2025. Have your proxy card in hand when you access the website and follow the instructions to obtain your records and to create an electronic voting instruction 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color w:val="1A3FD6"/>
        </w:rPr>
        <w:t>TELEPHONE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1-800-690-6903</w:t>
      </w:r>
    </w:p>
    <w:p>
      <w:pPr>
        <w:spacing w:after="0" w:line="21" w:lineRule="exact"/>
        <w:rPr>
          <w:sz w:val="20"/>
          <w:szCs w:val="20"/>
          <w:color w:val="auto"/>
        </w:rPr>
      </w:pPr>
    </w:p>
    <w:p>
      <w:pPr>
        <w:spacing w:after="0" w:line="289" w:lineRule="auto"/>
        <w:rPr>
          <w:sz w:val="20"/>
          <w:szCs w:val="20"/>
          <w:color w:val="auto"/>
        </w:rPr>
      </w:pPr>
      <w:r>
        <w:rPr>
          <w:rFonts w:ascii="Arial" w:cs="Arial" w:eastAsia="Arial" w:hAnsi="Arial"/>
          <w:sz w:val="14"/>
          <w:szCs w:val="14"/>
          <w:color w:val="auto"/>
        </w:rPr>
        <w:t>Use any touch-tone telephone to transmit your voting instructions up until 11:59 P.M. Eastern Time on April 21, 2025. Have your proxy card in hand when you call and then follow 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854710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color w:val="1A3FD6"/>
        </w:rPr>
        <w:t>MAIL</w:t>
      </w:r>
    </w:p>
    <w:p>
      <w:pPr>
        <w:spacing w:after="0" w:line="35" w:lineRule="exact"/>
        <w:rPr>
          <w:sz w:val="20"/>
          <w:szCs w:val="20"/>
          <w:color w:val="auto"/>
        </w:rPr>
      </w:pPr>
    </w:p>
    <w:p>
      <w:pPr>
        <w:ind w:right="140"/>
        <w:spacing w:after="0" w:line="285"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ectPr>
          <w:pgSz w:w="11900" w:h="16838" w:orient="portrait"/>
          <w:cols w:equalWidth="0" w:num="3">
            <w:col w:w="4080" w:space="220"/>
            <w:col w:w="3380" w:space="160"/>
            <w:col w:w="3400"/>
          </w:cols>
          <w:pgMar w:left="320" w:top="167" w:right="339" w:bottom="1440" w:gutter="0" w:footer="0" w:header="0"/>
          <w:type w:val="continuous"/>
        </w:sectPr>
      </w:pPr>
    </w:p>
    <w:bookmarkStart w:id="6" w:name="page7"/>
    <w:bookmarkEnd w:id="6"/>
    <w:p>
      <w:pPr>
        <w:ind w:left="780" w:hanging="709"/>
        <w:spacing w:after="0"/>
        <w:tabs>
          <w:tab w:leader="none" w:pos="780" w:val="left"/>
        </w:tabs>
        <w:numPr>
          <w:ilvl w:val="0"/>
          <w:numId w:val="7"/>
        </w:numPr>
        <w:rPr>
          <w:rFonts w:ascii="Arial" w:cs="Arial" w:eastAsia="Arial" w:hAnsi="Arial"/>
          <w:sz w:val="14"/>
          <w:szCs w:val="14"/>
          <w:b w:val="1"/>
          <w:bCs w:val="1"/>
          <w:color w:val="1A3FD6"/>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589280</wp:posOffset>
            </wp:positionV>
            <wp:extent cx="488315" cy="6172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8315" cy="617220"/>
                    </a:xfrm>
                    <a:prstGeom prst="rect">
                      <a:avLst/>
                    </a:prstGeom>
                    <a:noFill/>
                  </pic:spPr>
                </pic:pic>
              </a:graphicData>
            </a:graphic>
          </wp:anchor>
        </w:drawing>
      </w:r>
    </w:p>
    <w:p>
      <w:pPr>
        <w:sectPr>
          <w:pgSz w:w="11900" w:h="16838" w:orient="portrait"/>
          <w:cols w:equalWidth="0" w:num="1">
            <w:col w:w="11080"/>
          </w:cols>
          <w:pgMar w:left="340" w:top="292" w:right="479" w:bottom="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360"/>
        <w:spacing w:after="0"/>
        <w:rPr>
          <w:sz w:val="20"/>
          <w:szCs w:val="20"/>
          <w:color w:val="auto"/>
        </w:rPr>
      </w:pPr>
      <w:r>
        <w:rPr>
          <w:rFonts w:ascii="Arial" w:cs="Arial" w:eastAsia="Arial" w:hAnsi="Arial"/>
          <w:sz w:val="50"/>
          <w:szCs w:val="50"/>
          <w:b w:val="1"/>
          <w:bCs w:val="1"/>
          <w:color w:val="1A3FD6"/>
        </w:rPr>
        <w:t>Table of</w:t>
      </w:r>
    </w:p>
    <w:p>
      <w:pPr>
        <w:spacing w:after="0" w:line="31" w:lineRule="exact"/>
        <w:rPr>
          <w:sz w:val="20"/>
          <w:szCs w:val="20"/>
          <w:color w:val="auto"/>
        </w:rPr>
      </w:pPr>
    </w:p>
    <w:p>
      <w:pPr>
        <w:ind w:left="1360"/>
        <w:spacing w:after="0"/>
        <w:rPr>
          <w:sz w:val="20"/>
          <w:szCs w:val="20"/>
          <w:color w:val="auto"/>
        </w:rPr>
      </w:pPr>
      <w:r>
        <w:rPr>
          <w:rFonts w:ascii="Arial" w:cs="Arial" w:eastAsia="Arial" w:hAnsi="Arial"/>
          <w:sz w:val="50"/>
          <w:szCs w:val="50"/>
          <w:b w:val="1"/>
          <w:bCs w:val="1"/>
          <w:color w:val="1A3FD6"/>
        </w:rPr>
        <w:t>Contents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80" w:type="dxa"/>
            <w:vAlign w:val="bottom"/>
          </w:tcPr>
          <w:p>
            <w:pPr>
              <w:spacing w:after="0"/>
              <w:rPr>
                <w:sz w:val="20"/>
                <w:szCs w:val="20"/>
                <w:color w:val="auto"/>
              </w:rPr>
            </w:pPr>
            <w:r>
              <w:rPr>
                <w:rFonts w:ascii="Arial" w:cs="Arial" w:eastAsia="Arial" w:hAnsi="Arial"/>
                <w:sz w:val="16"/>
                <w:szCs w:val="16"/>
                <w:b w:val="1"/>
                <w:bCs w:val="1"/>
                <w:color w:val="1A3FD6"/>
              </w:rPr>
              <w:t>Letter from our Chairman and CEO</w:t>
            </w: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1A3FD6"/>
              </w:rPr>
              <w:t>3</w:t>
            </w:r>
          </w:p>
        </w:tc>
        <w:tc>
          <w:tcPr>
            <w:tcW w:w="4940" w:type="dxa"/>
            <w:vAlign w:val="bottom"/>
          </w:tcPr>
          <w:p>
            <w:pPr>
              <w:ind w:left="280"/>
              <w:spacing w:after="0"/>
              <w:rPr>
                <w:sz w:val="20"/>
                <w:szCs w:val="20"/>
                <w:color w:val="auto"/>
              </w:rPr>
            </w:pPr>
            <w:r>
              <w:rPr>
                <w:rFonts w:ascii="Arial" w:cs="Arial" w:eastAsia="Arial" w:hAnsi="Arial"/>
                <w:sz w:val="16"/>
                <w:szCs w:val="16"/>
                <w:color w:val="auto"/>
              </w:rPr>
              <w:t>Compensation, Talent and Culture Committee Report</w:t>
            </w:r>
          </w:p>
        </w:tc>
        <w:tc>
          <w:tcPr>
            <w:tcW w:w="60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486"/>
        </w:trPr>
        <w:tc>
          <w:tcPr>
            <w:tcW w:w="4280" w:type="dxa"/>
            <w:vAlign w:val="bottom"/>
          </w:tcPr>
          <w:p>
            <w:pPr>
              <w:spacing w:after="0"/>
              <w:rPr>
                <w:sz w:val="20"/>
                <w:szCs w:val="20"/>
                <w:color w:val="auto"/>
              </w:rPr>
            </w:pPr>
            <w:r>
              <w:rPr>
                <w:rFonts w:ascii="Arial" w:cs="Arial" w:eastAsia="Arial" w:hAnsi="Arial"/>
                <w:sz w:val="16"/>
                <w:szCs w:val="16"/>
                <w:b w:val="1"/>
                <w:bCs w:val="1"/>
                <w:color w:val="1A3FD6"/>
              </w:rPr>
              <w:t>Letter from our Independent Lead Director</w:t>
            </w: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1A3FD6"/>
              </w:rPr>
              <w:t>4</w:t>
            </w:r>
          </w:p>
        </w:tc>
        <w:tc>
          <w:tcPr>
            <w:tcW w:w="4940" w:type="dxa"/>
            <w:vAlign w:val="bottom"/>
          </w:tcPr>
          <w:p>
            <w:pPr>
              <w:ind w:left="280"/>
              <w:spacing w:after="0"/>
              <w:rPr>
                <w:sz w:val="20"/>
                <w:szCs w:val="20"/>
                <w:color w:val="auto"/>
              </w:rPr>
            </w:pPr>
            <w:r>
              <w:rPr>
                <w:rFonts w:ascii="Arial" w:cs="Arial" w:eastAsia="Arial" w:hAnsi="Arial"/>
                <w:sz w:val="16"/>
                <w:szCs w:val="16"/>
                <w:color w:val="auto"/>
              </w:rPr>
              <w:t>Executive Compensation Tables</w:t>
            </w:r>
          </w:p>
        </w:tc>
        <w:tc>
          <w:tcPr>
            <w:tcW w:w="60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486"/>
        </w:trPr>
        <w:tc>
          <w:tcPr>
            <w:tcW w:w="4280" w:type="dxa"/>
            <w:vAlign w:val="bottom"/>
          </w:tcPr>
          <w:p>
            <w:pPr>
              <w:spacing w:after="0"/>
              <w:rPr>
                <w:sz w:val="20"/>
                <w:szCs w:val="20"/>
                <w:color w:val="auto"/>
              </w:rPr>
            </w:pPr>
            <w:r>
              <w:rPr>
                <w:rFonts w:ascii="Arial" w:cs="Arial" w:eastAsia="Arial" w:hAnsi="Arial"/>
                <w:sz w:val="16"/>
                <w:szCs w:val="16"/>
                <w:b w:val="1"/>
                <w:bCs w:val="1"/>
                <w:color w:val="1A3FD6"/>
              </w:rPr>
              <w:t>Notice of Annual Meeting of Shareholders</w:t>
            </w: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1A3FD6"/>
              </w:rPr>
              <w:t>5</w:t>
            </w:r>
          </w:p>
        </w:tc>
        <w:tc>
          <w:tcPr>
            <w:tcW w:w="4940" w:type="dxa"/>
            <w:vAlign w:val="bottom"/>
          </w:tcPr>
          <w:p>
            <w:pPr>
              <w:ind w:left="280"/>
              <w:spacing w:after="0"/>
              <w:rPr>
                <w:sz w:val="20"/>
                <w:szCs w:val="20"/>
                <w:color w:val="auto"/>
              </w:rPr>
            </w:pPr>
            <w:r>
              <w:rPr>
                <w:rFonts w:ascii="Arial" w:cs="Arial" w:eastAsia="Arial" w:hAnsi="Arial"/>
                <w:sz w:val="16"/>
                <w:szCs w:val="16"/>
                <w:color w:val="auto"/>
              </w:rPr>
              <w:t>CEO Pay Ratio</w:t>
            </w:r>
          </w:p>
        </w:tc>
        <w:tc>
          <w:tcPr>
            <w:tcW w:w="60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486"/>
        </w:trPr>
        <w:tc>
          <w:tcPr>
            <w:tcW w:w="4280" w:type="dxa"/>
            <w:vAlign w:val="bottom"/>
          </w:tcPr>
          <w:p>
            <w:pPr>
              <w:spacing w:after="0"/>
              <w:rPr>
                <w:sz w:val="20"/>
                <w:szCs w:val="20"/>
                <w:color w:val="auto"/>
              </w:rPr>
            </w:pPr>
            <w:r>
              <w:rPr>
                <w:rFonts w:ascii="Arial" w:cs="Arial" w:eastAsia="Arial" w:hAnsi="Arial"/>
                <w:sz w:val="16"/>
                <w:szCs w:val="16"/>
                <w:b w:val="1"/>
                <w:bCs w:val="1"/>
                <w:color w:val="1A3FD6"/>
              </w:rPr>
              <w:t>Proxy Summary</w:t>
            </w: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1A3FD6"/>
              </w:rPr>
              <w:t>8</w:t>
            </w:r>
          </w:p>
        </w:tc>
        <w:tc>
          <w:tcPr>
            <w:tcW w:w="4940" w:type="dxa"/>
            <w:vAlign w:val="bottom"/>
          </w:tcPr>
          <w:p>
            <w:pPr>
              <w:ind w:left="280"/>
              <w:spacing w:after="0"/>
              <w:rPr>
                <w:sz w:val="20"/>
                <w:szCs w:val="20"/>
                <w:color w:val="auto"/>
              </w:rPr>
            </w:pPr>
            <w:r>
              <w:rPr>
                <w:rFonts w:ascii="Arial" w:cs="Arial" w:eastAsia="Arial" w:hAnsi="Arial"/>
                <w:sz w:val="16"/>
                <w:szCs w:val="16"/>
                <w:color w:val="auto"/>
              </w:rPr>
              <w:t>Pay Versus Performance</w:t>
            </w:r>
          </w:p>
        </w:tc>
        <w:tc>
          <w:tcPr>
            <w:tcW w:w="60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486"/>
        </w:trPr>
        <w:tc>
          <w:tcPr>
            <w:tcW w:w="4280" w:type="dxa"/>
            <w:vAlign w:val="bottom"/>
          </w:tcPr>
          <w:p>
            <w:pPr>
              <w:spacing w:after="0"/>
              <w:rPr>
                <w:sz w:val="20"/>
                <w:szCs w:val="20"/>
                <w:color w:val="auto"/>
              </w:rPr>
            </w:pPr>
            <w:r>
              <w:rPr>
                <w:rFonts w:ascii="Arial" w:cs="Arial" w:eastAsia="Arial" w:hAnsi="Arial"/>
                <w:sz w:val="16"/>
                <w:szCs w:val="16"/>
                <w:b w:val="1"/>
                <w:bCs w:val="1"/>
                <w:color w:val="1A3FD6"/>
              </w:rPr>
              <w:t>Proposal No. 1: Election of Directors</w:t>
            </w: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1A3FD6"/>
              </w:rPr>
              <w:t>19</w:t>
            </w:r>
          </w:p>
        </w:tc>
        <w:tc>
          <w:tcPr>
            <w:tcW w:w="4940" w:type="dxa"/>
            <w:vAlign w:val="bottom"/>
            <w:vMerge w:val="restart"/>
          </w:tcPr>
          <w:p>
            <w:pPr>
              <w:ind w:left="260"/>
              <w:spacing w:after="0"/>
              <w:rPr>
                <w:sz w:val="20"/>
                <w:szCs w:val="20"/>
                <w:color w:val="auto"/>
              </w:rPr>
            </w:pPr>
            <w:r>
              <w:rPr>
                <w:rFonts w:ascii="Arial" w:cs="Arial" w:eastAsia="Arial" w:hAnsi="Arial"/>
                <w:sz w:val="16"/>
                <w:szCs w:val="16"/>
                <w:b w:val="1"/>
                <w:bCs w:val="1"/>
                <w:color w:val="1A3FD6"/>
              </w:rPr>
              <w:t>Proposal No. 3: Approval of the MSCI Inc. 2025 Omnibus</w:t>
            </w: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color w:val="1A3FD6"/>
              </w:rPr>
              <w:t>98</w:t>
            </w:r>
          </w:p>
        </w:tc>
        <w:tc>
          <w:tcPr>
            <w:tcW w:w="0" w:type="dxa"/>
            <w:vAlign w:val="bottom"/>
          </w:tcPr>
          <w:p>
            <w:pPr>
              <w:spacing w:after="0"/>
              <w:rPr>
                <w:sz w:val="1"/>
                <w:szCs w:val="1"/>
                <w:color w:val="auto"/>
              </w:rPr>
            </w:pPr>
          </w:p>
        </w:tc>
      </w:tr>
      <w:tr>
        <w:trPr>
          <w:trHeight w:val="88"/>
        </w:trPr>
        <w:tc>
          <w:tcPr>
            <w:tcW w:w="42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4280" w:type="dxa"/>
            <w:vAlign w:val="bottom"/>
            <w:vMerge w:val="restart"/>
          </w:tcPr>
          <w:p>
            <w:pPr>
              <w:ind w:left="20"/>
              <w:spacing w:after="0"/>
              <w:rPr>
                <w:sz w:val="20"/>
                <w:szCs w:val="20"/>
                <w:color w:val="auto"/>
              </w:rPr>
            </w:pPr>
            <w:r>
              <w:rPr>
                <w:rFonts w:ascii="Arial" w:cs="Arial" w:eastAsia="Arial" w:hAnsi="Arial"/>
                <w:sz w:val="16"/>
                <w:szCs w:val="16"/>
                <w:color w:val="auto"/>
              </w:rPr>
              <w:t>Director Core Competencies and Demographics</w:t>
            </w:r>
          </w:p>
        </w:tc>
        <w:tc>
          <w:tcPr>
            <w:tcW w:w="1260" w:type="dxa"/>
            <w:vAlign w:val="bottom"/>
            <w:vMerge w:val="restart"/>
          </w:tcPr>
          <w:p>
            <w:pPr>
              <w:jc w:val="right"/>
              <w:ind w:right="179"/>
              <w:spacing w:after="0"/>
              <w:rPr>
                <w:sz w:val="20"/>
                <w:szCs w:val="20"/>
                <w:color w:val="auto"/>
              </w:rPr>
            </w:pPr>
            <w:r>
              <w:rPr>
                <w:rFonts w:ascii="Arial" w:cs="Arial" w:eastAsia="Arial" w:hAnsi="Arial"/>
                <w:sz w:val="16"/>
                <w:szCs w:val="16"/>
                <w:color w:val="auto"/>
              </w:rPr>
              <w:t>20</w:t>
            </w:r>
          </w:p>
        </w:tc>
        <w:tc>
          <w:tcPr>
            <w:tcW w:w="4940" w:type="dxa"/>
            <w:vAlign w:val="bottom"/>
          </w:tcPr>
          <w:p>
            <w:pPr>
              <w:ind w:left="260"/>
              <w:spacing w:after="0"/>
              <w:rPr>
                <w:sz w:val="20"/>
                <w:szCs w:val="20"/>
                <w:color w:val="auto"/>
              </w:rPr>
            </w:pPr>
            <w:r>
              <w:rPr>
                <w:rFonts w:ascii="Arial" w:cs="Arial" w:eastAsia="Arial" w:hAnsi="Arial"/>
                <w:sz w:val="16"/>
                <w:szCs w:val="16"/>
                <w:b w:val="1"/>
                <w:bCs w:val="1"/>
                <w:color w:val="1A3FD6"/>
              </w:rPr>
              <w:t>Incentive Plan</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42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4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9"/>
        </w:trPr>
        <w:tc>
          <w:tcPr>
            <w:tcW w:w="4280" w:type="dxa"/>
            <w:vAlign w:val="bottom"/>
            <w:vMerge w:val="restart"/>
          </w:tcPr>
          <w:p>
            <w:pPr>
              <w:ind w:left="20"/>
              <w:spacing w:after="0"/>
              <w:rPr>
                <w:sz w:val="20"/>
                <w:szCs w:val="20"/>
                <w:color w:val="auto"/>
              </w:rPr>
            </w:pPr>
            <w:r>
              <w:rPr>
                <w:rFonts w:ascii="Arial" w:cs="Arial" w:eastAsia="Arial" w:hAnsi="Arial"/>
                <w:sz w:val="16"/>
                <w:szCs w:val="16"/>
                <w:color w:val="auto"/>
              </w:rPr>
              <w:t>2025 Director Nominees</w:t>
            </w:r>
          </w:p>
        </w:tc>
        <w:tc>
          <w:tcPr>
            <w:tcW w:w="1260" w:type="dxa"/>
            <w:vAlign w:val="bottom"/>
            <w:vMerge w:val="restart"/>
          </w:tcPr>
          <w:p>
            <w:pPr>
              <w:jc w:val="right"/>
              <w:ind w:right="179"/>
              <w:spacing w:after="0"/>
              <w:rPr>
                <w:sz w:val="20"/>
                <w:szCs w:val="20"/>
                <w:color w:val="auto"/>
              </w:rPr>
            </w:pPr>
            <w:r>
              <w:rPr>
                <w:rFonts w:ascii="Arial" w:cs="Arial" w:eastAsia="Arial" w:hAnsi="Arial"/>
                <w:sz w:val="16"/>
                <w:szCs w:val="16"/>
                <w:color w:val="auto"/>
              </w:rPr>
              <w:t>22</w:t>
            </w:r>
          </w:p>
        </w:tc>
        <w:tc>
          <w:tcPr>
            <w:tcW w:w="4940" w:type="dxa"/>
            <w:vAlign w:val="bottom"/>
          </w:tcPr>
          <w:p>
            <w:pPr>
              <w:ind w:left="260"/>
              <w:spacing w:after="0"/>
              <w:rPr>
                <w:sz w:val="20"/>
                <w:szCs w:val="20"/>
                <w:color w:val="auto"/>
              </w:rPr>
            </w:pPr>
            <w:r>
              <w:rPr>
                <w:rFonts w:ascii="Arial" w:cs="Arial" w:eastAsia="Arial" w:hAnsi="Arial"/>
                <w:sz w:val="16"/>
                <w:szCs w:val="16"/>
                <w:b w:val="1"/>
                <w:bCs w:val="1"/>
                <w:color w:val="1A3FD6"/>
              </w:rPr>
              <w:t>Audit Matters</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1A3FD6"/>
              </w:rPr>
              <w:t>109</w:t>
            </w:r>
          </w:p>
        </w:tc>
        <w:tc>
          <w:tcPr>
            <w:tcW w:w="0" w:type="dxa"/>
            <w:vAlign w:val="bottom"/>
          </w:tcPr>
          <w:p>
            <w:pPr>
              <w:spacing w:after="0"/>
              <w:rPr>
                <w:sz w:val="1"/>
                <w:szCs w:val="1"/>
                <w:color w:val="auto"/>
              </w:rPr>
            </w:pPr>
          </w:p>
        </w:tc>
      </w:tr>
      <w:tr>
        <w:trPr>
          <w:trHeight w:val="167"/>
        </w:trPr>
        <w:tc>
          <w:tcPr>
            <w:tcW w:w="42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4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080"/>
          </w:cols>
          <w:pgMar w:left="340" w:top="292" w:right="479" w:bottom="17" w:gutter="0" w:footer="0" w:header="0"/>
          <w:type w:val="continuous"/>
        </w:sect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Corporate Governance</w:t>
      </w:r>
    </w:p>
    <w:p>
      <w:pPr>
        <w:spacing w:after="0" w:line="302" w:lineRule="exact"/>
        <w:rPr>
          <w:sz w:val="20"/>
          <w:szCs w:val="20"/>
          <w:color w:val="auto"/>
        </w:rPr>
      </w:pPr>
    </w:p>
    <w:p>
      <w:pPr>
        <w:ind w:left="20" w:right="1700"/>
        <w:spacing w:after="0" w:line="633" w:lineRule="auto"/>
        <w:rPr>
          <w:sz w:val="20"/>
          <w:szCs w:val="20"/>
          <w:color w:val="auto"/>
        </w:rPr>
      </w:pPr>
      <w:r>
        <w:rPr>
          <w:rFonts w:ascii="Arial" w:cs="Arial" w:eastAsia="Arial" w:hAnsi="Arial"/>
          <w:sz w:val="16"/>
          <w:szCs w:val="16"/>
          <w:color w:val="auto"/>
        </w:rPr>
        <w:t>Corporate Governance Practices Composition and Board Refreshment Structure of our Board</w:t>
      </w:r>
    </w:p>
    <w:p>
      <w:pPr>
        <w:spacing w:after="0" w:line="2" w:lineRule="exact"/>
        <w:rPr>
          <w:sz w:val="20"/>
          <w:szCs w:val="20"/>
          <w:color w:val="auto"/>
        </w:rPr>
      </w:pPr>
    </w:p>
    <w:p>
      <w:pPr>
        <w:ind w:left="20" w:right="1380"/>
        <w:spacing w:after="0" w:line="633" w:lineRule="auto"/>
        <w:rPr>
          <w:sz w:val="20"/>
          <w:szCs w:val="20"/>
          <w:color w:val="auto"/>
        </w:rPr>
      </w:pPr>
      <w:r>
        <w:rPr>
          <w:rFonts w:ascii="Arial" w:cs="Arial" w:eastAsia="Arial" w:hAnsi="Arial"/>
          <w:sz w:val="16"/>
          <w:szCs w:val="16"/>
          <w:color w:val="auto"/>
        </w:rPr>
        <w:t>Engagement and Evaluation of our Board Oversight by our Board Corporate Responsibility</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Workforce and Talent Management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40" w:type="dxa"/>
            <w:vAlign w:val="bottom"/>
          </w:tcPr>
          <w:p>
            <w:pPr>
              <w:spacing w:after="0"/>
              <w:rPr>
                <w:sz w:val="18"/>
                <w:szCs w:val="18"/>
                <w:color w:val="auto"/>
              </w:rPr>
            </w:pPr>
          </w:p>
        </w:tc>
        <w:tc>
          <w:tcPr>
            <w:tcW w:w="5100" w:type="dxa"/>
            <w:vAlign w:val="bottom"/>
          </w:tcPr>
          <w:p>
            <w:pPr>
              <w:ind w:left="280"/>
              <w:spacing w:after="0"/>
              <w:rPr>
                <w:sz w:val="20"/>
                <w:szCs w:val="20"/>
                <w:color w:val="auto"/>
              </w:rPr>
            </w:pPr>
            <w:r>
              <w:rPr>
                <w:rFonts w:ascii="Arial" w:cs="Arial" w:eastAsia="Arial" w:hAnsi="Arial"/>
                <w:sz w:val="16"/>
                <w:szCs w:val="16"/>
                <w:color w:val="auto"/>
              </w:rPr>
              <w:t>Independent Auditor’s Fees</w:t>
            </w:r>
          </w:p>
        </w:tc>
        <w:tc>
          <w:tcPr>
            <w:tcW w:w="440" w:type="dxa"/>
            <w:vAlign w:val="bottom"/>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91"/>
        </w:trPr>
        <w:tc>
          <w:tcPr>
            <w:tcW w:w="440" w:type="dxa"/>
            <w:vAlign w:val="bottom"/>
          </w:tcPr>
          <w:p>
            <w:pPr>
              <w:jc w:val="right"/>
              <w:ind w:right="179"/>
              <w:spacing w:after="0"/>
              <w:rPr>
                <w:sz w:val="20"/>
                <w:szCs w:val="20"/>
                <w:color w:val="auto"/>
              </w:rPr>
            </w:pPr>
            <w:r>
              <w:rPr>
                <w:rFonts w:ascii="Arial" w:cs="Arial" w:eastAsia="Arial" w:hAnsi="Arial"/>
                <w:sz w:val="16"/>
                <w:szCs w:val="16"/>
                <w:b w:val="1"/>
                <w:bCs w:val="1"/>
                <w:color w:val="1A3FD6"/>
                <w:w w:val="89"/>
              </w:rPr>
              <w:t>28</w:t>
            </w:r>
          </w:p>
        </w:tc>
        <w:tc>
          <w:tcPr>
            <w:tcW w:w="5100" w:type="dxa"/>
            <w:vAlign w:val="bottom"/>
            <w:vMerge w:val="restart"/>
          </w:tcPr>
          <w:p>
            <w:pPr>
              <w:ind w:left="280"/>
              <w:spacing w:after="0"/>
              <w:rPr>
                <w:sz w:val="20"/>
                <w:szCs w:val="20"/>
                <w:color w:val="auto"/>
              </w:rPr>
            </w:pPr>
            <w:r>
              <w:rPr>
                <w:rFonts w:ascii="Arial" w:cs="Arial" w:eastAsia="Arial" w:hAnsi="Arial"/>
                <w:sz w:val="16"/>
                <w:szCs w:val="16"/>
                <w:color w:val="auto"/>
              </w:rPr>
              <w:t>Pre-Approval Policy of the Audit and Risk Committee of Services</w:t>
            </w: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51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4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28</w:t>
            </w:r>
          </w:p>
        </w:tc>
        <w:tc>
          <w:tcPr>
            <w:tcW w:w="5100" w:type="dxa"/>
            <w:vAlign w:val="bottom"/>
          </w:tcPr>
          <w:p>
            <w:pPr>
              <w:ind w:left="280"/>
              <w:spacing w:after="0"/>
              <w:rPr>
                <w:sz w:val="20"/>
                <w:szCs w:val="20"/>
                <w:color w:val="auto"/>
              </w:rPr>
            </w:pPr>
            <w:r>
              <w:rPr>
                <w:rFonts w:ascii="Arial" w:cs="Arial" w:eastAsia="Arial" w:hAnsi="Arial"/>
                <w:sz w:val="16"/>
                <w:szCs w:val="16"/>
                <w:color w:val="auto"/>
              </w:rPr>
              <w:t>Performed by Independent Auditors</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440" w:type="dxa"/>
            <w:vAlign w:val="bottom"/>
            <w:vMerge w:val="continue"/>
          </w:tcPr>
          <w:p>
            <w:pPr>
              <w:spacing w:after="0"/>
              <w:rPr>
                <w:sz w:val="7"/>
                <w:szCs w:val="7"/>
                <w:color w:val="auto"/>
              </w:rPr>
            </w:pPr>
          </w:p>
        </w:tc>
        <w:tc>
          <w:tcPr>
            <w:tcW w:w="5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44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29</w:t>
            </w:r>
          </w:p>
        </w:tc>
        <w:tc>
          <w:tcPr>
            <w:tcW w:w="5100" w:type="dxa"/>
            <w:vAlign w:val="bottom"/>
          </w:tcPr>
          <w:p>
            <w:pPr>
              <w:ind w:left="280"/>
              <w:spacing w:after="0"/>
              <w:rPr>
                <w:sz w:val="20"/>
                <w:szCs w:val="20"/>
                <w:color w:val="auto"/>
              </w:rPr>
            </w:pPr>
            <w:r>
              <w:rPr>
                <w:rFonts w:ascii="Arial" w:cs="Arial" w:eastAsia="Arial" w:hAnsi="Arial"/>
                <w:sz w:val="16"/>
                <w:szCs w:val="16"/>
                <w:color w:val="auto"/>
              </w:rPr>
              <w:t>Audit and Risk Committee Report</w:t>
            </w:r>
          </w:p>
        </w:tc>
        <w:tc>
          <w:tcPr>
            <w:tcW w:w="440" w:type="dxa"/>
            <w:vAlign w:val="bottom"/>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81"/>
        </w:trPr>
        <w:tc>
          <w:tcPr>
            <w:tcW w:w="440" w:type="dxa"/>
            <w:vAlign w:val="bottom"/>
            <w:vMerge w:val="continue"/>
          </w:tcPr>
          <w:p>
            <w:pPr>
              <w:spacing w:after="0"/>
              <w:rPr>
                <w:sz w:val="7"/>
                <w:szCs w:val="7"/>
                <w:color w:val="auto"/>
              </w:rPr>
            </w:pPr>
          </w:p>
        </w:tc>
        <w:tc>
          <w:tcPr>
            <w:tcW w:w="5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1"/>
        </w:trPr>
        <w:tc>
          <w:tcPr>
            <w:tcW w:w="440" w:type="dxa"/>
            <w:vAlign w:val="bottom"/>
          </w:tcPr>
          <w:p>
            <w:pPr>
              <w:jc w:val="right"/>
              <w:ind w:right="179"/>
              <w:spacing w:after="0"/>
              <w:rPr>
                <w:sz w:val="20"/>
                <w:szCs w:val="20"/>
                <w:color w:val="auto"/>
              </w:rPr>
            </w:pPr>
            <w:r>
              <w:rPr>
                <w:rFonts w:ascii="Arial" w:cs="Arial" w:eastAsia="Arial" w:hAnsi="Arial"/>
                <w:sz w:val="16"/>
                <w:szCs w:val="16"/>
                <w:color w:val="auto"/>
                <w:w w:val="89"/>
              </w:rPr>
              <w:t>33</w:t>
            </w:r>
          </w:p>
        </w:tc>
        <w:tc>
          <w:tcPr>
            <w:tcW w:w="5100" w:type="dxa"/>
            <w:vAlign w:val="bottom"/>
          </w:tcPr>
          <w:p>
            <w:pPr>
              <w:ind w:left="260"/>
              <w:spacing w:after="0"/>
              <w:rPr>
                <w:sz w:val="20"/>
                <w:szCs w:val="20"/>
                <w:color w:val="auto"/>
              </w:rPr>
            </w:pPr>
            <w:r>
              <w:rPr>
                <w:rFonts w:ascii="Arial" w:cs="Arial" w:eastAsia="Arial" w:hAnsi="Arial"/>
                <w:sz w:val="16"/>
                <w:szCs w:val="16"/>
                <w:b w:val="1"/>
                <w:bCs w:val="1"/>
                <w:color w:val="1A3FD6"/>
              </w:rPr>
              <w:t>Proposal No. 4: Ratification of the Appointment of MSCI's</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1A3FD6"/>
              </w:rPr>
              <w:t>112</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100" w:type="dxa"/>
            <w:vAlign w:val="bottom"/>
          </w:tcPr>
          <w:p>
            <w:pPr>
              <w:ind w:left="260"/>
              <w:spacing w:after="0"/>
              <w:rPr>
                <w:sz w:val="20"/>
                <w:szCs w:val="20"/>
                <w:color w:val="auto"/>
              </w:rPr>
            </w:pPr>
            <w:r>
              <w:rPr>
                <w:rFonts w:ascii="Arial" w:cs="Arial" w:eastAsia="Arial" w:hAnsi="Arial"/>
                <w:sz w:val="16"/>
                <w:szCs w:val="16"/>
                <w:b w:val="1"/>
                <w:bCs w:val="1"/>
                <w:color w:val="1A3FD6"/>
              </w:rPr>
              <w:t>Independent Auditor</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0" w:type="dxa"/>
            <w:vAlign w:val="bottom"/>
          </w:tcPr>
          <w:p>
            <w:pPr>
              <w:jc w:val="right"/>
              <w:ind w:right="179"/>
              <w:spacing w:after="0"/>
              <w:rPr>
                <w:sz w:val="20"/>
                <w:szCs w:val="20"/>
                <w:color w:val="auto"/>
              </w:rPr>
            </w:pPr>
            <w:r>
              <w:rPr>
                <w:rFonts w:ascii="Arial" w:cs="Arial" w:eastAsia="Arial" w:hAnsi="Arial"/>
                <w:sz w:val="16"/>
                <w:szCs w:val="16"/>
                <w:color w:val="auto"/>
                <w:w w:val="89"/>
              </w:rPr>
              <w:t>40</w:t>
            </w:r>
          </w:p>
        </w:tc>
        <w:tc>
          <w:tcPr>
            <w:tcW w:w="5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5100" w:type="dxa"/>
            <w:vAlign w:val="bottom"/>
          </w:tcPr>
          <w:p>
            <w:pPr>
              <w:ind w:left="260"/>
              <w:spacing w:after="0"/>
              <w:rPr>
                <w:sz w:val="20"/>
                <w:szCs w:val="20"/>
                <w:color w:val="auto"/>
              </w:rPr>
            </w:pPr>
            <w:r>
              <w:rPr>
                <w:rFonts w:ascii="Arial" w:cs="Arial" w:eastAsia="Arial" w:hAnsi="Arial"/>
                <w:sz w:val="16"/>
                <w:szCs w:val="16"/>
                <w:b w:val="1"/>
                <w:bCs w:val="1"/>
                <w:color w:val="1A3FD6"/>
              </w:rPr>
              <w:t>Beneficial Ownership of Common Stock</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1A3FD6"/>
              </w:rPr>
              <w:t>113</w:t>
            </w:r>
          </w:p>
        </w:tc>
        <w:tc>
          <w:tcPr>
            <w:tcW w:w="0" w:type="dxa"/>
            <w:vAlign w:val="bottom"/>
          </w:tcPr>
          <w:p>
            <w:pPr>
              <w:spacing w:after="0"/>
              <w:rPr>
                <w:sz w:val="1"/>
                <w:szCs w:val="1"/>
                <w:color w:val="auto"/>
              </w:rPr>
            </w:pPr>
          </w:p>
        </w:tc>
      </w:tr>
      <w:tr>
        <w:trPr>
          <w:trHeight w:val="249"/>
        </w:trPr>
        <w:tc>
          <w:tcPr>
            <w:tcW w:w="440" w:type="dxa"/>
            <w:vAlign w:val="bottom"/>
          </w:tcPr>
          <w:p>
            <w:pPr>
              <w:jc w:val="right"/>
              <w:ind w:right="179"/>
              <w:spacing w:after="0"/>
              <w:rPr>
                <w:sz w:val="20"/>
                <w:szCs w:val="20"/>
                <w:color w:val="auto"/>
              </w:rPr>
            </w:pPr>
            <w:r>
              <w:rPr>
                <w:rFonts w:ascii="Arial" w:cs="Arial" w:eastAsia="Arial" w:hAnsi="Arial"/>
                <w:sz w:val="16"/>
                <w:szCs w:val="16"/>
                <w:color w:val="auto"/>
                <w:w w:val="89"/>
              </w:rPr>
              <w:t>44</w:t>
            </w:r>
          </w:p>
        </w:tc>
        <w:tc>
          <w:tcPr>
            <w:tcW w:w="5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5100" w:type="dxa"/>
            <w:vAlign w:val="bottom"/>
          </w:tcPr>
          <w:p>
            <w:pPr>
              <w:ind w:left="280"/>
              <w:spacing w:after="0"/>
              <w:rPr>
                <w:sz w:val="20"/>
                <w:szCs w:val="20"/>
                <w:color w:val="auto"/>
              </w:rPr>
            </w:pPr>
            <w:r>
              <w:rPr>
                <w:rFonts w:ascii="Arial" w:cs="Arial" w:eastAsia="Arial" w:hAnsi="Arial"/>
                <w:sz w:val="16"/>
                <w:szCs w:val="16"/>
                <w:color w:val="auto"/>
              </w:rPr>
              <w:t>Stock Ownership of Executive Officers and Directors</w:t>
            </w:r>
          </w:p>
        </w:tc>
        <w:tc>
          <w:tcPr>
            <w:tcW w:w="44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57"/>
        </w:trPr>
        <w:tc>
          <w:tcPr>
            <w:tcW w:w="440" w:type="dxa"/>
            <w:vAlign w:val="bottom"/>
          </w:tcPr>
          <w:p>
            <w:pPr>
              <w:jc w:val="right"/>
              <w:ind w:right="179"/>
              <w:spacing w:after="0"/>
              <w:rPr>
                <w:sz w:val="20"/>
                <w:szCs w:val="20"/>
                <w:color w:val="auto"/>
              </w:rPr>
            </w:pPr>
            <w:r>
              <w:rPr>
                <w:rFonts w:ascii="Arial" w:cs="Arial" w:eastAsia="Arial" w:hAnsi="Arial"/>
                <w:sz w:val="16"/>
                <w:szCs w:val="16"/>
                <w:color w:val="auto"/>
                <w:w w:val="89"/>
              </w:rPr>
              <w:t>47</w:t>
            </w:r>
          </w:p>
        </w:tc>
        <w:tc>
          <w:tcPr>
            <w:tcW w:w="5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5100" w:type="dxa"/>
            <w:vAlign w:val="bottom"/>
          </w:tcPr>
          <w:p>
            <w:pPr>
              <w:ind w:left="280"/>
              <w:spacing w:after="0"/>
              <w:rPr>
                <w:sz w:val="20"/>
                <w:szCs w:val="20"/>
                <w:color w:val="auto"/>
              </w:rPr>
            </w:pPr>
            <w:r>
              <w:rPr>
                <w:rFonts w:ascii="Arial" w:cs="Arial" w:eastAsia="Arial" w:hAnsi="Arial"/>
                <w:sz w:val="16"/>
                <w:szCs w:val="16"/>
                <w:color w:val="auto"/>
              </w:rPr>
              <w:t>Stock Ownership of Principal Shareholders</w:t>
            </w:r>
          </w:p>
        </w:tc>
        <w:tc>
          <w:tcPr>
            <w:tcW w:w="44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56"/>
        </w:trPr>
        <w:tc>
          <w:tcPr>
            <w:tcW w:w="440" w:type="dxa"/>
            <w:vAlign w:val="bottom"/>
          </w:tcPr>
          <w:p>
            <w:pPr>
              <w:jc w:val="right"/>
              <w:ind w:right="179"/>
              <w:spacing w:after="0"/>
              <w:rPr>
                <w:sz w:val="20"/>
                <w:szCs w:val="20"/>
                <w:color w:val="auto"/>
              </w:rPr>
            </w:pPr>
            <w:r>
              <w:rPr>
                <w:rFonts w:ascii="Arial" w:cs="Arial" w:eastAsia="Arial" w:hAnsi="Arial"/>
                <w:sz w:val="16"/>
                <w:szCs w:val="16"/>
                <w:color w:val="auto"/>
                <w:w w:val="89"/>
              </w:rPr>
              <w:t>49</w:t>
            </w:r>
          </w:p>
        </w:tc>
        <w:tc>
          <w:tcPr>
            <w:tcW w:w="5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sectPr>
          <w:pgSz w:w="11900" w:h="16838" w:orient="portrait"/>
          <w:cols w:equalWidth="0" w:num="2">
            <w:col w:w="4380" w:space="720"/>
            <w:col w:w="5980"/>
          </w:cols>
          <w:pgMar w:left="340" w:top="292" w:right="479" w:bottom="17"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740" w:type="dxa"/>
            <w:vAlign w:val="bottom"/>
          </w:tcPr>
          <w:p>
            <w:pPr>
              <w:spacing w:after="0"/>
              <w:rPr>
                <w:sz w:val="19"/>
                <w:szCs w:val="19"/>
                <w:color w:val="auto"/>
              </w:rPr>
            </w:pPr>
          </w:p>
        </w:tc>
        <w:tc>
          <w:tcPr>
            <w:tcW w:w="4820" w:type="dxa"/>
            <w:vAlign w:val="bottom"/>
          </w:tcPr>
          <w:p>
            <w:pPr>
              <w:ind w:left="1060"/>
              <w:spacing w:after="0"/>
              <w:rPr>
                <w:sz w:val="20"/>
                <w:szCs w:val="20"/>
                <w:color w:val="auto"/>
              </w:rPr>
            </w:pPr>
            <w:r>
              <w:rPr>
                <w:rFonts w:ascii="Arial" w:cs="Arial" w:eastAsia="Arial" w:hAnsi="Arial"/>
                <w:sz w:val="16"/>
                <w:szCs w:val="16"/>
                <w:b w:val="1"/>
                <w:bCs w:val="1"/>
                <w:color w:val="1A3FD6"/>
              </w:rPr>
              <w:t>Other Matters</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1A3FD6"/>
              </w:rPr>
              <w:t>116</w:t>
            </w:r>
          </w:p>
        </w:tc>
      </w:tr>
      <w:tr>
        <w:trPr>
          <w:trHeight w:val="257"/>
        </w:trPr>
        <w:tc>
          <w:tcPr>
            <w:tcW w:w="4740" w:type="dxa"/>
            <w:vAlign w:val="bottom"/>
          </w:tcPr>
          <w:p>
            <w:pPr>
              <w:spacing w:after="0"/>
              <w:rPr>
                <w:sz w:val="20"/>
                <w:szCs w:val="20"/>
                <w:color w:val="auto"/>
              </w:rPr>
            </w:pPr>
            <w:r>
              <w:rPr>
                <w:rFonts w:ascii="Arial" w:cs="Arial" w:eastAsia="Arial" w:hAnsi="Arial"/>
                <w:sz w:val="16"/>
                <w:szCs w:val="16"/>
                <w:b w:val="1"/>
                <w:bCs w:val="1"/>
                <w:color w:val="1A3FD6"/>
              </w:rPr>
              <w:t>Director Compensation and Stock Ownership Guidelines</w:t>
            </w:r>
          </w:p>
        </w:tc>
        <w:tc>
          <w:tcPr>
            <w:tcW w:w="4820" w:type="dxa"/>
            <w:vAlign w:val="bottom"/>
          </w:tcPr>
          <w:p>
            <w:pPr>
              <w:jc w:val="right"/>
              <w:ind w:right="4199"/>
              <w:spacing w:after="0"/>
              <w:rPr>
                <w:sz w:val="20"/>
                <w:szCs w:val="20"/>
                <w:color w:val="auto"/>
              </w:rPr>
            </w:pPr>
            <w:r>
              <w:rPr>
                <w:rFonts w:ascii="Arial" w:cs="Arial" w:eastAsia="Arial" w:hAnsi="Arial"/>
                <w:sz w:val="16"/>
                <w:szCs w:val="16"/>
                <w:b w:val="1"/>
                <w:bCs w:val="1"/>
                <w:color w:val="1A3FD6"/>
              </w:rPr>
              <w:t>52</w:t>
            </w:r>
          </w:p>
        </w:tc>
        <w:tc>
          <w:tcPr>
            <w:tcW w:w="1520" w:type="dxa"/>
            <w:vAlign w:val="bottom"/>
          </w:tcPr>
          <w:p>
            <w:pPr>
              <w:spacing w:after="0"/>
              <w:rPr>
                <w:sz w:val="22"/>
                <w:szCs w:val="22"/>
                <w:color w:val="auto"/>
              </w:rPr>
            </w:pPr>
          </w:p>
        </w:tc>
      </w:tr>
      <w:tr>
        <w:trPr>
          <w:trHeight w:val="222"/>
        </w:trPr>
        <w:tc>
          <w:tcPr>
            <w:tcW w:w="4740" w:type="dxa"/>
            <w:vAlign w:val="bottom"/>
          </w:tcPr>
          <w:p>
            <w:pPr>
              <w:spacing w:after="0"/>
              <w:rPr>
                <w:sz w:val="19"/>
                <w:szCs w:val="19"/>
                <w:color w:val="auto"/>
              </w:rPr>
            </w:pPr>
          </w:p>
        </w:tc>
        <w:tc>
          <w:tcPr>
            <w:tcW w:w="4820" w:type="dxa"/>
            <w:vAlign w:val="bottom"/>
          </w:tcPr>
          <w:p>
            <w:pPr>
              <w:ind w:left="1080"/>
              <w:spacing w:after="0"/>
              <w:rPr>
                <w:sz w:val="20"/>
                <w:szCs w:val="20"/>
                <w:color w:val="auto"/>
              </w:rPr>
            </w:pPr>
            <w:r>
              <w:rPr>
                <w:rFonts w:ascii="Arial" w:cs="Arial" w:eastAsia="Arial" w:hAnsi="Arial"/>
                <w:sz w:val="16"/>
                <w:szCs w:val="16"/>
                <w:color w:val="auto"/>
              </w:rPr>
              <w:t>Additional Policies and Procedures</w:t>
            </w:r>
          </w:p>
        </w:tc>
        <w:tc>
          <w:tcPr>
            <w:tcW w:w="152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56"/>
        </w:trPr>
        <w:tc>
          <w:tcPr>
            <w:tcW w:w="4740" w:type="dxa"/>
            <w:vAlign w:val="bottom"/>
          </w:tcPr>
          <w:p>
            <w:pPr>
              <w:ind w:left="20"/>
              <w:spacing w:after="0"/>
              <w:rPr>
                <w:sz w:val="20"/>
                <w:szCs w:val="20"/>
                <w:color w:val="auto"/>
              </w:rPr>
            </w:pPr>
            <w:r>
              <w:rPr>
                <w:rFonts w:ascii="Arial" w:cs="Arial" w:eastAsia="Arial" w:hAnsi="Arial"/>
                <w:sz w:val="16"/>
                <w:szCs w:val="16"/>
                <w:color w:val="auto"/>
              </w:rPr>
              <w:t>Director Compensation</w:t>
            </w:r>
          </w:p>
        </w:tc>
        <w:tc>
          <w:tcPr>
            <w:tcW w:w="4820" w:type="dxa"/>
            <w:vAlign w:val="bottom"/>
          </w:tcPr>
          <w:p>
            <w:pPr>
              <w:jc w:val="right"/>
              <w:ind w:right="4199"/>
              <w:spacing w:after="0"/>
              <w:rPr>
                <w:sz w:val="20"/>
                <w:szCs w:val="20"/>
                <w:color w:val="auto"/>
              </w:rPr>
            </w:pPr>
            <w:r>
              <w:rPr>
                <w:rFonts w:ascii="Arial" w:cs="Arial" w:eastAsia="Arial" w:hAnsi="Arial"/>
                <w:sz w:val="16"/>
                <w:szCs w:val="16"/>
                <w:color w:val="auto"/>
              </w:rPr>
              <w:t>52</w:t>
            </w:r>
          </w:p>
        </w:tc>
        <w:tc>
          <w:tcPr>
            <w:tcW w:w="1520" w:type="dxa"/>
            <w:vAlign w:val="bottom"/>
          </w:tcPr>
          <w:p>
            <w:pPr>
              <w:spacing w:after="0"/>
              <w:rPr>
                <w:sz w:val="22"/>
                <w:szCs w:val="22"/>
                <w:color w:val="auto"/>
              </w:rPr>
            </w:pPr>
          </w:p>
        </w:tc>
      </w:tr>
      <w:tr>
        <w:trPr>
          <w:trHeight w:val="230"/>
        </w:trPr>
        <w:tc>
          <w:tcPr>
            <w:tcW w:w="4740" w:type="dxa"/>
            <w:vAlign w:val="bottom"/>
          </w:tcPr>
          <w:p>
            <w:pPr>
              <w:spacing w:after="0"/>
              <w:rPr>
                <w:sz w:val="19"/>
                <w:szCs w:val="19"/>
                <w:color w:val="auto"/>
              </w:rPr>
            </w:pPr>
          </w:p>
        </w:tc>
        <w:tc>
          <w:tcPr>
            <w:tcW w:w="4820" w:type="dxa"/>
            <w:vAlign w:val="bottom"/>
          </w:tcPr>
          <w:p>
            <w:pPr>
              <w:ind w:left="1080"/>
              <w:spacing w:after="0"/>
              <w:rPr>
                <w:sz w:val="20"/>
                <w:szCs w:val="20"/>
                <w:color w:val="auto"/>
              </w:rPr>
            </w:pPr>
            <w:r>
              <w:rPr>
                <w:rFonts w:ascii="Arial" w:cs="Arial" w:eastAsia="Arial" w:hAnsi="Arial"/>
                <w:sz w:val="16"/>
                <w:szCs w:val="16"/>
                <w:color w:val="auto"/>
              </w:rPr>
              <w:t>Certain Transactions</w:t>
            </w:r>
          </w:p>
        </w:tc>
        <w:tc>
          <w:tcPr>
            <w:tcW w:w="1520" w:type="dxa"/>
            <w:vAlign w:val="bottom"/>
          </w:tcPr>
          <w:p>
            <w:pPr>
              <w:jc w:val="right"/>
              <w:spacing w:after="0"/>
              <w:rPr>
                <w:sz w:val="20"/>
                <w:szCs w:val="20"/>
                <w:color w:val="auto"/>
              </w:rPr>
            </w:pPr>
            <w:r>
              <w:rPr>
                <w:rFonts w:ascii="Arial" w:cs="Arial" w:eastAsia="Arial" w:hAnsi="Arial"/>
                <w:sz w:val="16"/>
                <w:szCs w:val="16"/>
                <w:color w:val="auto"/>
              </w:rPr>
              <w:t>116</w:t>
            </w:r>
          </w:p>
        </w:tc>
      </w:tr>
    </w:tbl>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60" w:type="dxa"/>
            <w:vAlign w:val="bottom"/>
          </w:tcPr>
          <w:p>
            <w:pPr>
              <w:spacing w:after="0"/>
              <w:rPr>
                <w:sz w:val="20"/>
                <w:szCs w:val="20"/>
                <w:color w:val="auto"/>
              </w:rPr>
            </w:pPr>
            <w:r>
              <w:rPr>
                <w:rFonts w:ascii="Arial" w:cs="Arial" w:eastAsia="Arial" w:hAnsi="Arial"/>
                <w:sz w:val="16"/>
                <w:szCs w:val="16"/>
                <w:b w:val="1"/>
                <w:bCs w:val="1"/>
                <w:color w:val="1A3FD6"/>
              </w:rPr>
              <w:t>Proposal No. 2: Advisory Vote to Approve Executive</w:t>
            </w:r>
          </w:p>
        </w:tc>
        <w:tc>
          <w:tcPr>
            <w:tcW w:w="980" w:type="dxa"/>
            <w:vAlign w:val="bottom"/>
          </w:tcPr>
          <w:p>
            <w:pPr>
              <w:jc w:val="right"/>
              <w:ind w:right="179"/>
              <w:spacing w:after="0"/>
              <w:rPr>
                <w:sz w:val="20"/>
                <w:szCs w:val="20"/>
                <w:color w:val="auto"/>
              </w:rPr>
            </w:pPr>
            <w:r>
              <w:rPr>
                <w:rFonts w:ascii="Arial" w:cs="Arial" w:eastAsia="Arial" w:hAnsi="Arial"/>
                <w:sz w:val="16"/>
                <w:szCs w:val="16"/>
                <w:b w:val="1"/>
                <w:bCs w:val="1"/>
                <w:color w:val="1A3FD6"/>
              </w:rPr>
              <w:t>56</w:t>
            </w:r>
          </w:p>
        </w:tc>
        <w:tc>
          <w:tcPr>
            <w:tcW w:w="4660" w:type="dxa"/>
            <w:vAlign w:val="bottom"/>
            <w:vMerge w:val="restart"/>
          </w:tcPr>
          <w:p>
            <w:pPr>
              <w:ind w:left="280"/>
              <w:spacing w:after="0"/>
              <w:rPr>
                <w:sz w:val="20"/>
                <w:szCs w:val="20"/>
                <w:color w:val="auto"/>
              </w:rPr>
            </w:pPr>
            <w:r>
              <w:rPr>
                <w:rFonts w:ascii="Arial" w:cs="Arial" w:eastAsia="Arial" w:hAnsi="Arial"/>
                <w:sz w:val="16"/>
                <w:szCs w:val="16"/>
                <w:color w:val="auto"/>
              </w:rPr>
              <w:t>Related Person Transactions Policy</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134"/>
        </w:trPr>
        <w:tc>
          <w:tcPr>
            <w:tcW w:w="4560" w:type="dxa"/>
            <w:vAlign w:val="bottom"/>
            <w:vMerge w:val="restart"/>
          </w:tcPr>
          <w:p>
            <w:pPr>
              <w:spacing w:after="0"/>
              <w:rPr>
                <w:sz w:val="20"/>
                <w:szCs w:val="20"/>
                <w:color w:val="auto"/>
              </w:rPr>
            </w:pPr>
            <w:r>
              <w:rPr>
                <w:rFonts w:ascii="Arial" w:cs="Arial" w:eastAsia="Arial" w:hAnsi="Arial"/>
                <w:sz w:val="16"/>
                <w:szCs w:val="16"/>
                <w:b w:val="1"/>
                <w:bCs w:val="1"/>
                <w:color w:val="1A3FD6"/>
              </w:rPr>
              <w:t>Compensation (Say-on-Pay)</w:t>
            </w:r>
          </w:p>
        </w:tc>
        <w:tc>
          <w:tcPr>
            <w:tcW w:w="980" w:type="dxa"/>
            <w:vAlign w:val="bottom"/>
          </w:tcPr>
          <w:p>
            <w:pPr>
              <w:spacing w:after="0"/>
              <w:rPr>
                <w:sz w:val="11"/>
                <w:szCs w:val="11"/>
                <w:color w:val="auto"/>
              </w:rPr>
            </w:pPr>
          </w:p>
        </w:tc>
        <w:tc>
          <w:tcPr>
            <w:tcW w:w="46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456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4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7"/>
        </w:trPr>
        <w:tc>
          <w:tcPr>
            <w:tcW w:w="4560" w:type="dxa"/>
            <w:vAlign w:val="bottom"/>
            <w:vMerge w:val="restart"/>
          </w:tcPr>
          <w:p>
            <w:pPr>
              <w:spacing w:after="0"/>
              <w:rPr>
                <w:sz w:val="20"/>
                <w:szCs w:val="20"/>
                <w:color w:val="auto"/>
              </w:rPr>
            </w:pPr>
            <w:r>
              <w:rPr>
                <w:rFonts w:ascii="Arial" w:cs="Arial" w:eastAsia="Arial" w:hAnsi="Arial"/>
                <w:sz w:val="16"/>
                <w:szCs w:val="16"/>
                <w:b w:val="1"/>
                <w:bCs w:val="1"/>
                <w:color w:val="1A3FD6"/>
              </w:rPr>
              <w:t>Compensation Matters</w:t>
            </w:r>
          </w:p>
        </w:tc>
        <w:tc>
          <w:tcPr>
            <w:tcW w:w="9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1A3FD6"/>
              </w:rPr>
              <w:t>57</w:t>
            </w:r>
          </w:p>
        </w:tc>
        <w:tc>
          <w:tcPr>
            <w:tcW w:w="4660" w:type="dxa"/>
            <w:vAlign w:val="bottom"/>
          </w:tcPr>
          <w:p>
            <w:pPr>
              <w:ind w:left="280"/>
              <w:spacing w:after="0"/>
              <w:rPr>
                <w:sz w:val="20"/>
                <w:szCs w:val="20"/>
                <w:color w:val="auto"/>
              </w:rPr>
            </w:pPr>
            <w:r>
              <w:rPr>
                <w:rFonts w:ascii="Arial" w:cs="Arial" w:eastAsia="Arial" w:hAnsi="Arial"/>
                <w:sz w:val="16"/>
                <w:szCs w:val="16"/>
                <w:color w:val="auto"/>
              </w:rPr>
              <w:t>Other Business</w:t>
            </w:r>
          </w:p>
        </w:tc>
        <w:tc>
          <w:tcPr>
            <w:tcW w:w="88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89"/>
        </w:trPr>
        <w:tc>
          <w:tcPr>
            <w:tcW w:w="456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4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3"/>
        </w:trPr>
        <w:tc>
          <w:tcPr>
            <w:tcW w:w="4560" w:type="dxa"/>
            <w:vAlign w:val="bottom"/>
          </w:tcPr>
          <w:p>
            <w:pPr>
              <w:ind w:left="20"/>
              <w:spacing w:after="0"/>
              <w:rPr>
                <w:sz w:val="20"/>
                <w:szCs w:val="20"/>
                <w:color w:val="auto"/>
              </w:rPr>
            </w:pPr>
            <w:r>
              <w:rPr>
                <w:rFonts w:ascii="Arial" w:cs="Arial" w:eastAsia="Arial" w:hAnsi="Arial"/>
                <w:sz w:val="16"/>
                <w:szCs w:val="16"/>
                <w:color w:val="auto"/>
              </w:rPr>
              <w:t>Compensation Discussion and Analysis</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58</w:t>
            </w:r>
          </w:p>
        </w:tc>
        <w:tc>
          <w:tcPr>
            <w:tcW w:w="4660" w:type="dxa"/>
            <w:vAlign w:val="bottom"/>
          </w:tcPr>
          <w:p>
            <w:pPr>
              <w:ind w:left="260"/>
              <w:spacing w:after="0"/>
              <w:rPr>
                <w:sz w:val="20"/>
                <w:szCs w:val="20"/>
                <w:color w:val="auto"/>
              </w:rPr>
            </w:pPr>
            <w:r>
              <w:rPr>
                <w:rFonts w:ascii="Arial" w:cs="Arial" w:eastAsia="Arial" w:hAnsi="Arial"/>
                <w:sz w:val="16"/>
                <w:szCs w:val="16"/>
                <w:b w:val="1"/>
                <w:bCs w:val="1"/>
                <w:color w:val="1A3FD6"/>
              </w:rPr>
              <w:t>Annex A: Frequently Asked Questions</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1A3FD6"/>
              </w:rPr>
              <w:t>118</w:t>
            </w:r>
          </w:p>
        </w:tc>
        <w:tc>
          <w:tcPr>
            <w:tcW w:w="0" w:type="dxa"/>
            <w:vAlign w:val="bottom"/>
          </w:tcPr>
          <w:p>
            <w:pPr>
              <w:spacing w:after="0"/>
              <w:rPr>
                <w:sz w:val="1"/>
                <w:szCs w:val="1"/>
                <w:color w:val="auto"/>
              </w:rPr>
            </w:pPr>
          </w:p>
        </w:tc>
      </w:tr>
      <w:tr>
        <w:trPr>
          <w:trHeight w:val="486"/>
        </w:trPr>
        <w:tc>
          <w:tcPr>
            <w:tcW w:w="4560" w:type="dxa"/>
            <w:vAlign w:val="bottom"/>
          </w:tcPr>
          <w:p>
            <w:pPr>
              <w:ind w:left="20"/>
              <w:spacing w:after="0"/>
              <w:rPr>
                <w:sz w:val="20"/>
                <w:szCs w:val="20"/>
                <w:color w:val="auto"/>
              </w:rPr>
            </w:pPr>
            <w:r>
              <w:rPr>
                <w:rFonts w:ascii="Arial" w:cs="Arial" w:eastAsia="Arial" w:hAnsi="Arial"/>
                <w:sz w:val="16"/>
                <w:szCs w:val="16"/>
                <w:color w:val="auto"/>
              </w:rPr>
              <w:t>Highlights</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58</w:t>
            </w:r>
          </w:p>
        </w:tc>
        <w:tc>
          <w:tcPr>
            <w:tcW w:w="4660" w:type="dxa"/>
            <w:vAlign w:val="bottom"/>
          </w:tcPr>
          <w:p>
            <w:pPr>
              <w:ind w:left="260"/>
              <w:spacing w:after="0"/>
              <w:rPr>
                <w:sz w:val="20"/>
                <w:szCs w:val="20"/>
                <w:color w:val="auto"/>
              </w:rPr>
            </w:pPr>
            <w:r>
              <w:rPr>
                <w:rFonts w:ascii="Arial" w:cs="Arial" w:eastAsia="Arial" w:hAnsi="Arial"/>
                <w:sz w:val="16"/>
                <w:szCs w:val="16"/>
                <w:b w:val="1"/>
                <w:bCs w:val="1"/>
                <w:color w:val="1A3FD6"/>
              </w:rPr>
              <w:t>Annex B: Supplemental Financial Information</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1A3FD6"/>
              </w:rPr>
              <w:t>125</w:t>
            </w:r>
          </w:p>
        </w:tc>
        <w:tc>
          <w:tcPr>
            <w:tcW w:w="0" w:type="dxa"/>
            <w:vAlign w:val="bottom"/>
          </w:tcPr>
          <w:p>
            <w:pPr>
              <w:spacing w:after="0"/>
              <w:rPr>
                <w:sz w:val="1"/>
                <w:szCs w:val="1"/>
                <w:color w:val="auto"/>
              </w:rPr>
            </w:pPr>
          </w:p>
        </w:tc>
      </w:tr>
      <w:tr>
        <w:trPr>
          <w:trHeight w:val="486"/>
        </w:trPr>
        <w:tc>
          <w:tcPr>
            <w:tcW w:w="4560" w:type="dxa"/>
            <w:vAlign w:val="bottom"/>
          </w:tcPr>
          <w:p>
            <w:pPr>
              <w:ind w:left="20"/>
              <w:spacing w:after="0"/>
              <w:rPr>
                <w:sz w:val="20"/>
                <w:szCs w:val="20"/>
                <w:color w:val="auto"/>
              </w:rPr>
            </w:pPr>
            <w:r>
              <w:rPr>
                <w:rFonts w:ascii="Arial" w:cs="Arial" w:eastAsia="Arial" w:hAnsi="Arial"/>
                <w:sz w:val="16"/>
                <w:szCs w:val="16"/>
                <w:color w:val="auto"/>
              </w:rPr>
              <w:t>Governance and Administration</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62</w:t>
            </w:r>
          </w:p>
        </w:tc>
        <w:tc>
          <w:tcPr>
            <w:tcW w:w="4660" w:type="dxa"/>
            <w:vAlign w:val="bottom"/>
          </w:tcPr>
          <w:p>
            <w:pPr>
              <w:ind w:left="260"/>
              <w:spacing w:after="0"/>
              <w:rPr>
                <w:sz w:val="20"/>
                <w:szCs w:val="20"/>
                <w:color w:val="auto"/>
              </w:rPr>
            </w:pPr>
            <w:r>
              <w:rPr>
                <w:rFonts w:ascii="Arial" w:cs="Arial" w:eastAsia="Arial" w:hAnsi="Arial"/>
                <w:sz w:val="16"/>
                <w:szCs w:val="16"/>
                <w:b w:val="1"/>
                <w:bCs w:val="1"/>
                <w:color w:val="1A3FD6"/>
              </w:rPr>
              <w:t>Annex C: MSCI Inc. 2025 Omnibus Incentive Plan</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1A3FD6"/>
              </w:rPr>
              <w:t>129</w:t>
            </w:r>
          </w:p>
        </w:tc>
        <w:tc>
          <w:tcPr>
            <w:tcW w:w="0" w:type="dxa"/>
            <w:vAlign w:val="bottom"/>
          </w:tcPr>
          <w:p>
            <w:pPr>
              <w:spacing w:after="0"/>
              <w:rPr>
                <w:sz w:val="1"/>
                <w:szCs w:val="1"/>
                <w:color w:val="auto"/>
              </w:rPr>
            </w:pPr>
          </w:p>
        </w:tc>
      </w:tr>
      <w:tr>
        <w:trPr>
          <w:trHeight w:val="451"/>
        </w:trPr>
        <w:tc>
          <w:tcPr>
            <w:tcW w:w="4560" w:type="dxa"/>
            <w:vAlign w:val="bottom"/>
          </w:tcPr>
          <w:p>
            <w:pPr>
              <w:ind w:left="20"/>
              <w:spacing w:after="0"/>
              <w:rPr>
                <w:sz w:val="20"/>
                <w:szCs w:val="20"/>
                <w:color w:val="auto"/>
              </w:rPr>
            </w:pPr>
            <w:r>
              <w:rPr>
                <w:rFonts w:ascii="Arial" w:cs="Arial" w:eastAsia="Arial" w:hAnsi="Arial"/>
                <w:sz w:val="16"/>
                <w:szCs w:val="16"/>
                <w:color w:val="auto"/>
              </w:rPr>
              <w:t>Review of our Programs</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68</w:t>
            </w:r>
          </w:p>
        </w:tc>
        <w:tc>
          <w:tcPr>
            <w:tcW w:w="4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560" w:type="dxa"/>
            <w:vAlign w:val="bottom"/>
          </w:tcPr>
          <w:p>
            <w:pPr>
              <w:ind w:left="20"/>
              <w:spacing w:after="0"/>
              <w:rPr>
                <w:sz w:val="20"/>
                <w:szCs w:val="20"/>
                <w:color w:val="auto"/>
              </w:rPr>
            </w:pPr>
            <w:r>
              <w:rPr>
                <w:rFonts w:ascii="Arial" w:cs="Arial" w:eastAsia="Arial" w:hAnsi="Arial"/>
                <w:sz w:val="16"/>
                <w:szCs w:val="16"/>
                <w:color w:val="auto"/>
              </w:rPr>
              <w:t>Other Policies</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81</w:t>
            </w:r>
          </w:p>
        </w:tc>
        <w:tc>
          <w:tcPr>
            <w:tcW w:w="4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560" w:type="dxa"/>
            <w:vAlign w:val="bottom"/>
          </w:tcPr>
          <w:p>
            <w:pPr>
              <w:ind w:left="20"/>
              <w:spacing w:after="0"/>
              <w:rPr>
                <w:sz w:val="20"/>
                <w:szCs w:val="20"/>
                <w:color w:val="auto"/>
              </w:rPr>
            </w:pPr>
            <w:r>
              <w:rPr>
                <w:rFonts w:ascii="Arial" w:cs="Arial" w:eastAsia="Arial" w:hAnsi="Arial"/>
                <w:sz w:val="16"/>
                <w:szCs w:val="16"/>
                <w:color w:val="auto"/>
              </w:rPr>
              <w:t>Tax Considerations</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82</w:t>
            </w:r>
          </w:p>
        </w:tc>
        <w:tc>
          <w:tcPr>
            <w:tcW w:w="4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560" w:type="dxa"/>
            <w:vAlign w:val="bottom"/>
          </w:tcPr>
          <w:p>
            <w:pPr>
              <w:ind w:left="20"/>
              <w:spacing w:after="0"/>
              <w:rPr>
                <w:sz w:val="20"/>
                <w:szCs w:val="20"/>
                <w:color w:val="auto"/>
              </w:rPr>
            </w:pPr>
            <w:r>
              <w:rPr>
                <w:rFonts w:ascii="Arial" w:cs="Arial" w:eastAsia="Arial" w:hAnsi="Arial"/>
                <w:sz w:val="16"/>
                <w:szCs w:val="16"/>
                <w:color w:val="auto"/>
              </w:rPr>
              <w:t>Compensation Risk Assessment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82</w:t>
            </w:r>
          </w:p>
        </w:tc>
        <w:tc>
          <w:tcPr>
            <w:tcW w:w="4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40" w:top="292" w:right="479" w:bottom="17" w:gutter="0" w:footer="0" w:header="0"/>
          <w:type w:val="continuous"/>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984885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8780"/>
              <w:spacing w:after="0"/>
              <w:rPr>
                <w:sz w:val="20"/>
                <w:szCs w:val="20"/>
                <w:color w:val="auto"/>
              </w:rPr>
            </w:pPr>
            <w:r>
              <w:rPr>
                <w:rFonts w:ascii="Arial" w:cs="Arial" w:eastAsia="Arial" w:hAnsi="Arial"/>
                <w:sz w:val="14"/>
                <w:szCs w:val="14"/>
                <w:b w:val="1"/>
                <w:bCs w:val="1"/>
                <w:color w:val="1A3FD6"/>
              </w:rPr>
              <w:t>Table of Contents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7</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38576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1A3FD6"/>
        </w:rPr>
        <w:t>NOTE ON FORWARD-LOOKING STATEMENTS</w:t>
      </w:r>
    </w:p>
    <w:p>
      <w:pPr>
        <w:spacing w:after="0" w:line="140" w:lineRule="exact"/>
        <w:rPr>
          <w:sz w:val="20"/>
          <w:szCs w:val="20"/>
          <w:color w:val="auto"/>
        </w:rPr>
      </w:pPr>
    </w:p>
    <w:p>
      <w:pPr>
        <w:ind w:left="360" w:right="420"/>
        <w:spacing w:after="0" w:line="274" w:lineRule="auto"/>
        <w:rPr>
          <w:sz w:val="20"/>
          <w:szCs w:val="20"/>
          <w:color w:val="auto"/>
        </w:rPr>
      </w:pPr>
      <w:r>
        <w:rPr>
          <w:rFonts w:ascii="Arial" w:cs="Arial" w:eastAsia="Arial" w:hAnsi="Arial"/>
          <w:sz w:val="16"/>
          <w:szCs w:val="16"/>
          <w:color w:val="auto"/>
        </w:rPr>
        <w:t>This Proxy Statement and statements and reports that are referenced in this Proxy Statement contain forward-looking statements within the meaning of the Private Securities Litigation Reform Act of 1995. These forward-looking statements relate to future events and involve underlying assumptions, as well as known and unknown risks, uncertainties and other factors that may cause our actual results, levels of activity, performance or achievements to differ materially from any future results, levels of activity, performance or achievements expressed or implied by these statements. In some cases, you can identify forward-looking statements by the use of words such as “may,” “could,” “expect,” “intend,” “plan,” “seek,” “anticipate,” “believe,” “estimate,” “predict,” “potential” or “continue,” or the negative of these terms or other comparable terminology. You should not place undue reliance on forward-looking statements because they involve known and unknown risks, uncertainties and other factors that are, in some cases, beyond MSCI’s control and that could materially affect our actual results, levels of activity, performance</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or achievements.</w:t>
      </w:r>
    </w:p>
    <w:p>
      <w:pPr>
        <w:spacing w:after="0" w:line="128" w:lineRule="exact"/>
        <w:rPr>
          <w:sz w:val="20"/>
          <w:szCs w:val="20"/>
          <w:color w:val="auto"/>
        </w:rPr>
      </w:pPr>
    </w:p>
    <w:p>
      <w:pPr>
        <w:ind w:left="360" w:right="400"/>
        <w:spacing w:after="0" w:line="278" w:lineRule="auto"/>
        <w:rPr>
          <w:sz w:val="20"/>
          <w:szCs w:val="20"/>
          <w:color w:val="auto"/>
        </w:rPr>
      </w:pPr>
      <w:r>
        <w:rPr>
          <w:rFonts w:ascii="Arial" w:cs="Arial" w:eastAsia="Arial" w:hAnsi="Arial"/>
          <w:sz w:val="16"/>
          <w:szCs w:val="16"/>
          <w:color w:val="auto"/>
        </w:rPr>
        <w:t>Other factors that could materially affect actual results, levels of activity, performance or achievements can be found in the MSCI 2024 Annual Report on Form 10-K filed with the SEC on February 7, 2025 and in quarterly reports on Form 10-Q and current reports on Form 8-K filed or furnished with the SEC. If any of these risks, uncertainties or other matters materialize, or if MSCI’s underlying assumptions prove to be incorrect, actual results may vary significantly from what MSCI projected. Statements and reports on our website or other websites that we refer to in this Proxy Statement will not be deemed a part of, or otherwise incorporated by reference in, this Proxy Statement or any other report we file with the SEC. Some of the statements and reports contain cautionary statements regarding forward-looking information that should be carefully considered. Forward-looking and other statements in this report and other reports may include metrics and estimates, assumptions based on evolving standards, and aspirational goals that are not promises or guarantees. Forward-looking and other statements in this report do not indicate materiality under U.S. federal securities laws, even if we use terms such as “material” or “materiality.” Some disclosures are based on third-party frameworks and stakeholder expectations, but we cannot guarantee continued adherence to these frameworks, which may change due to business developments, policy changes or other factors beyond our control.</w:t>
      </w:r>
    </w:p>
    <w:p>
      <w:pPr>
        <w:spacing w:after="0" w:line="72" w:lineRule="exact"/>
        <w:rPr>
          <w:sz w:val="20"/>
          <w:szCs w:val="20"/>
          <w:color w:val="auto"/>
        </w:rPr>
      </w:pPr>
    </w:p>
    <w:p>
      <w:pPr>
        <w:ind w:left="360" w:right="540"/>
        <w:spacing w:after="0" w:line="289" w:lineRule="auto"/>
        <w:rPr>
          <w:sz w:val="20"/>
          <w:szCs w:val="20"/>
          <w:color w:val="auto"/>
        </w:rPr>
      </w:pPr>
      <w:r>
        <w:rPr>
          <w:rFonts w:ascii="Arial" w:cs="Arial" w:eastAsia="Arial" w:hAnsi="Arial"/>
          <w:sz w:val="16"/>
          <w:szCs w:val="16"/>
          <w:color w:val="auto"/>
        </w:rPr>
        <w:t>Any forward-looking statement in this Proxy Statement and statements and reports that are referenced in this Proxy Statement reflect MSCI’s current views with respect to future events and is subject to these and other risks, uncertainties and assumptions relating to MSCI’s operations, results of operations, growth strategy and liquidity. MSCI assumes no obligation to publicly update or revise these forward-looking statements for any reason,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976630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9" w:name="page10"/>
    <w:bookmarkEnd w:id="9"/>
    <w:p>
      <w:pPr>
        <w:ind w:left="800" w:hanging="709"/>
        <w:spacing w:after="0"/>
        <w:tabs>
          <w:tab w:leader="none" w:pos="800" w:val="left"/>
        </w:tabs>
        <w:numPr>
          <w:ilvl w:val="0"/>
          <w:numId w:val="8"/>
        </w:numPr>
        <w:rPr>
          <w:rFonts w:ascii="Arial" w:cs="Arial" w:eastAsia="Arial" w:hAnsi="Arial"/>
          <w:sz w:val="14"/>
          <w:szCs w:val="14"/>
          <w:b w:val="1"/>
          <w:bCs w:val="1"/>
          <w:color w:val="1A3FD6"/>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452120</wp:posOffset>
            </wp:positionV>
            <wp:extent cx="488315" cy="6172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831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380"/>
        <w:spacing w:after="0"/>
        <w:rPr>
          <w:sz w:val="20"/>
          <w:szCs w:val="20"/>
          <w:color w:val="auto"/>
        </w:rPr>
      </w:pPr>
      <w:r>
        <w:rPr>
          <w:rFonts w:ascii="Arial" w:cs="Arial" w:eastAsia="Arial" w:hAnsi="Arial"/>
          <w:sz w:val="50"/>
          <w:szCs w:val="50"/>
          <w:b w:val="1"/>
          <w:bCs w:val="1"/>
          <w:color w:val="1A3FD6"/>
        </w:rPr>
        <w:t>Proxy</w:t>
      </w:r>
    </w:p>
    <w:p>
      <w:pPr>
        <w:spacing w:after="0" w:line="31" w:lineRule="exact"/>
        <w:rPr>
          <w:sz w:val="20"/>
          <w:szCs w:val="20"/>
          <w:color w:val="auto"/>
        </w:rPr>
      </w:pPr>
    </w:p>
    <w:p>
      <w:pPr>
        <w:ind w:left="1380"/>
        <w:spacing w:after="0"/>
        <w:rPr>
          <w:sz w:val="20"/>
          <w:szCs w:val="20"/>
          <w:color w:val="auto"/>
        </w:rPr>
      </w:pPr>
      <w:r>
        <w:rPr>
          <w:rFonts w:ascii="Arial" w:cs="Arial" w:eastAsia="Arial" w:hAnsi="Arial"/>
          <w:sz w:val="50"/>
          <w:szCs w:val="50"/>
          <w:b w:val="1"/>
          <w:bCs w:val="1"/>
          <w:color w:val="1A3FD6"/>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404495</wp:posOffset>
            </wp:positionV>
            <wp:extent cx="316865"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6865"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right="260"/>
        <w:spacing w:after="0" w:line="312" w:lineRule="auto"/>
        <w:rPr>
          <w:sz w:val="20"/>
          <w:szCs w:val="20"/>
          <w:color w:val="auto"/>
        </w:rPr>
      </w:pPr>
      <w:r>
        <w:rPr>
          <w:rFonts w:ascii="Arial" w:cs="Arial" w:eastAsia="Arial" w:hAnsi="Arial"/>
          <w:sz w:val="18"/>
          <w:szCs w:val="18"/>
          <w:b w:val="1"/>
          <w:bCs w:val="1"/>
          <w:color w:val="auto"/>
        </w:rPr>
        <w:t>This summary highlights information contained elsewhere in this Proxy Statement. It does not contain all of the information that you should consider, and you should read the entire Proxy Statement carefully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20313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03136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40"/>
          <w:szCs w:val="40"/>
          <w:b w:val="1"/>
          <w:bCs w:val="1"/>
          <w:color w:val="auto"/>
        </w:rPr>
        <w:t>MSCI at a Glance</w:t>
      </w:r>
    </w:p>
    <w:p>
      <w:pPr>
        <w:spacing w:after="0" w:line="257" w:lineRule="exact"/>
        <w:rPr>
          <w:sz w:val="20"/>
          <w:szCs w:val="20"/>
          <w:color w:val="auto"/>
        </w:rPr>
      </w:pPr>
    </w:p>
    <w:p>
      <w:pPr>
        <w:ind w:left="20" w:right="100"/>
        <w:spacing w:after="0" w:line="289" w:lineRule="auto"/>
        <w:rPr>
          <w:sz w:val="20"/>
          <w:szCs w:val="20"/>
          <w:color w:val="auto"/>
        </w:rPr>
      </w:pPr>
      <w:r>
        <w:rPr>
          <w:rFonts w:ascii="Arial" w:cs="Arial" w:eastAsia="Arial" w:hAnsi="Arial"/>
          <w:sz w:val="18"/>
          <w:szCs w:val="18"/>
          <w:b w:val="1"/>
          <w:bCs w:val="1"/>
          <w:color w:val="auto"/>
        </w:rPr>
        <w:t>We are a leading provider of critical decision support tools and solutions for the global investment community.</w:t>
      </w:r>
    </w:p>
    <w:p>
      <w:pPr>
        <w:spacing w:after="0" w:line="40" w:lineRule="exact"/>
        <w:rPr>
          <w:sz w:val="20"/>
          <w:szCs w:val="20"/>
          <w:color w:val="auto"/>
        </w:rPr>
      </w:pPr>
    </w:p>
    <w:p>
      <w:pPr>
        <w:jc w:val="both"/>
        <w:ind w:left="20"/>
        <w:spacing w:after="0" w:line="301" w:lineRule="auto"/>
        <w:rPr>
          <w:sz w:val="20"/>
          <w:szCs w:val="20"/>
          <w:color w:val="auto"/>
        </w:rPr>
      </w:pPr>
      <w:r>
        <w:rPr>
          <w:rFonts w:ascii="Arial" w:cs="Arial" w:eastAsia="Arial" w:hAnsi="Arial"/>
          <w:sz w:val="16"/>
          <w:szCs w:val="16"/>
          <w:color w:val="auto"/>
        </w:rPr>
        <w:t>MSCI Inc. trades under the symbol “MSCI” on the New York Stock Exchange (“NYSE”) and as of February 28, 2025 had a market capitalization of $45.8 billion.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2024</w:t>
      </w:r>
    </w:p>
    <w:p>
      <w:pPr>
        <w:spacing w:after="0" w:line="194" w:lineRule="exact"/>
        <w:rPr>
          <w:sz w:val="20"/>
          <w:szCs w:val="20"/>
          <w:color w:val="auto"/>
        </w:rPr>
      </w:pPr>
    </w:p>
    <w:p>
      <w:pPr>
        <w:spacing w:after="0"/>
        <w:tabs>
          <w:tab w:leader="none" w:pos="2280" w:val="left"/>
          <w:tab w:leader="none" w:pos="5040" w:val="left"/>
        </w:tabs>
        <w:rPr>
          <w:sz w:val="20"/>
          <w:szCs w:val="20"/>
          <w:color w:val="auto"/>
        </w:rPr>
      </w:pPr>
      <w:r>
        <w:rPr>
          <w:rFonts w:ascii="Arial" w:cs="Arial" w:eastAsia="Arial" w:hAnsi="Arial"/>
          <w:sz w:val="16"/>
          <w:szCs w:val="16"/>
          <w:color w:val="auto"/>
        </w:rPr>
        <w:t>we employed</w:t>
      </w:r>
      <w:r>
        <w:rPr>
          <w:sz w:val="20"/>
          <w:szCs w:val="20"/>
          <w:color w:val="auto"/>
        </w:rPr>
        <w:tab/>
      </w:r>
      <w:r>
        <w:rPr>
          <w:rFonts w:ascii="Arial" w:cs="Arial" w:eastAsia="Arial" w:hAnsi="Arial"/>
          <w:sz w:val="16"/>
          <w:szCs w:val="16"/>
          <w:color w:val="auto"/>
        </w:rPr>
        <w:t>and served approximately</w:t>
      </w:r>
      <w:r>
        <w:rPr>
          <w:sz w:val="20"/>
          <w:szCs w:val="20"/>
          <w:color w:val="auto"/>
        </w:rPr>
        <w:tab/>
      </w:r>
      <w:r>
        <w:rPr>
          <w:rFonts w:ascii="Arial" w:cs="Arial" w:eastAsia="Arial" w:hAnsi="Arial"/>
          <w:sz w:val="16"/>
          <w:szCs w:val="16"/>
          <w:color w:val="auto"/>
        </w:rPr>
        <w:t>in more than</w:t>
      </w:r>
    </w:p>
    <w:p>
      <w:pPr>
        <w:spacing w:after="0" w:line="21" w:lineRule="exact"/>
        <w:rPr>
          <w:sz w:val="20"/>
          <w:szCs w:val="20"/>
          <w:color w:val="auto"/>
        </w:rPr>
      </w:pPr>
    </w:p>
    <w:p>
      <w:pPr>
        <w:spacing w:after="0"/>
        <w:tabs>
          <w:tab w:leader="none" w:pos="2280" w:val="left"/>
          <w:tab w:leader="none" w:pos="5040" w:val="left"/>
        </w:tabs>
        <w:rPr>
          <w:sz w:val="20"/>
          <w:szCs w:val="20"/>
          <w:color w:val="auto"/>
        </w:rPr>
      </w:pPr>
      <w:r>
        <w:rPr>
          <w:rFonts w:ascii="Arial" w:cs="Arial" w:eastAsia="Arial" w:hAnsi="Arial"/>
          <w:sz w:val="54"/>
          <w:szCs w:val="54"/>
          <w:b w:val="1"/>
          <w:bCs w:val="1"/>
          <w:color w:val="1A3FD6"/>
        </w:rPr>
        <w:t>6,132</w:t>
      </w:r>
      <w:r>
        <w:rPr>
          <w:sz w:val="20"/>
          <w:szCs w:val="20"/>
          <w:color w:val="auto"/>
        </w:rPr>
        <w:tab/>
      </w:r>
      <w:r>
        <w:rPr>
          <w:rFonts w:ascii="Arial" w:cs="Arial" w:eastAsia="Arial" w:hAnsi="Arial"/>
          <w:sz w:val="54"/>
          <w:szCs w:val="54"/>
          <w:b w:val="1"/>
          <w:bCs w:val="1"/>
          <w:color w:val="1A3FD6"/>
        </w:rPr>
        <w:t>7,100</w:t>
      </w:r>
      <w:r>
        <w:rPr>
          <w:sz w:val="20"/>
          <w:szCs w:val="20"/>
          <w:color w:val="auto"/>
        </w:rPr>
        <w:tab/>
      </w:r>
      <w:r>
        <w:rPr>
          <w:rFonts w:ascii="Arial" w:cs="Arial" w:eastAsia="Arial" w:hAnsi="Arial"/>
          <w:sz w:val="53"/>
          <w:szCs w:val="53"/>
          <w:b w:val="1"/>
          <w:bCs w:val="1"/>
          <w:color w:val="1A3FD6"/>
        </w:rPr>
        <w:t>100</w:t>
      </w:r>
    </w:p>
    <w:p>
      <w:pPr>
        <w:spacing w:after="0"/>
        <w:tabs>
          <w:tab w:leader="none" w:pos="2280" w:val="left"/>
          <w:tab w:leader="none" w:pos="5040" w:val="left"/>
        </w:tabs>
        <w:rPr>
          <w:sz w:val="20"/>
          <w:szCs w:val="20"/>
          <w:color w:val="auto"/>
        </w:rPr>
      </w:pPr>
      <w:r>
        <w:rPr>
          <w:rFonts w:ascii="Arial" w:cs="Arial" w:eastAsia="Arial" w:hAnsi="Arial"/>
          <w:sz w:val="16"/>
          <w:szCs w:val="16"/>
          <w:color w:val="auto"/>
        </w:rPr>
        <w:t>people</w:t>
      </w:r>
      <w:r>
        <w:rPr>
          <w:sz w:val="20"/>
          <w:szCs w:val="20"/>
          <w:color w:val="auto"/>
        </w:rPr>
        <w:tab/>
      </w:r>
      <w:r>
        <w:rPr>
          <w:rFonts w:ascii="Arial" w:cs="Arial" w:eastAsia="Arial" w:hAnsi="Arial"/>
          <w:sz w:val="16"/>
          <w:szCs w:val="16"/>
          <w:color w:val="auto"/>
        </w:rPr>
        <w:t>clients</w:t>
      </w:r>
      <w:r>
        <w:rPr>
          <w:sz w:val="20"/>
          <w:szCs w:val="20"/>
          <w:color w:val="auto"/>
        </w:rPr>
        <w:tab/>
      </w:r>
      <w:r>
        <w:rPr>
          <w:rFonts w:ascii="Arial" w:cs="Arial" w:eastAsia="Arial" w:hAnsi="Arial"/>
          <w:sz w:val="16"/>
          <w:szCs w:val="16"/>
          <w:color w:val="auto"/>
        </w:rPr>
        <w:t>countries.</w:t>
      </w:r>
    </w:p>
    <w:p>
      <w:pPr>
        <w:spacing w:after="0" w:line="151"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color w:val="auto"/>
        </w:rPr>
        <w:t>Our mission-critical offerings help investors navigate the complexities of a dynamic and evolving investment landscape. Leveraging our deep knowledge of the global investment process and our expertise in research, data and technology, we enable our clients to understand and analyze key drivers of risk and return and build portfolios more effectively.</w:t>
      </w:r>
    </w:p>
    <w:p>
      <w:pPr>
        <w:spacing w:after="0" w:line="200" w:lineRule="exact"/>
        <w:rPr>
          <w:sz w:val="20"/>
          <w:szCs w:val="20"/>
          <w:color w:val="auto"/>
        </w:rPr>
      </w:pPr>
    </w:p>
    <w:p>
      <w:pPr>
        <w:sectPr>
          <w:pgSz w:w="11900" w:h="16838" w:orient="portrait"/>
          <w:cols w:equalWidth="0" w:num="2">
            <w:col w:w="3940" w:space="540"/>
            <w:col w:w="6760"/>
          </w:cols>
          <w:pgMar w:left="320" w:top="292" w:right="339" w:bottom="144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Strategic Pillars of Growth</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418"/>
        </w:trPr>
        <w:tc>
          <w:tcPr>
            <w:tcW w:w="1860" w:type="dxa"/>
            <w:vAlign w:val="bottom"/>
            <w:shd w:val="clear" w:color="auto" w:fill="E8ECFB"/>
          </w:tcPr>
          <w:p>
            <w:pPr>
              <w:ind w:left="100"/>
              <w:spacing w:after="0"/>
              <w:rPr>
                <w:sz w:val="20"/>
                <w:szCs w:val="20"/>
                <w:color w:val="auto"/>
              </w:rPr>
            </w:pPr>
            <w:r>
              <w:rPr>
                <w:rFonts w:ascii="Arial" w:cs="Arial" w:eastAsia="Arial" w:hAnsi="Arial"/>
                <w:sz w:val="16"/>
                <w:szCs w:val="16"/>
                <w:b w:val="1"/>
                <w:bCs w:val="1"/>
                <w:color w:val="auto"/>
              </w:rPr>
              <w:t>Extend leadership in</w:t>
            </w:r>
          </w:p>
        </w:tc>
        <w:tc>
          <w:tcPr>
            <w:tcW w:w="1880" w:type="dxa"/>
            <w:vAlign w:val="bottom"/>
            <w:shd w:val="clear" w:color="auto" w:fill="DDE2F9"/>
          </w:tcPr>
          <w:p>
            <w:pPr>
              <w:ind w:left="80"/>
              <w:spacing w:after="0"/>
              <w:rPr>
                <w:sz w:val="20"/>
                <w:szCs w:val="20"/>
                <w:color w:val="auto"/>
              </w:rPr>
            </w:pPr>
            <w:r>
              <w:rPr>
                <w:rFonts w:ascii="Arial" w:cs="Arial" w:eastAsia="Arial" w:hAnsi="Arial"/>
                <w:sz w:val="16"/>
                <w:szCs w:val="16"/>
                <w:b w:val="1"/>
                <w:bCs w:val="1"/>
                <w:color w:val="auto"/>
              </w:rPr>
              <w:t>Lead the enablement</w:t>
            </w:r>
          </w:p>
        </w:tc>
        <w:tc>
          <w:tcPr>
            <w:tcW w:w="1880" w:type="dxa"/>
            <w:vAlign w:val="bottom"/>
            <w:shd w:val="clear" w:color="auto" w:fill="C6CFF5"/>
          </w:tcPr>
          <w:p>
            <w:pPr>
              <w:ind w:left="80"/>
              <w:spacing w:after="0"/>
              <w:rPr>
                <w:sz w:val="20"/>
                <w:szCs w:val="20"/>
                <w:color w:val="auto"/>
              </w:rPr>
            </w:pPr>
            <w:r>
              <w:rPr>
                <w:rFonts w:ascii="Arial" w:cs="Arial" w:eastAsia="Arial" w:hAnsi="Arial"/>
                <w:sz w:val="16"/>
                <w:szCs w:val="16"/>
                <w:b w:val="1"/>
                <w:bCs w:val="1"/>
                <w:color w:val="auto"/>
              </w:rPr>
              <w:t>Enhance distribution</w:t>
            </w:r>
          </w:p>
        </w:tc>
        <w:tc>
          <w:tcPr>
            <w:tcW w:w="1860" w:type="dxa"/>
            <w:vAlign w:val="bottom"/>
            <w:shd w:val="clear" w:color="auto" w:fill="8C9FEA"/>
          </w:tcPr>
          <w:p>
            <w:pPr>
              <w:ind w:left="80"/>
              <w:spacing w:after="0"/>
              <w:rPr>
                <w:sz w:val="20"/>
                <w:szCs w:val="20"/>
                <w:color w:val="auto"/>
              </w:rPr>
            </w:pPr>
            <w:r>
              <w:rPr>
                <w:rFonts w:ascii="Arial" w:cs="Arial" w:eastAsia="Arial" w:hAnsi="Arial"/>
                <w:sz w:val="16"/>
                <w:szCs w:val="16"/>
                <w:b w:val="1"/>
                <w:bCs w:val="1"/>
                <w:color w:val="auto"/>
              </w:rPr>
              <w:t>Expand solutions that</w:t>
            </w:r>
          </w:p>
        </w:tc>
        <w:tc>
          <w:tcPr>
            <w:tcW w:w="1880" w:type="dxa"/>
            <w:vAlign w:val="bottom"/>
            <w:shd w:val="clear" w:color="auto" w:fill="536FE0"/>
          </w:tcPr>
          <w:p>
            <w:pPr>
              <w:ind w:left="80"/>
              <w:spacing w:after="0"/>
              <w:rPr>
                <w:sz w:val="20"/>
                <w:szCs w:val="20"/>
                <w:color w:val="auto"/>
              </w:rPr>
            </w:pPr>
            <w:r>
              <w:rPr>
                <w:rFonts w:ascii="Arial" w:cs="Arial" w:eastAsia="Arial" w:hAnsi="Arial"/>
                <w:sz w:val="16"/>
                <w:szCs w:val="16"/>
                <w:b w:val="1"/>
                <w:bCs w:val="1"/>
                <w:color w:val="auto"/>
              </w:rPr>
              <w:t>Strengthen client</w:t>
            </w:r>
          </w:p>
        </w:tc>
        <w:tc>
          <w:tcPr>
            <w:tcW w:w="1880" w:type="dxa"/>
            <w:vAlign w:val="bottom"/>
            <w:shd w:val="clear" w:color="auto" w:fill="1A3FD6"/>
          </w:tcPr>
          <w:p>
            <w:pPr>
              <w:ind w:left="80"/>
              <w:spacing w:after="0"/>
              <w:rPr>
                <w:sz w:val="20"/>
                <w:szCs w:val="20"/>
                <w:color w:val="auto"/>
              </w:rPr>
            </w:pPr>
            <w:r>
              <w:rPr>
                <w:rFonts w:ascii="Arial" w:cs="Arial" w:eastAsia="Arial" w:hAnsi="Arial"/>
                <w:sz w:val="16"/>
                <w:szCs w:val="16"/>
                <w:b w:val="1"/>
                <w:bCs w:val="1"/>
                <w:color w:val="FFFFFF"/>
              </w:rPr>
              <w:t>Execute strategic</w:t>
            </w:r>
          </w:p>
        </w:tc>
      </w:tr>
      <w:tr>
        <w:trPr>
          <w:trHeight w:val="216"/>
        </w:trPr>
        <w:tc>
          <w:tcPr>
            <w:tcW w:w="1860" w:type="dxa"/>
            <w:vAlign w:val="bottom"/>
            <w:shd w:val="clear" w:color="auto" w:fill="E8ECFB"/>
          </w:tcPr>
          <w:p>
            <w:pPr>
              <w:ind w:left="100"/>
              <w:spacing w:after="0"/>
              <w:rPr>
                <w:sz w:val="20"/>
                <w:szCs w:val="20"/>
                <w:color w:val="auto"/>
              </w:rPr>
            </w:pPr>
            <w:r>
              <w:rPr>
                <w:rFonts w:ascii="Arial" w:cs="Arial" w:eastAsia="Arial" w:hAnsi="Arial"/>
                <w:sz w:val="16"/>
                <w:szCs w:val="16"/>
                <w:b w:val="1"/>
                <w:bCs w:val="1"/>
                <w:color w:val="auto"/>
              </w:rPr>
              <w:t>research-enhanced</w:t>
            </w:r>
          </w:p>
        </w:tc>
        <w:tc>
          <w:tcPr>
            <w:tcW w:w="1880" w:type="dxa"/>
            <w:vAlign w:val="bottom"/>
            <w:shd w:val="clear" w:color="auto" w:fill="DDE2F9"/>
          </w:tcPr>
          <w:p>
            <w:pPr>
              <w:ind w:left="80"/>
              <w:spacing w:after="0"/>
              <w:rPr>
                <w:sz w:val="20"/>
                <w:szCs w:val="20"/>
                <w:color w:val="auto"/>
              </w:rPr>
            </w:pPr>
            <w:r>
              <w:rPr>
                <w:rFonts w:ascii="Arial" w:cs="Arial" w:eastAsia="Arial" w:hAnsi="Arial"/>
                <w:sz w:val="16"/>
                <w:szCs w:val="16"/>
                <w:b w:val="1"/>
                <w:bCs w:val="1"/>
                <w:color w:val="auto"/>
              </w:rPr>
              <w:t>of sustainability and</w:t>
            </w:r>
          </w:p>
        </w:tc>
        <w:tc>
          <w:tcPr>
            <w:tcW w:w="1880" w:type="dxa"/>
            <w:vAlign w:val="bottom"/>
            <w:shd w:val="clear" w:color="auto" w:fill="C6CFF5"/>
          </w:tcPr>
          <w:p>
            <w:pPr>
              <w:ind w:left="80"/>
              <w:spacing w:after="0"/>
              <w:rPr>
                <w:sz w:val="20"/>
                <w:szCs w:val="20"/>
                <w:color w:val="auto"/>
              </w:rPr>
            </w:pPr>
            <w:r>
              <w:rPr>
                <w:rFonts w:ascii="Arial" w:cs="Arial" w:eastAsia="Arial" w:hAnsi="Arial"/>
                <w:sz w:val="16"/>
                <w:szCs w:val="16"/>
                <w:b w:val="1"/>
                <w:bCs w:val="1"/>
                <w:color w:val="auto"/>
              </w:rPr>
              <w:t>and content-enabling</w:t>
            </w:r>
          </w:p>
        </w:tc>
        <w:tc>
          <w:tcPr>
            <w:tcW w:w="1860" w:type="dxa"/>
            <w:vAlign w:val="bottom"/>
            <w:shd w:val="clear" w:color="auto" w:fill="8C9FEA"/>
          </w:tcPr>
          <w:p>
            <w:pPr>
              <w:ind w:left="80"/>
              <w:spacing w:after="0"/>
              <w:rPr>
                <w:sz w:val="20"/>
                <w:szCs w:val="20"/>
                <w:color w:val="auto"/>
              </w:rPr>
            </w:pPr>
            <w:r>
              <w:rPr>
                <w:rFonts w:ascii="Arial" w:cs="Arial" w:eastAsia="Arial" w:hAnsi="Arial"/>
                <w:sz w:val="16"/>
                <w:szCs w:val="16"/>
                <w:b w:val="1"/>
                <w:bCs w:val="1"/>
                <w:color w:val="auto"/>
              </w:rPr>
              <w:t>empower client</w:t>
            </w:r>
          </w:p>
        </w:tc>
        <w:tc>
          <w:tcPr>
            <w:tcW w:w="1880" w:type="dxa"/>
            <w:vAlign w:val="bottom"/>
            <w:shd w:val="clear" w:color="auto" w:fill="536FE0"/>
          </w:tcPr>
          <w:p>
            <w:pPr>
              <w:ind w:left="80"/>
              <w:spacing w:after="0"/>
              <w:rPr>
                <w:sz w:val="20"/>
                <w:szCs w:val="20"/>
                <w:color w:val="auto"/>
              </w:rPr>
            </w:pPr>
            <w:r>
              <w:rPr>
                <w:rFonts w:ascii="Arial" w:cs="Arial" w:eastAsia="Arial" w:hAnsi="Arial"/>
                <w:sz w:val="16"/>
                <w:szCs w:val="16"/>
                <w:b w:val="1"/>
                <w:bCs w:val="1"/>
                <w:color w:val="auto"/>
              </w:rPr>
              <w:t>relationships and</w:t>
            </w:r>
          </w:p>
        </w:tc>
        <w:tc>
          <w:tcPr>
            <w:tcW w:w="1880" w:type="dxa"/>
            <w:vAlign w:val="bottom"/>
            <w:shd w:val="clear" w:color="auto" w:fill="1A3FD6"/>
          </w:tcPr>
          <w:p>
            <w:pPr>
              <w:ind w:left="80"/>
              <w:spacing w:after="0"/>
              <w:rPr>
                <w:sz w:val="20"/>
                <w:szCs w:val="20"/>
                <w:color w:val="auto"/>
              </w:rPr>
            </w:pPr>
            <w:r>
              <w:rPr>
                <w:rFonts w:ascii="Arial" w:cs="Arial" w:eastAsia="Arial" w:hAnsi="Arial"/>
                <w:sz w:val="16"/>
                <w:szCs w:val="16"/>
                <w:b w:val="1"/>
                <w:bCs w:val="1"/>
                <w:color w:val="FFFFFF"/>
              </w:rPr>
              <w:t>partnerships and</w:t>
            </w:r>
          </w:p>
        </w:tc>
      </w:tr>
      <w:tr>
        <w:trPr>
          <w:trHeight w:val="203"/>
        </w:trPr>
        <w:tc>
          <w:tcPr>
            <w:tcW w:w="1860" w:type="dxa"/>
            <w:vAlign w:val="bottom"/>
            <w:shd w:val="clear" w:color="auto" w:fill="E8ECFB"/>
          </w:tcPr>
          <w:p>
            <w:pPr>
              <w:ind w:left="100"/>
              <w:spacing w:after="0"/>
              <w:rPr>
                <w:sz w:val="20"/>
                <w:szCs w:val="20"/>
                <w:color w:val="auto"/>
              </w:rPr>
            </w:pPr>
            <w:r>
              <w:rPr>
                <w:rFonts w:ascii="Arial" w:cs="Arial" w:eastAsia="Arial" w:hAnsi="Arial"/>
                <w:sz w:val="16"/>
                <w:szCs w:val="16"/>
                <w:b w:val="1"/>
                <w:bCs w:val="1"/>
                <w:color w:val="auto"/>
              </w:rPr>
              <w:t>content across asset</w:t>
            </w:r>
          </w:p>
        </w:tc>
        <w:tc>
          <w:tcPr>
            <w:tcW w:w="1880" w:type="dxa"/>
            <w:vAlign w:val="bottom"/>
            <w:shd w:val="clear" w:color="auto" w:fill="DDE2F9"/>
          </w:tcPr>
          <w:p>
            <w:pPr>
              <w:ind w:left="80"/>
              <w:spacing w:after="0"/>
              <w:rPr>
                <w:sz w:val="20"/>
                <w:szCs w:val="20"/>
                <w:color w:val="auto"/>
              </w:rPr>
            </w:pPr>
            <w:r>
              <w:rPr>
                <w:rFonts w:ascii="Arial" w:cs="Arial" w:eastAsia="Arial" w:hAnsi="Arial"/>
                <w:sz w:val="16"/>
                <w:szCs w:val="16"/>
                <w:b w:val="1"/>
                <w:bCs w:val="1"/>
                <w:color w:val="auto"/>
              </w:rPr>
              <w:t>climate investment</w:t>
            </w:r>
          </w:p>
        </w:tc>
        <w:tc>
          <w:tcPr>
            <w:tcW w:w="1880" w:type="dxa"/>
            <w:vAlign w:val="bottom"/>
            <w:shd w:val="clear" w:color="auto" w:fill="C6CFF5"/>
          </w:tcPr>
          <w:p>
            <w:pPr>
              <w:ind w:left="80"/>
              <w:spacing w:after="0"/>
              <w:rPr>
                <w:sz w:val="20"/>
                <w:szCs w:val="20"/>
                <w:color w:val="auto"/>
              </w:rPr>
            </w:pPr>
            <w:r>
              <w:rPr>
                <w:rFonts w:ascii="Arial" w:cs="Arial" w:eastAsia="Arial" w:hAnsi="Arial"/>
                <w:sz w:val="16"/>
                <w:szCs w:val="16"/>
                <w:b w:val="1"/>
                <w:bCs w:val="1"/>
                <w:color w:val="auto"/>
              </w:rPr>
              <w:t>technology</w:t>
            </w:r>
          </w:p>
        </w:tc>
        <w:tc>
          <w:tcPr>
            <w:tcW w:w="1860" w:type="dxa"/>
            <w:vAlign w:val="bottom"/>
            <w:shd w:val="clear" w:color="auto" w:fill="8C9FEA"/>
          </w:tcPr>
          <w:p>
            <w:pPr>
              <w:ind w:left="80"/>
              <w:spacing w:after="0"/>
              <w:rPr>
                <w:sz w:val="20"/>
                <w:szCs w:val="20"/>
                <w:color w:val="auto"/>
              </w:rPr>
            </w:pPr>
            <w:r>
              <w:rPr>
                <w:rFonts w:ascii="Arial" w:cs="Arial" w:eastAsia="Arial" w:hAnsi="Arial"/>
                <w:sz w:val="16"/>
                <w:szCs w:val="16"/>
                <w:b w:val="1"/>
                <w:bCs w:val="1"/>
                <w:color w:val="auto"/>
              </w:rPr>
              <w:t>customization</w:t>
            </w:r>
          </w:p>
        </w:tc>
        <w:tc>
          <w:tcPr>
            <w:tcW w:w="1880" w:type="dxa"/>
            <w:vAlign w:val="bottom"/>
            <w:shd w:val="clear" w:color="auto" w:fill="536FE0"/>
          </w:tcPr>
          <w:p>
            <w:pPr>
              <w:ind w:left="80"/>
              <w:spacing w:after="0"/>
              <w:rPr>
                <w:sz w:val="20"/>
                <w:szCs w:val="20"/>
                <w:color w:val="auto"/>
              </w:rPr>
            </w:pPr>
            <w:r>
              <w:rPr>
                <w:rFonts w:ascii="Arial" w:cs="Arial" w:eastAsia="Arial" w:hAnsi="Arial"/>
                <w:sz w:val="16"/>
                <w:szCs w:val="16"/>
                <w:b w:val="1"/>
                <w:bCs w:val="1"/>
                <w:color w:val="auto"/>
              </w:rPr>
              <w:t>expand our presence</w:t>
            </w:r>
          </w:p>
        </w:tc>
        <w:tc>
          <w:tcPr>
            <w:tcW w:w="1880" w:type="dxa"/>
            <w:vAlign w:val="bottom"/>
            <w:shd w:val="clear" w:color="auto" w:fill="1A3FD6"/>
          </w:tcPr>
          <w:p>
            <w:pPr>
              <w:ind w:left="80"/>
              <w:spacing w:after="0"/>
              <w:rPr>
                <w:sz w:val="20"/>
                <w:szCs w:val="20"/>
                <w:color w:val="auto"/>
              </w:rPr>
            </w:pPr>
            <w:r>
              <w:rPr>
                <w:rFonts w:ascii="Arial" w:cs="Arial" w:eastAsia="Arial" w:hAnsi="Arial"/>
                <w:sz w:val="16"/>
                <w:szCs w:val="16"/>
                <w:b w:val="1"/>
                <w:bCs w:val="1"/>
                <w:color w:val="FFFFFF"/>
              </w:rPr>
              <w:t>acquisitions with</w:t>
            </w:r>
          </w:p>
        </w:tc>
      </w:tr>
      <w:tr>
        <w:trPr>
          <w:trHeight w:val="216"/>
        </w:trPr>
        <w:tc>
          <w:tcPr>
            <w:tcW w:w="1860" w:type="dxa"/>
            <w:vAlign w:val="bottom"/>
            <w:shd w:val="clear" w:color="auto" w:fill="E8ECFB"/>
          </w:tcPr>
          <w:p>
            <w:pPr>
              <w:ind w:left="100"/>
              <w:spacing w:after="0"/>
              <w:rPr>
                <w:sz w:val="20"/>
                <w:szCs w:val="20"/>
                <w:color w:val="auto"/>
              </w:rPr>
            </w:pPr>
            <w:r>
              <w:rPr>
                <w:rFonts w:ascii="Arial" w:cs="Arial" w:eastAsia="Arial" w:hAnsi="Arial"/>
                <w:sz w:val="16"/>
                <w:szCs w:val="16"/>
                <w:b w:val="1"/>
                <w:bCs w:val="1"/>
                <w:color w:val="auto"/>
              </w:rPr>
              <w:t>classes</w:t>
            </w:r>
          </w:p>
        </w:tc>
        <w:tc>
          <w:tcPr>
            <w:tcW w:w="1880" w:type="dxa"/>
            <w:vAlign w:val="bottom"/>
            <w:shd w:val="clear" w:color="auto" w:fill="DDE2F9"/>
          </w:tcPr>
          <w:p>
            <w:pPr>
              <w:ind w:left="80"/>
              <w:spacing w:after="0"/>
              <w:rPr>
                <w:sz w:val="20"/>
                <w:szCs w:val="20"/>
                <w:color w:val="auto"/>
              </w:rPr>
            </w:pPr>
            <w:r>
              <w:rPr>
                <w:rFonts w:ascii="Arial" w:cs="Arial" w:eastAsia="Arial" w:hAnsi="Arial"/>
                <w:sz w:val="16"/>
                <w:szCs w:val="16"/>
                <w:b w:val="1"/>
                <w:bCs w:val="1"/>
                <w:color w:val="auto"/>
              </w:rPr>
              <w:t>integration</w:t>
            </w:r>
          </w:p>
        </w:tc>
        <w:tc>
          <w:tcPr>
            <w:tcW w:w="1880" w:type="dxa"/>
            <w:vAlign w:val="bottom"/>
            <w:shd w:val="clear" w:color="auto" w:fill="C6CFF5"/>
          </w:tcPr>
          <w:p>
            <w:pPr>
              <w:spacing w:after="0"/>
              <w:rPr>
                <w:sz w:val="18"/>
                <w:szCs w:val="18"/>
                <w:color w:val="auto"/>
              </w:rPr>
            </w:pPr>
          </w:p>
        </w:tc>
        <w:tc>
          <w:tcPr>
            <w:tcW w:w="1860" w:type="dxa"/>
            <w:vAlign w:val="bottom"/>
            <w:shd w:val="clear" w:color="auto" w:fill="8C9FEA"/>
          </w:tcPr>
          <w:p>
            <w:pPr>
              <w:spacing w:after="0"/>
              <w:rPr>
                <w:sz w:val="18"/>
                <w:szCs w:val="18"/>
                <w:color w:val="auto"/>
              </w:rPr>
            </w:pPr>
          </w:p>
        </w:tc>
        <w:tc>
          <w:tcPr>
            <w:tcW w:w="1880" w:type="dxa"/>
            <w:vAlign w:val="bottom"/>
            <w:shd w:val="clear" w:color="auto" w:fill="536FE0"/>
          </w:tcPr>
          <w:p>
            <w:pPr>
              <w:ind w:left="80"/>
              <w:spacing w:after="0"/>
              <w:rPr>
                <w:sz w:val="20"/>
                <w:szCs w:val="20"/>
                <w:color w:val="auto"/>
              </w:rPr>
            </w:pPr>
            <w:r>
              <w:rPr>
                <w:rFonts w:ascii="Arial" w:cs="Arial" w:eastAsia="Arial" w:hAnsi="Arial"/>
                <w:sz w:val="16"/>
                <w:szCs w:val="16"/>
                <w:b w:val="1"/>
                <w:bCs w:val="1"/>
                <w:color w:val="auto"/>
              </w:rPr>
              <w:t>in key geographic</w:t>
            </w:r>
          </w:p>
        </w:tc>
        <w:tc>
          <w:tcPr>
            <w:tcW w:w="1880" w:type="dxa"/>
            <w:vAlign w:val="bottom"/>
            <w:shd w:val="clear" w:color="auto" w:fill="1A3FD6"/>
          </w:tcPr>
          <w:p>
            <w:pPr>
              <w:ind w:left="80"/>
              <w:spacing w:after="0"/>
              <w:rPr>
                <w:sz w:val="20"/>
                <w:szCs w:val="20"/>
                <w:color w:val="auto"/>
              </w:rPr>
            </w:pPr>
            <w:r>
              <w:rPr>
                <w:rFonts w:ascii="Arial" w:cs="Arial" w:eastAsia="Arial" w:hAnsi="Arial"/>
                <w:sz w:val="16"/>
                <w:szCs w:val="16"/>
                <w:b w:val="1"/>
                <w:bCs w:val="1"/>
                <w:color w:val="FFFFFF"/>
              </w:rPr>
              <w:t>complementary data,</w:t>
            </w:r>
          </w:p>
        </w:tc>
      </w:tr>
      <w:tr>
        <w:trPr>
          <w:trHeight w:val="216"/>
        </w:trPr>
        <w:tc>
          <w:tcPr>
            <w:tcW w:w="1860" w:type="dxa"/>
            <w:vAlign w:val="bottom"/>
            <w:shd w:val="clear" w:color="auto" w:fill="E8ECFB"/>
          </w:tcPr>
          <w:p>
            <w:pPr>
              <w:spacing w:after="0"/>
              <w:rPr>
                <w:sz w:val="18"/>
                <w:szCs w:val="18"/>
                <w:color w:val="auto"/>
              </w:rPr>
            </w:pPr>
          </w:p>
        </w:tc>
        <w:tc>
          <w:tcPr>
            <w:tcW w:w="1880" w:type="dxa"/>
            <w:vAlign w:val="bottom"/>
            <w:shd w:val="clear" w:color="auto" w:fill="DDE2F9"/>
          </w:tcPr>
          <w:p>
            <w:pPr>
              <w:spacing w:after="0"/>
              <w:rPr>
                <w:sz w:val="18"/>
                <w:szCs w:val="18"/>
                <w:color w:val="auto"/>
              </w:rPr>
            </w:pPr>
          </w:p>
        </w:tc>
        <w:tc>
          <w:tcPr>
            <w:tcW w:w="1880" w:type="dxa"/>
            <w:vAlign w:val="bottom"/>
            <w:shd w:val="clear" w:color="auto" w:fill="C6CFF5"/>
          </w:tcPr>
          <w:p>
            <w:pPr>
              <w:spacing w:after="0"/>
              <w:rPr>
                <w:sz w:val="18"/>
                <w:szCs w:val="18"/>
                <w:color w:val="auto"/>
              </w:rPr>
            </w:pPr>
          </w:p>
        </w:tc>
        <w:tc>
          <w:tcPr>
            <w:tcW w:w="1860" w:type="dxa"/>
            <w:vAlign w:val="bottom"/>
            <w:shd w:val="clear" w:color="auto" w:fill="8C9FEA"/>
          </w:tcPr>
          <w:p>
            <w:pPr>
              <w:spacing w:after="0"/>
              <w:rPr>
                <w:sz w:val="18"/>
                <w:szCs w:val="18"/>
                <w:color w:val="auto"/>
              </w:rPr>
            </w:pPr>
          </w:p>
        </w:tc>
        <w:tc>
          <w:tcPr>
            <w:tcW w:w="1880" w:type="dxa"/>
            <w:vAlign w:val="bottom"/>
            <w:shd w:val="clear" w:color="auto" w:fill="536FE0"/>
          </w:tcPr>
          <w:p>
            <w:pPr>
              <w:ind w:left="80"/>
              <w:spacing w:after="0"/>
              <w:rPr>
                <w:sz w:val="20"/>
                <w:szCs w:val="20"/>
                <w:color w:val="auto"/>
              </w:rPr>
            </w:pPr>
            <w:r>
              <w:rPr>
                <w:rFonts w:ascii="Arial" w:cs="Arial" w:eastAsia="Arial" w:hAnsi="Arial"/>
                <w:sz w:val="16"/>
                <w:szCs w:val="16"/>
                <w:b w:val="1"/>
                <w:bCs w:val="1"/>
                <w:color w:val="auto"/>
              </w:rPr>
              <w:t>areas</w:t>
            </w:r>
          </w:p>
        </w:tc>
        <w:tc>
          <w:tcPr>
            <w:tcW w:w="1880" w:type="dxa"/>
            <w:vAlign w:val="bottom"/>
            <w:shd w:val="clear" w:color="auto" w:fill="1A3FD6"/>
          </w:tcPr>
          <w:p>
            <w:pPr>
              <w:ind w:left="80"/>
              <w:spacing w:after="0"/>
              <w:rPr>
                <w:sz w:val="20"/>
                <w:szCs w:val="20"/>
                <w:color w:val="auto"/>
              </w:rPr>
            </w:pPr>
            <w:r>
              <w:rPr>
                <w:rFonts w:ascii="Arial" w:cs="Arial" w:eastAsia="Arial" w:hAnsi="Arial"/>
                <w:sz w:val="16"/>
                <w:szCs w:val="16"/>
                <w:b w:val="1"/>
                <w:bCs w:val="1"/>
                <w:color w:val="FFFFFF"/>
              </w:rPr>
              <w:t>content and</w:t>
            </w:r>
          </w:p>
        </w:tc>
      </w:tr>
      <w:tr>
        <w:trPr>
          <w:trHeight w:val="203"/>
        </w:trPr>
        <w:tc>
          <w:tcPr>
            <w:tcW w:w="1860" w:type="dxa"/>
            <w:vAlign w:val="bottom"/>
            <w:shd w:val="clear" w:color="auto" w:fill="E8ECFB"/>
          </w:tcPr>
          <w:p>
            <w:pPr>
              <w:spacing w:after="0"/>
              <w:rPr>
                <w:sz w:val="17"/>
                <w:szCs w:val="17"/>
                <w:color w:val="auto"/>
              </w:rPr>
            </w:pPr>
          </w:p>
        </w:tc>
        <w:tc>
          <w:tcPr>
            <w:tcW w:w="1880" w:type="dxa"/>
            <w:vAlign w:val="bottom"/>
            <w:shd w:val="clear" w:color="auto" w:fill="DDE2F9"/>
          </w:tcPr>
          <w:p>
            <w:pPr>
              <w:spacing w:after="0"/>
              <w:rPr>
                <w:sz w:val="17"/>
                <w:szCs w:val="17"/>
                <w:color w:val="auto"/>
              </w:rPr>
            </w:pPr>
          </w:p>
        </w:tc>
        <w:tc>
          <w:tcPr>
            <w:tcW w:w="1880" w:type="dxa"/>
            <w:vAlign w:val="bottom"/>
            <w:shd w:val="clear" w:color="auto" w:fill="C6CFF5"/>
          </w:tcPr>
          <w:p>
            <w:pPr>
              <w:spacing w:after="0"/>
              <w:rPr>
                <w:sz w:val="17"/>
                <w:szCs w:val="17"/>
                <w:color w:val="auto"/>
              </w:rPr>
            </w:pPr>
          </w:p>
        </w:tc>
        <w:tc>
          <w:tcPr>
            <w:tcW w:w="1860" w:type="dxa"/>
            <w:vAlign w:val="bottom"/>
            <w:shd w:val="clear" w:color="auto" w:fill="8C9FEA"/>
          </w:tcPr>
          <w:p>
            <w:pPr>
              <w:spacing w:after="0"/>
              <w:rPr>
                <w:sz w:val="17"/>
                <w:szCs w:val="17"/>
                <w:color w:val="auto"/>
              </w:rPr>
            </w:pPr>
          </w:p>
        </w:tc>
        <w:tc>
          <w:tcPr>
            <w:tcW w:w="1880" w:type="dxa"/>
            <w:vAlign w:val="bottom"/>
            <w:shd w:val="clear" w:color="auto" w:fill="536FE0"/>
          </w:tcPr>
          <w:p>
            <w:pPr>
              <w:spacing w:after="0"/>
              <w:rPr>
                <w:sz w:val="17"/>
                <w:szCs w:val="17"/>
                <w:color w:val="auto"/>
              </w:rPr>
            </w:pPr>
          </w:p>
        </w:tc>
        <w:tc>
          <w:tcPr>
            <w:tcW w:w="1880" w:type="dxa"/>
            <w:vAlign w:val="bottom"/>
            <w:shd w:val="clear" w:color="auto" w:fill="1A3FD6"/>
          </w:tcPr>
          <w:p>
            <w:pPr>
              <w:ind w:left="80"/>
              <w:spacing w:after="0"/>
              <w:rPr>
                <w:sz w:val="20"/>
                <w:szCs w:val="20"/>
                <w:color w:val="auto"/>
              </w:rPr>
            </w:pPr>
            <w:r>
              <w:rPr>
                <w:rFonts w:ascii="Arial" w:cs="Arial" w:eastAsia="Arial" w:hAnsi="Arial"/>
                <w:sz w:val="16"/>
                <w:szCs w:val="16"/>
                <w:b w:val="1"/>
                <w:bCs w:val="1"/>
                <w:color w:val="FFFFFF"/>
              </w:rPr>
              <w:t>technology</w:t>
            </w:r>
          </w:p>
        </w:tc>
      </w:tr>
      <w:tr>
        <w:trPr>
          <w:trHeight w:val="223"/>
        </w:trPr>
        <w:tc>
          <w:tcPr>
            <w:tcW w:w="1860" w:type="dxa"/>
            <w:vAlign w:val="bottom"/>
            <w:shd w:val="clear" w:color="auto" w:fill="E8ECFB"/>
          </w:tcPr>
          <w:p>
            <w:pPr>
              <w:spacing w:after="0"/>
              <w:rPr>
                <w:sz w:val="19"/>
                <w:szCs w:val="19"/>
                <w:color w:val="auto"/>
              </w:rPr>
            </w:pPr>
          </w:p>
        </w:tc>
        <w:tc>
          <w:tcPr>
            <w:tcW w:w="1880" w:type="dxa"/>
            <w:vAlign w:val="bottom"/>
            <w:shd w:val="clear" w:color="auto" w:fill="DDE2F9"/>
          </w:tcPr>
          <w:p>
            <w:pPr>
              <w:spacing w:after="0"/>
              <w:rPr>
                <w:sz w:val="19"/>
                <w:szCs w:val="19"/>
                <w:color w:val="auto"/>
              </w:rPr>
            </w:pPr>
          </w:p>
        </w:tc>
        <w:tc>
          <w:tcPr>
            <w:tcW w:w="1880" w:type="dxa"/>
            <w:vAlign w:val="bottom"/>
            <w:shd w:val="clear" w:color="auto" w:fill="C6CFF5"/>
          </w:tcPr>
          <w:p>
            <w:pPr>
              <w:spacing w:after="0"/>
              <w:rPr>
                <w:sz w:val="19"/>
                <w:szCs w:val="19"/>
                <w:color w:val="auto"/>
              </w:rPr>
            </w:pPr>
          </w:p>
        </w:tc>
        <w:tc>
          <w:tcPr>
            <w:tcW w:w="1860" w:type="dxa"/>
            <w:vAlign w:val="bottom"/>
            <w:shd w:val="clear" w:color="auto" w:fill="8C9FEA"/>
          </w:tcPr>
          <w:p>
            <w:pPr>
              <w:spacing w:after="0"/>
              <w:rPr>
                <w:sz w:val="19"/>
                <w:szCs w:val="19"/>
                <w:color w:val="auto"/>
              </w:rPr>
            </w:pPr>
          </w:p>
        </w:tc>
        <w:tc>
          <w:tcPr>
            <w:tcW w:w="1880" w:type="dxa"/>
            <w:vAlign w:val="bottom"/>
            <w:shd w:val="clear" w:color="auto" w:fill="536FE0"/>
          </w:tcPr>
          <w:p>
            <w:pPr>
              <w:spacing w:after="0"/>
              <w:rPr>
                <w:sz w:val="19"/>
                <w:szCs w:val="19"/>
                <w:color w:val="auto"/>
              </w:rPr>
            </w:pPr>
          </w:p>
        </w:tc>
        <w:tc>
          <w:tcPr>
            <w:tcW w:w="1880" w:type="dxa"/>
            <w:vAlign w:val="bottom"/>
            <w:shd w:val="clear" w:color="auto" w:fill="1A3FD6"/>
          </w:tcPr>
          <w:p>
            <w:pPr>
              <w:ind w:left="80"/>
              <w:spacing w:after="0"/>
              <w:rPr>
                <w:sz w:val="20"/>
                <w:szCs w:val="20"/>
                <w:color w:val="auto"/>
              </w:rPr>
            </w:pPr>
            <w:r>
              <w:rPr>
                <w:rFonts w:ascii="Arial" w:cs="Arial" w:eastAsia="Arial" w:hAnsi="Arial"/>
                <w:sz w:val="16"/>
                <w:szCs w:val="16"/>
                <w:b w:val="1"/>
                <w:bCs w:val="1"/>
                <w:color w:val="FFFFFF"/>
              </w:rPr>
              <w:t>companies</w:t>
            </w:r>
          </w:p>
        </w:tc>
      </w:tr>
      <w:tr>
        <w:trPr>
          <w:trHeight w:val="237"/>
        </w:trPr>
        <w:tc>
          <w:tcPr>
            <w:tcW w:w="1860" w:type="dxa"/>
            <w:vAlign w:val="bottom"/>
            <w:shd w:val="clear" w:color="auto" w:fill="E8ECFB"/>
          </w:tcPr>
          <w:p>
            <w:pPr>
              <w:spacing w:after="0"/>
              <w:rPr>
                <w:sz w:val="20"/>
                <w:szCs w:val="20"/>
                <w:color w:val="auto"/>
              </w:rPr>
            </w:pPr>
          </w:p>
        </w:tc>
        <w:tc>
          <w:tcPr>
            <w:tcW w:w="1880" w:type="dxa"/>
            <w:vAlign w:val="bottom"/>
            <w:shd w:val="clear" w:color="auto" w:fill="DDE2F9"/>
          </w:tcPr>
          <w:p>
            <w:pPr>
              <w:spacing w:after="0"/>
              <w:rPr>
                <w:sz w:val="20"/>
                <w:szCs w:val="20"/>
                <w:color w:val="auto"/>
              </w:rPr>
            </w:pPr>
          </w:p>
        </w:tc>
        <w:tc>
          <w:tcPr>
            <w:tcW w:w="1880" w:type="dxa"/>
            <w:vAlign w:val="bottom"/>
            <w:shd w:val="clear" w:color="auto" w:fill="C6CFF5"/>
          </w:tcPr>
          <w:p>
            <w:pPr>
              <w:spacing w:after="0"/>
              <w:rPr>
                <w:sz w:val="20"/>
                <w:szCs w:val="20"/>
                <w:color w:val="auto"/>
              </w:rPr>
            </w:pPr>
          </w:p>
        </w:tc>
        <w:tc>
          <w:tcPr>
            <w:tcW w:w="1860" w:type="dxa"/>
            <w:vAlign w:val="bottom"/>
            <w:shd w:val="clear" w:color="auto" w:fill="8C9FEA"/>
          </w:tcPr>
          <w:p>
            <w:pPr>
              <w:spacing w:after="0"/>
              <w:rPr>
                <w:sz w:val="20"/>
                <w:szCs w:val="20"/>
                <w:color w:val="auto"/>
              </w:rPr>
            </w:pPr>
          </w:p>
        </w:tc>
        <w:tc>
          <w:tcPr>
            <w:tcW w:w="1880" w:type="dxa"/>
            <w:vAlign w:val="bottom"/>
            <w:shd w:val="clear" w:color="auto" w:fill="536FE0"/>
          </w:tcPr>
          <w:p>
            <w:pPr>
              <w:spacing w:after="0"/>
              <w:rPr>
                <w:sz w:val="20"/>
                <w:szCs w:val="20"/>
                <w:color w:val="auto"/>
              </w:rPr>
            </w:pPr>
          </w:p>
        </w:tc>
        <w:tc>
          <w:tcPr>
            <w:tcW w:w="1880" w:type="dxa"/>
            <w:vAlign w:val="bottom"/>
            <w:shd w:val="clear" w:color="auto" w:fill="1A3FD6"/>
          </w:tcPr>
          <w:p>
            <w:pPr>
              <w:spacing w:after="0"/>
              <w:rPr>
                <w:sz w:val="20"/>
                <w:szCs w:val="20"/>
                <w:color w:val="auto"/>
              </w:rPr>
            </w:pPr>
          </w:p>
        </w:tc>
      </w:tr>
    </w:tbl>
    <w:p>
      <w:pPr>
        <w:spacing w:after="0" w:line="263"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Enabling all Participants in the Investment Process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1A3FD6"/>
        </w:rPr>
        <w:t>Providers of Capital</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Enabling asset owners and managers to </w:t>
      </w:r>
      <w:r>
        <w:rPr>
          <w:rFonts w:ascii="Arial" w:cs="Arial" w:eastAsia="Arial" w:hAnsi="Arial"/>
          <w:sz w:val="16"/>
          <w:szCs w:val="16"/>
          <w:b w:val="1"/>
          <w:bCs w:val="1"/>
          <w:color w:val="auto"/>
        </w:rPr>
        <w:t>make better investment decisions and build better portfolios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1A3FD6"/>
        </w:rPr>
        <w:t>Users of Capital</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Enabling corporates and others to </w:t>
      </w:r>
      <w:r>
        <w:rPr>
          <w:rFonts w:ascii="Arial" w:cs="Arial" w:eastAsia="Arial" w:hAnsi="Arial"/>
          <w:sz w:val="16"/>
          <w:szCs w:val="16"/>
          <w:b w:val="1"/>
          <w:bCs w:val="1"/>
          <w:color w:val="auto"/>
        </w:rPr>
        <w:t>understand sustainability risks, benchmark against peers and inform engagement with shareholders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1A3FD6"/>
        </w:rPr>
        <w:t>Financial Intermediaries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Enabling banks, broker dealers, exchanges, custodians and others to </w:t>
      </w:r>
      <w:r>
        <w:rPr>
          <w:rFonts w:ascii="Arial" w:cs="Arial" w:eastAsia="Arial" w:hAnsi="Arial"/>
          <w:sz w:val="16"/>
          <w:szCs w:val="16"/>
          <w:b w:val="1"/>
          <w:bCs w:val="1"/>
          <w:color w:val="auto"/>
        </w:rPr>
        <w:t>improve the investment process with more transparency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760730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8880"/>
              <w:spacing w:after="0"/>
              <w:rPr>
                <w:sz w:val="20"/>
                <w:szCs w:val="20"/>
                <w:color w:val="auto"/>
              </w:rPr>
            </w:pPr>
            <w:r>
              <w:rPr>
                <w:rFonts w:ascii="Arial" w:cs="Arial" w:eastAsia="Arial" w:hAnsi="Arial"/>
                <w:sz w:val="14"/>
                <w:szCs w:val="14"/>
                <w:b w:val="1"/>
                <w:bCs w:val="1"/>
                <w:color w:val="1A3FD6"/>
              </w:rPr>
              <w:t>Proxy Summary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9</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Strong Financial Performance</w:t>
      </w:r>
    </w:p>
    <w:p>
      <w:pPr>
        <w:spacing w:after="0" w:line="181"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auto"/>
        </w:rPr>
        <w:t>In 2024, we continued to execute a focused strategy to accelerate growth, improve efficiency and attract the best talent. Our strong results reflect our commitment to building long-term shareholder value.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Financial highlights for the year ended December 31, 2024 include the following:</w:t>
      </w:r>
    </w:p>
    <w:p>
      <w:pPr>
        <w:spacing w:after="0" w:line="93"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2024 Financial Highlights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400" w:type="dxa"/>
            <w:vAlign w:val="bottom"/>
          </w:tcPr>
          <w:p>
            <w:pPr>
              <w:ind w:left="20"/>
              <w:spacing w:after="0"/>
              <w:rPr>
                <w:sz w:val="20"/>
                <w:szCs w:val="20"/>
                <w:color w:val="auto"/>
              </w:rPr>
            </w:pPr>
            <w:r>
              <w:rPr>
                <w:rFonts w:ascii="Arial" w:cs="Arial" w:eastAsia="Arial" w:hAnsi="Arial"/>
                <w:sz w:val="20"/>
                <w:szCs w:val="20"/>
                <w:color w:val="1A3FD6"/>
              </w:rPr>
              <w:t>Operating Revenues</w:t>
            </w:r>
          </w:p>
        </w:tc>
        <w:tc>
          <w:tcPr>
            <w:tcW w:w="32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20"/>
                <w:szCs w:val="20"/>
                <w:color w:val="1A3FD6"/>
              </w:rPr>
              <w:t>Net Income / Operating Income / Adjusted EBITDA*</w:t>
            </w:r>
          </w:p>
        </w:tc>
      </w:tr>
      <w:tr>
        <w:trPr>
          <w:trHeight w:val="215"/>
        </w:trPr>
        <w:tc>
          <w:tcPr>
            <w:tcW w:w="5400" w:type="dxa"/>
            <w:vAlign w:val="bottom"/>
          </w:tcPr>
          <w:p>
            <w:pPr>
              <w:ind w:left="20"/>
              <w:spacing w:after="0"/>
              <w:rPr>
                <w:sz w:val="20"/>
                <w:szCs w:val="20"/>
                <w:color w:val="auto"/>
              </w:rPr>
            </w:pPr>
            <w:r>
              <w:rPr>
                <w:rFonts w:ascii="Arial" w:cs="Arial" w:eastAsia="Arial" w:hAnsi="Arial"/>
                <w:sz w:val="16"/>
                <w:szCs w:val="16"/>
                <w:color w:val="auto"/>
              </w:rPr>
              <w:t>(in millions except percentages)</w:t>
            </w:r>
          </w:p>
        </w:tc>
        <w:tc>
          <w:tcPr>
            <w:tcW w:w="320" w:type="dxa"/>
            <w:vAlign w:val="bottom"/>
          </w:tcPr>
          <w:p>
            <w:pPr>
              <w:spacing w:after="0"/>
              <w:rPr>
                <w:sz w:val="18"/>
                <w:szCs w:val="18"/>
                <w:color w:val="auto"/>
              </w:rPr>
            </w:pPr>
          </w:p>
        </w:tc>
        <w:tc>
          <w:tcPr>
            <w:tcW w:w="5400" w:type="dxa"/>
            <w:vAlign w:val="bottom"/>
          </w:tcPr>
          <w:p>
            <w:pPr>
              <w:ind w:left="20"/>
              <w:spacing w:after="0"/>
              <w:rPr>
                <w:sz w:val="20"/>
                <w:szCs w:val="20"/>
                <w:color w:val="auto"/>
              </w:rPr>
            </w:pPr>
            <w:r>
              <w:rPr>
                <w:rFonts w:ascii="Arial" w:cs="Arial" w:eastAsia="Arial" w:hAnsi="Arial"/>
                <w:sz w:val="16"/>
                <w:szCs w:val="16"/>
                <w:color w:val="auto"/>
              </w:rPr>
              <w:t>(in millions except percentages)</w:t>
            </w:r>
          </w:p>
        </w:tc>
      </w:tr>
      <w:tr>
        <w:trPr>
          <w:trHeight w:val="70"/>
        </w:trPr>
        <w:tc>
          <w:tcPr>
            <w:tcW w:w="5400" w:type="dxa"/>
            <w:vAlign w:val="bottom"/>
            <w:tcBorders>
              <w:bottom w:val="single" w:sz="8" w:color="1A3FD6"/>
            </w:tcBorders>
          </w:tcPr>
          <w:p>
            <w:pPr>
              <w:spacing w:after="0"/>
              <w:rPr>
                <w:sz w:val="6"/>
                <w:szCs w:val="6"/>
                <w:color w:val="auto"/>
              </w:rPr>
            </w:pPr>
          </w:p>
        </w:tc>
        <w:tc>
          <w:tcPr>
            <w:tcW w:w="320" w:type="dxa"/>
            <w:vAlign w:val="bottom"/>
          </w:tcPr>
          <w:p>
            <w:pPr>
              <w:spacing w:after="0"/>
              <w:rPr>
                <w:sz w:val="6"/>
                <w:szCs w:val="6"/>
                <w:color w:val="auto"/>
              </w:rPr>
            </w:pPr>
          </w:p>
        </w:tc>
        <w:tc>
          <w:tcPr>
            <w:tcW w:w="5400" w:type="dxa"/>
            <w:vAlign w:val="bottom"/>
            <w:tcBorders>
              <w:bottom w:val="single" w:sz="8" w:color="1A3FD6"/>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137160</wp:posOffset>
            </wp:positionV>
            <wp:extent cx="1234440" cy="18091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34440" cy="180911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128270</wp:posOffset>
            </wp:positionV>
            <wp:extent cx="1234440" cy="1808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3444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615"/>
        </w:trPr>
        <w:tc>
          <w:tcPr>
            <w:tcW w:w="2400" w:type="dxa"/>
            <w:vAlign w:val="bottom"/>
            <w:gridSpan w:val="2"/>
          </w:tcPr>
          <w:p>
            <w:pPr>
              <w:ind w:left="640"/>
              <w:spacing w:after="0"/>
              <w:rPr>
                <w:sz w:val="20"/>
                <w:szCs w:val="20"/>
                <w:color w:val="auto"/>
              </w:rPr>
            </w:pPr>
            <w:r>
              <w:rPr>
                <w:rFonts w:ascii="Arial" w:cs="Arial" w:eastAsia="Arial" w:hAnsi="Arial"/>
                <w:sz w:val="32"/>
                <w:szCs w:val="32"/>
                <w:b w:val="1"/>
                <w:bCs w:val="1"/>
                <w:color w:val="1A3FD6"/>
              </w:rPr>
              <w:t>+</w:t>
            </w:r>
            <w:r>
              <w:rPr>
                <w:rFonts w:ascii="Arial" w:cs="Arial" w:eastAsia="Arial" w:hAnsi="Arial"/>
                <w:sz w:val="50"/>
                <w:szCs w:val="50"/>
                <w:b w:val="1"/>
                <w:bCs w:val="1"/>
                <w:color w:val="1A3FD6"/>
              </w:rPr>
              <w:t>12.9</w:t>
            </w:r>
            <w:r>
              <w:rPr>
                <w:rFonts w:ascii="Arial" w:cs="Arial" w:eastAsia="Arial" w:hAnsi="Arial"/>
                <w:sz w:val="32"/>
                <w:szCs w:val="32"/>
                <w:b w:val="1"/>
                <w:bCs w:val="1"/>
                <w:color w:val="1A3FD6"/>
              </w:rPr>
              <w:t>%</w:t>
            </w: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580" w:type="dxa"/>
            <w:vAlign w:val="bottom"/>
            <w:gridSpan w:val="3"/>
          </w:tcPr>
          <w:p>
            <w:pPr>
              <w:ind w:left="940"/>
              <w:spacing w:after="0"/>
              <w:rPr>
                <w:sz w:val="20"/>
                <w:szCs w:val="20"/>
                <w:color w:val="auto"/>
              </w:rPr>
            </w:pPr>
            <w:r>
              <w:rPr>
                <w:rFonts w:ascii="Arial" w:cs="Arial" w:eastAsia="Arial" w:hAnsi="Arial"/>
                <w:sz w:val="32"/>
                <w:szCs w:val="32"/>
                <w:b w:val="1"/>
                <w:bCs w:val="1"/>
                <w:color w:val="1A3FD6"/>
              </w:rPr>
              <w:t>+</w:t>
            </w:r>
            <w:r>
              <w:rPr>
                <w:rFonts w:ascii="Arial" w:cs="Arial" w:eastAsia="Arial" w:hAnsi="Arial"/>
                <w:sz w:val="50"/>
                <w:szCs w:val="50"/>
                <w:b w:val="1"/>
                <w:bCs w:val="1"/>
                <w:color w:val="1A3FD6"/>
              </w:rPr>
              <w:t>10.4</w:t>
            </w:r>
            <w:r>
              <w:rPr>
                <w:rFonts w:ascii="Arial" w:cs="Arial" w:eastAsia="Arial" w:hAnsi="Arial"/>
                <w:sz w:val="32"/>
                <w:szCs w:val="32"/>
                <w:b w:val="1"/>
                <w:bCs w:val="1"/>
                <w:color w:val="1A3FD6"/>
              </w:rPr>
              <w:t>%</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600" w:type="dxa"/>
            <w:vAlign w:val="bottom"/>
            <w:gridSpan w:val="3"/>
          </w:tcPr>
          <w:p>
            <w:pPr>
              <w:ind w:left="640"/>
              <w:spacing w:after="0"/>
              <w:rPr>
                <w:sz w:val="20"/>
                <w:szCs w:val="20"/>
                <w:color w:val="auto"/>
              </w:rPr>
            </w:pPr>
            <w:r>
              <w:rPr>
                <w:rFonts w:ascii="Arial" w:cs="Arial" w:eastAsia="Arial" w:hAnsi="Arial"/>
                <w:sz w:val="16"/>
                <w:szCs w:val="16"/>
                <w:color w:val="auto"/>
              </w:rPr>
              <w:t>Operating Revenue Growth</w:t>
            </w: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60" w:type="dxa"/>
            <w:vAlign w:val="bottom"/>
            <w:gridSpan w:val="2"/>
          </w:tcPr>
          <w:p>
            <w:pPr>
              <w:ind w:left="620"/>
              <w:spacing w:after="0"/>
              <w:rPr>
                <w:sz w:val="20"/>
                <w:szCs w:val="20"/>
                <w:color w:val="auto"/>
              </w:rPr>
            </w:pPr>
            <w:r>
              <w:rPr>
                <w:rFonts w:ascii="Arial" w:cs="Arial" w:eastAsia="Arial" w:hAnsi="Arial"/>
                <w:sz w:val="16"/>
                <w:szCs w:val="16"/>
                <w:color w:val="auto"/>
              </w:rPr>
              <w:t>Operating Income</w:t>
            </w: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9"/>
        </w:trPr>
        <w:tc>
          <w:tcPr>
            <w:tcW w:w="1020" w:type="dxa"/>
            <w:vAlign w:val="bottom"/>
          </w:tcPr>
          <w:p>
            <w:pPr>
              <w:ind w:left="100"/>
              <w:spacing w:after="0"/>
              <w:rPr>
                <w:sz w:val="20"/>
                <w:szCs w:val="20"/>
                <w:color w:val="auto"/>
              </w:rPr>
            </w:pPr>
            <w:r>
              <w:rPr>
                <w:rFonts w:ascii="Arial" w:cs="Arial" w:eastAsia="Arial" w:hAnsi="Arial"/>
                <w:sz w:val="10"/>
                <w:szCs w:val="10"/>
                <w:b w:val="1"/>
                <w:bCs w:val="1"/>
                <w:color w:val="1A3FD6"/>
              </w:rPr>
              <w:t xml:space="preserve">¢  </w:t>
            </w:r>
            <w:r>
              <w:rPr>
                <w:rFonts w:ascii="Arial" w:cs="Arial" w:eastAsia="Arial" w:hAnsi="Arial"/>
                <w:sz w:val="14"/>
                <w:szCs w:val="14"/>
                <w:color w:val="000000"/>
              </w:rPr>
              <w:t>Index</w:t>
            </w:r>
          </w:p>
        </w:tc>
        <w:tc>
          <w:tcPr>
            <w:tcW w:w="1380" w:type="dxa"/>
            <w:vAlign w:val="bottom"/>
          </w:tcPr>
          <w:p>
            <w:pPr>
              <w:ind w:left="200"/>
              <w:spacing w:after="0"/>
              <w:rPr>
                <w:sz w:val="20"/>
                <w:szCs w:val="20"/>
                <w:color w:val="auto"/>
              </w:rPr>
            </w:pPr>
            <w:r>
              <w:rPr>
                <w:rFonts w:ascii="Arial" w:cs="Arial" w:eastAsia="Arial" w:hAnsi="Arial"/>
                <w:sz w:val="10"/>
                <w:szCs w:val="10"/>
                <w:b w:val="1"/>
                <w:bCs w:val="1"/>
                <w:color w:val="7188EF"/>
              </w:rPr>
              <w:t xml:space="preserve">¢  </w:t>
            </w:r>
            <w:r>
              <w:rPr>
                <w:rFonts w:ascii="Arial" w:cs="Arial" w:eastAsia="Arial" w:hAnsi="Arial"/>
                <w:sz w:val="14"/>
                <w:szCs w:val="14"/>
                <w:color w:val="000000"/>
              </w:rPr>
              <w:t>Analytics</w:t>
            </w:r>
          </w:p>
        </w:tc>
        <w:tc>
          <w:tcPr>
            <w:tcW w:w="1200" w:type="dxa"/>
            <w:vAlign w:val="bottom"/>
          </w:tcPr>
          <w:p>
            <w:pPr>
              <w:ind w:left="100"/>
              <w:spacing w:after="0"/>
              <w:rPr>
                <w:sz w:val="20"/>
                <w:szCs w:val="20"/>
                <w:color w:val="auto"/>
              </w:rPr>
            </w:pPr>
            <w:r>
              <w:rPr>
                <w:rFonts w:ascii="Arial" w:cs="Arial" w:eastAsia="Arial" w:hAnsi="Arial"/>
                <w:sz w:val="10"/>
                <w:szCs w:val="10"/>
                <w:b w:val="1"/>
                <w:bCs w:val="1"/>
                <w:color w:val="AEBAF0"/>
              </w:rPr>
              <w:t xml:space="preserve">¢  </w:t>
            </w:r>
            <w:r>
              <w:rPr>
                <w:rFonts w:ascii="Arial" w:cs="Arial" w:eastAsia="Arial" w:hAnsi="Arial"/>
                <w:sz w:val="14"/>
                <w:szCs w:val="14"/>
                <w:color w:val="000000"/>
              </w:rPr>
              <w:t>ESG and</w:t>
            </w:r>
          </w:p>
        </w:tc>
        <w:tc>
          <w:tcPr>
            <w:tcW w:w="1800" w:type="dxa"/>
            <w:vAlign w:val="bottom"/>
          </w:tcPr>
          <w:p>
            <w:pPr>
              <w:ind w:left="260"/>
              <w:spacing w:after="0"/>
              <w:rPr>
                <w:sz w:val="20"/>
                <w:szCs w:val="20"/>
                <w:color w:val="auto"/>
              </w:rPr>
            </w:pPr>
            <w:r>
              <w:rPr>
                <w:rFonts w:ascii="Arial" w:cs="Arial" w:eastAsia="Arial" w:hAnsi="Arial"/>
                <w:sz w:val="10"/>
                <w:szCs w:val="10"/>
                <w:b w:val="1"/>
                <w:bCs w:val="1"/>
                <w:color w:val="00A798"/>
              </w:rPr>
              <w:t xml:space="preserve">¢  </w:t>
            </w:r>
            <w:r>
              <w:rPr>
                <w:rFonts w:ascii="Arial" w:cs="Arial" w:eastAsia="Arial" w:hAnsi="Arial"/>
                <w:sz w:val="14"/>
                <w:szCs w:val="14"/>
                <w:color w:val="000000"/>
              </w:rPr>
              <w:t>All Other -</w:t>
            </w:r>
          </w:p>
        </w:tc>
        <w:tc>
          <w:tcPr>
            <w:tcW w:w="320" w:type="dxa"/>
            <w:vAlign w:val="bottom"/>
          </w:tcPr>
          <w:p>
            <w:pPr>
              <w:spacing w:after="0"/>
              <w:rPr>
                <w:sz w:val="24"/>
                <w:szCs w:val="24"/>
                <w:color w:val="auto"/>
              </w:rPr>
            </w:pPr>
          </w:p>
        </w:tc>
        <w:tc>
          <w:tcPr>
            <w:tcW w:w="1580" w:type="dxa"/>
            <w:vAlign w:val="bottom"/>
          </w:tcPr>
          <w:p>
            <w:pPr>
              <w:ind w:left="140"/>
              <w:spacing w:after="0"/>
              <w:rPr>
                <w:sz w:val="20"/>
                <w:szCs w:val="20"/>
                <w:color w:val="auto"/>
              </w:rPr>
            </w:pPr>
            <w:r>
              <w:rPr>
                <w:rFonts w:ascii="Arial" w:cs="Arial" w:eastAsia="Arial" w:hAnsi="Arial"/>
                <w:sz w:val="10"/>
                <w:szCs w:val="10"/>
                <w:b w:val="1"/>
                <w:bCs w:val="1"/>
                <w:color w:val="1A3FD6"/>
              </w:rPr>
              <w:t xml:space="preserve">¢ </w:t>
            </w:r>
            <w:r>
              <w:rPr>
                <w:rFonts w:ascii="Arial" w:cs="Arial" w:eastAsia="Arial" w:hAnsi="Arial"/>
                <w:sz w:val="14"/>
                <w:szCs w:val="14"/>
                <w:color w:val="000000"/>
              </w:rPr>
              <w:t>Net Income</w:t>
            </w:r>
          </w:p>
        </w:tc>
        <w:tc>
          <w:tcPr>
            <w:tcW w:w="1680" w:type="dxa"/>
            <w:vAlign w:val="bottom"/>
          </w:tcPr>
          <w:p>
            <w:pPr>
              <w:ind w:left="20"/>
              <w:spacing w:after="0"/>
              <w:rPr>
                <w:sz w:val="20"/>
                <w:szCs w:val="20"/>
                <w:color w:val="auto"/>
              </w:rPr>
            </w:pPr>
            <w:r>
              <w:rPr>
                <w:rFonts w:ascii="Arial" w:cs="Arial" w:eastAsia="Arial" w:hAnsi="Arial"/>
                <w:sz w:val="10"/>
                <w:szCs w:val="10"/>
                <w:b w:val="1"/>
                <w:bCs w:val="1"/>
                <w:color w:val="7188EF"/>
              </w:rPr>
              <w:t xml:space="preserve">¢ </w:t>
            </w:r>
            <w:r>
              <w:rPr>
                <w:rFonts w:ascii="Arial" w:cs="Arial" w:eastAsia="Arial" w:hAnsi="Arial"/>
                <w:sz w:val="14"/>
                <w:szCs w:val="14"/>
                <w:color w:val="000000"/>
              </w:rPr>
              <w:t>Operating Income</w:t>
            </w:r>
          </w:p>
        </w:tc>
        <w:tc>
          <w:tcPr>
            <w:tcW w:w="2140" w:type="dxa"/>
            <w:vAlign w:val="bottom"/>
          </w:tcPr>
          <w:p>
            <w:pPr>
              <w:ind w:left="280"/>
              <w:spacing w:after="0"/>
              <w:rPr>
                <w:sz w:val="20"/>
                <w:szCs w:val="20"/>
                <w:color w:val="auto"/>
              </w:rPr>
            </w:pPr>
            <w:r>
              <w:rPr>
                <w:rFonts w:ascii="Arial" w:cs="Arial" w:eastAsia="Arial" w:hAnsi="Arial"/>
                <w:sz w:val="10"/>
                <w:szCs w:val="10"/>
                <w:b w:val="1"/>
                <w:bCs w:val="1"/>
                <w:color w:val="AEBAF0"/>
              </w:rPr>
              <w:t xml:space="preserve">¢ </w:t>
            </w:r>
            <w:r>
              <w:rPr>
                <w:rFonts w:ascii="Arial" w:cs="Arial" w:eastAsia="Arial" w:hAnsi="Arial"/>
                <w:sz w:val="14"/>
                <w:szCs w:val="14"/>
                <w:color w:val="000000"/>
              </w:rPr>
              <w:t>Adjusted EBITDA</w:t>
            </w:r>
          </w:p>
        </w:tc>
        <w:tc>
          <w:tcPr>
            <w:tcW w:w="0" w:type="dxa"/>
            <w:vAlign w:val="bottom"/>
          </w:tcPr>
          <w:p>
            <w:pPr>
              <w:spacing w:after="0"/>
              <w:rPr>
                <w:sz w:val="1"/>
                <w:szCs w:val="1"/>
                <w:color w:val="auto"/>
              </w:rPr>
            </w:pPr>
          </w:p>
        </w:tc>
      </w:tr>
      <w:tr>
        <w:trPr>
          <w:trHeight w:val="190"/>
        </w:trPr>
        <w:tc>
          <w:tcPr>
            <w:tcW w:w="1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0" w:type="dxa"/>
            <w:vAlign w:val="bottom"/>
          </w:tcPr>
          <w:p>
            <w:pPr>
              <w:ind w:left="340"/>
              <w:spacing w:after="0"/>
              <w:rPr>
                <w:sz w:val="20"/>
                <w:szCs w:val="20"/>
                <w:color w:val="auto"/>
              </w:rPr>
            </w:pPr>
            <w:r>
              <w:rPr>
                <w:rFonts w:ascii="Arial" w:cs="Arial" w:eastAsia="Arial" w:hAnsi="Arial"/>
                <w:sz w:val="14"/>
                <w:szCs w:val="14"/>
                <w:color w:val="auto"/>
              </w:rPr>
              <w:t>Climate</w:t>
            </w:r>
          </w:p>
        </w:tc>
        <w:tc>
          <w:tcPr>
            <w:tcW w:w="1800" w:type="dxa"/>
            <w:vAlign w:val="bottom"/>
          </w:tcPr>
          <w:p>
            <w:pPr>
              <w:ind w:left="500"/>
              <w:spacing w:after="0"/>
              <w:rPr>
                <w:sz w:val="20"/>
                <w:szCs w:val="20"/>
                <w:color w:val="auto"/>
              </w:rPr>
            </w:pPr>
            <w:r>
              <w:rPr>
                <w:rFonts w:ascii="Arial" w:cs="Arial" w:eastAsia="Arial" w:hAnsi="Arial"/>
                <w:sz w:val="14"/>
                <w:szCs w:val="14"/>
                <w:color w:val="auto"/>
              </w:rPr>
              <w:t>Private Assets</w:t>
            </w: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3600" w:type="dxa"/>
            <w:vAlign w:val="bottom"/>
            <w:gridSpan w:val="3"/>
          </w:tcPr>
          <w:p>
            <w:pPr>
              <w:ind w:left="20"/>
              <w:spacing w:after="0"/>
              <w:rPr>
                <w:sz w:val="20"/>
                <w:szCs w:val="20"/>
                <w:color w:val="auto"/>
              </w:rPr>
            </w:pPr>
            <w:r>
              <w:rPr>
                <w:rFonts w:ascii="Arial" w:cs="Arial" w:eastAsia="Arial" w:hAnsi="Arial"/>
                <w:sz w:val="20"/>
                <w:szCs w:val="20"/>
                <w:color w:val="1A3FD6"/>
              </w:rPr>
              <w:t>Diluted EPS / Adjusted EPS*</w:t>
            </w: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0" w:type="dxa"/>
            <w:vAlign w:val="bottom"/>
            <w:gridSpan w:val="3"/>
          </w:tcPr>
          <w:p>
            <w:pPr>
              <w:ind w:left="20"/>
              <w:spacing w:after="0"/>
              <w:rPr>
                <w:sz w:val="20"/>
                <w:szCs w:val="20"/>
                <w:color w:val="auto"/>
              </w:rPr>
            </w:pPr>
            <w:r>
              <w:rPr>
                <w:rFonts w:ascii="Arial" w:cs="Arial" w:eastAsia="Arial" w:hAnsi="Arial"/>
                <w:sz w:val="20"/>
                <w:szCs w:val="20"/>
                <w:color w:val="1A3FD6"/>
              </w:rPr>
              <w:t>Cash From Operating Activities / Free Cash Flow*</w:t>
            </w:r>
          </w:p>
        </w:tc>
        <w:tc>
          <w:tcPr>
            <w:tcW w:w="0" w:type="dxa"/>
            <w:vAlign w:val="bottom"/>
          </w:tcPr>
          <w:p>
            <w:pPr>
              <w:spacing w:after="0"/>
              <w:rPr>
                <w:sz w:val="1"/>
                <w:szCs w:val="1"/>
                <w:color w:val="auto"/>
              </w:rPr>
            </w:pPr>
          </w:p>
        </w:tc>
      </w:tr>
      <w:tr>
        <w:trPr>
          <w:trHeight w:val="215"/>
        </w:trPr>
        <w:tc>
          <w:tcPr>
            <w:tcW w:w="1020" w:type="dxa"/>
            <w:vAlign w:val="bottom"/>
          </w:tcPr>
          <w:p>
            <w:pPr>
              <w:ind w:left="20"/>
              <w:spacing w:after="0"/>
              <w:rPr>
                <w:sz w:val="20"/>
                <w:szCs w:val="20"/>
                <w:color w:val="auto"/>
              </w:rPr>
            </w:pPr>
            <w:r>
              <w:rPr>
                <w:rFonts w:ascii="Arial" w:cs="Arial" w:eastAsia="Arial" w:hAnsi="Arial"/>
                <w:sz w:val="16"/>
                <w:szCs w:val="16"/>
                <w:color w:val="auto"/>
              </w:rPr>
              <w:t>(unaudited)</w:t>
            </w:r>
          </w:p>
        </w:tc>
        <w:tc>
          <w:tcPr>
            <w:tcW w:w="1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gridSpan w:val="2"/>
          </w:tcPr>
          <w:p>
            <w:pPr>
              <w:ind w:left="20"/>
              <w:spacing w:after="0"/>
              <w:rPr>
                <w:sz w:val="20"/>
                <w:szCs w:val="20"/>
                <w:color w:val="auto"/>
              </w:rPr>
            </w:pPr>
            <w:r>
              <w:rPr>
                <w:rFonts w:ascii="Arial" w:cs="Arial" w:eastAsia="Arial" w:hAnsi="Arial"/>
                <w:sz w:val="16"/>
                <w:szCs w:val="16"/>
                <w:color w:val="auto"/>
              </w:rPr>
              <w:t>(in millions except percentages)</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400" w:type="dxa"/>
            <w:vAlign w:val="bottom"/>
            <w:tcBorders>
              <w:bottom w:val="single" w:sz="8" w:color="1A3FD6"/>
            </w:tcBorders>
            <w:gridSpan w:val="2"/>
          </w:tcPr>
          <w:p>
            <w:pPr>
              <w:spacing w:after="0"/>
              <w:rPr>
                <w:sz w:val="6"/>
                <w:szCs w:val="6"/>
                <w:color w:val="auto"/>
              </w:rPr>
            </w:pPr>
          </w:p>
        </w:tc>
        <w:tc>
          <w:tcPr>
            <w:tcW w:w="1200" w:type="dxa"/>
            <w:vAlign w:val="bottom"/>
            <w:tcBorders>
              <w:bottom w:val="single" w:sz="8" w:color="1A3FD6"/>
            </w:tcBorders>
          </w:tcPr>
          <w:p>
            <w:pPr>
              <w:spacing w:after="0"/>
              <w:rPr>
                <w:sz w:val="6"/>
                <w:szCs w:val="6"/>
                <w:color w:val="auto"/>
              </w:rPr>
            </w:pPr>
          </w:p>
        </w:tc>
        <w:tc>
          <w:tcPr>
            <w:tcW w:w="1800" w:type="dxa"/>
            <w:vAlign w:val="bottom"/>
            <w:tcBorders>
              <w:bottom w:val="single" w:sz="8" w:color="1A3FD6"/>
            </w:tcBorders>
          </w:tcPr>
          <w:p>
            <w:pPr>
              <w:spacing w:after="0"/>
              <w:rPr>
                <w:sz w:val="6"/>
                <w:szCs w:val="6"/>
                <w:color w:val="auto"/>
              </w:rPr>
            </w:pPr>
          </w:p>
        </w:tc>
        <w:tc>
          <w:tcPr>
            <w:tcW w:w="320" w:type="dxa"/>
            <w:vAlign w:val="bottom"/>
          </w:tcPr>
          <w:p>
            <w:pPr>
              <w:spacing w:after="0"/>
              <w:rPr>
                <w:sz w:val="6"/>
                <w:szCs w:val="6"/>
                <w:color w:val="auto"/>
              </w:rPr>
            </w:pPr>
          </w:p>
        </w:tc>
        <w:tc>
          <w:tcPr>
            <w:tcW w:w="3260" w:type="dxa"/>
            <w:vAlign w:val="bottom"/>
            <w:tcBorders>
              <w:bottom w:val="single" w:sz="8" w:color="1A3FD6"/>
            </w:tcBorders>
            <w:gridSpan w:val="2"/>
          </w:tcPr>
          <w:p>
            <w:pPr>
              <w:spacing w:after="0"/>
              <w:rPr>
                <w:sz w:val="6"/>
                <w:szCs w:val="6"/>
                <w:color w:val="auto"/>
              </w:rPr>
            </w:pPr>
          </w:p>
        </w:tc>
        <w:tc>
          <w:tcPr>
            <w:tcW w:w="2140" w:type="dxa"/>
            <w:vAlign w:val="bottom"/>
            <w:tcBorders>
              <w:bottom w:val="single" w:sz="8" w:color="1A3FD6"/>
            </w:tcBorders>
          </w:tcPr>
          <w:p>
            <w:pPr>
              <w:spacing w:after="0"/>
              <w:rPr>
                <w:sz w:val="6"/>
                <w:szCs w:val="6"/>
                <w:color w:val="auto"/>
              </w:rPr>
            </w:pPr>
          </w:p>
        </w:tc>
        <w:tc>
          <w:tcPr>
            <w:tcW w:w="0" w:type="dxa"/>
            <w:vAlign w:val="bottom"/>
          </w:tcPr>
          <w:p>
            <w:pPr>
              <w:spacing w:after="0"/>
              <w:rPr>
                <w:sz w:val="1"/>
                <w:szCs w:val="1"/>
                <w:color w:val="auto"/>
              </w:rPr>
            </w:pPr>
          </w:p>
        </w:tc>
      </w:tr>
      <w:tr>
        <w:trPr>
          <w:trHeight w:val="1140"/>
        </w:trPr>
        <w:tc>
          <w:tcPr>
            <w:tcW w:w="2400" w:type="dxa"/>
            <w:vAlign w:val="bottom"/>
            <w:gridSpan w:val="2"/>
          </w:tcPr>
          <w:p>
            <w:pPr>
              <w:ind w:left="640"/>
              <w:spacing w:after="0"/>
              <w:rPr>
                <w:sz w:val="20"/>
                <w:szCs w:val="20"/>
                <w:color w:val="auto"/>
              </w:rPr>
            </w:pPr>
            <w:r>
              <w:rPr>
                <w:rFonts w:ascii="Arial" w:cs="Arial" w:eastAsia="Arial" w:hAnsi="Arial"/>
                <w:sz w:val="50"/>
                <w:szCs w:val="50"/>
                <w:b w:val="1"/>
                <w:bCs w:val="1"/>
                <w:color w:val="1A3FD6"/>
              </w:rPr>
              <w:t>-2.4%</w:t>
            </w: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580" w:type="dxa"/>
            <w:vAlign w:val="bottom"/>
            <w:gridSpan w:val="3"/>
          </w:tcPr>
          <w:p>
            <w:pPr>
              <w:ind w:left="940"/>
              <w:spacing w:after="0"/>
              <w:rPr>
                <w:sz w:val="20"/>
                <w:szCs w:val="20"/>
                <w:color w:val="auto"/>
              </w:rPr>
            </w:pPr>
            <w:r>
              <w:rPr>
                <w:rFonts w:ascii="Arial" w:cs="Arial" w:eastAsia="Arial" w:hAnsi="Arial"/>
                <w:sz w:val="32"/>
                <w:szCs w:val="32"/>
                <w:b w:val="1"/>
                <w:bCs w:val="1"/>
                <w:color w:val="1A3FD6"/>
              </w:rPr>
              <w:t>+</w:t>
            </w:r>
            <w:r>
              <w:rPr>
                <w:rFonts w:ascii="Arial" w:cs="Arial" w:eastAsia="Arial" w:hAnsi="Arial"/>
                <w:sz w:val="50"/>
                <w:szCs w:val="50"/>
                <w:b w:val="1"/>
                <w:bCs w:val="1"/>
                <w:color w:val="1A3FD6"/>
              </w:rPr>
              <w:t>21.5</w:t>
            </w:r>
            <w:r>
              <w:rPr>
                <w:rFonts w:ascii="Arial" w:cs="Arial" w:eastAsia="Arial" w:hAnsi="Arial"/>
                <w:sz w:val="32"/>
                <w:szCs w:val="32"/>
                <w:b w:val="1"/>
                <w:bCs w:val="1"/>
                <w:color w:val="1A3FD6"/>
              </w:rPr>
              <w:t>%</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400" w:type="dxa"/>
            <w:vAlign w:val="bottom"/>
            <w:gridSpan w:val="2"/>
            <w:vMerge w:val="restart"/>
          </w:tcPr>
          <w:p>
            <w:pPr>
              <w:ind w:left="640"/>
              <w:spacing w:after="0"/>
              <w:rPr>
                <w:sz w:val="20"/>
                <w:szCs w:val="20"/>
                <w:color w:val="auto"/>
              </w:rPr>
            </w:pPr>
            <w:r>
              <w:rPr>
                <w:rFonts w:ascii="Arial" w:cs="Arial" w:eastAsia="Arial" w:hAnsi="Arial"/>
                <w:sz w:val="16"/>
                <w:szCs w:val="16"/>
                <w:color w:val="auto"/>
              </w:rPr>
              <w:t>Diluted EPS</w:t>
            </w:r>
          </w:p>
        </w:tc>
        <w:tc>
          <w:tcPr>
            <w:tcW w:w="1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gridSpan w:val="2"/>
          </w:tcPr>
          <w:p>
            <w:pPr>
              <w:ind w:left="620"/>
              <w:spacing w:after="0"/>
              <w:rPr>
                <w:sz w:val="20"/>
                <w:szCs w:val="20"/>
                <w:color w:val="auto"/>
              </w:rPr>
            </w:pPr>
            <w:r>
              <w:rPr>
                <w:rFonts w:ascii="Arial" w:cs="Arial" w:eastAsia="Arial" w:hAnsi="Arial"/>
                <w:sz w:val="16"/>
                <w:szCs w:val="16"/>
                <w:color w:val="auto"/>
              </w:rPr>
              <w:t>Cash from Operating Activities</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400" w:type="dxa"/>
            <w:vAlign w:val="bottom"/>
            <w:gridSpan w:val="2"/>
            <w:vMerge w:val="continue"/>
          </w:tcPr>
          <w:p>
            <w:pPr>
              <w:spacing w:after="0"/>
              <w:rPr>
                <w:sz w:val="4"/>
                <w:szCs w:val="4"/>
                <w:color w:val="auto"/>
              </w:rPr>
            </w:pPr>
          </w:p>
        </w:tc>
        <w:tc>
          <w:tcPr>
            <w:tcW w:w="12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73"/>
        </w:trPr>
        <w:tc>
          <w:tcPr>
            <w:tcW w:w="2400" w:type="dxa"/>
            <w:vAlign w:val="bottom"/>
            <w:gridSpan w:val="2"/>
            <w:vMerge w:val="restart"/>
          </w:tcPr>
          <w:p>
            <w:pPr>
              <w:ind w:left="640"/>
              <w:spacing w:after="0"/>
              <w:rPr>
                <w:sz w:val="20"/>
                <w:szCs w:val="20"/>
                <w:color w:val="auto"/>
              </w:rPr>
            </w:pPr>
            <w:r>
              <w:rPr>
                <w:rFonts w:ascii="Arial" w:cs="Arial" w:eastAsia="Arial" w:hAnsi="Arial"/>
                <w:sz w:val="32"/>
                <w:szCs w:val="32"/>
                <w:b w:val="1"/>
                <w:bCs w:val="1"/>
                <w:color w:val="1A3FD6"/>
              </w:rPr>
              <w:t>+</w:t>
            </w:r>
            <w:r>
              <w:rPr>
                <w:rFonts w:ascii="Arial" w:cs="Arial" w:eastAsia="Arial" w:hAnsi="Arial"/>
                <w:sz w:val="50"/>
                <w:szCs w:val="50"/>
                <w:b w:val="1"/>
                <w:bCs w:val="1"/>
                <w:color w:val="1A3FD6"/>
              </w:rPr>
              <w:t>12.4</w:t>
            </w:r>
            <w:r>
              <w:rPr>
                <w:rFonts w:ascii="Arial" w:cs="Arial" w:eastAsia="Arial" w:hAnsi="Arial"/>
                <w:sz w:val="32"/>
                <w:szCs w:val="32"/>
                <w:b w:val="1"/>
                <w:bCs w:val="1"/>
                <w:color w:val="1A3FD6"/>
              </w:rPr>
              <w:t>%</w:t>
            </w:r>
          </w:p>
        </w:tc>
        <w:tc>
          <w:tcPr>
            <w:tcW w:w="1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580" w:type="dxa"/>
            <w:vAlign w:val="bottom"/>
            <w:gridSpan w:val="3"/>
          </w:tcPr>
          <w:p>
            <w:pPr>
              <w:ind w:left="940"/>
              <w:spacing w:after="0"/>
              <w:rPr>
                <w:sz w:val="20"/>
                <w:szCs w:val="20"/>
                <w:color w:val="auto"/>
              </w:rPr>
            </w:pPr>
            <w:r>
              <w:rPr>
                <w:rFonts w:ascii="Arial" w:cs="Arial" w:eastAsia="Arial" w:hAnsi="Arial"/>
                <w:sz w:val="32"/>
                <w:szCs w:val="32"/>
                <w:b w:val="1"/>
                <w:bCs w:val="1"/>
                <w:color w:val="1A3FD6"/>
              </w:rPr>
              <w:t>+</w:t>
            </w:r>
            <w:r>
              <w:rPr>
                <w:rFonts w:ascii="Arial" w:cs="Arial" w:eastAsia="Arial" w:hAnsi="Arial"/>
                <w:sz w:val="50"/>
                <w:szCs w:val="50"/>
                <w:b w:val="1"/>
                <w:bCs w:val="1"/>
                <w:color w:val="1A3FD6"/>
              </w:rPr>
              <w:t>21.1</w:t>
            </w:r>
            <w:r>
              <w:rPr>
                <w:rFonts w:ascii="Arial" w:cs="Arial" w:eastAsia="Arial" w:hAnsi="Arial"/>
                <w:sz w:val="32"/>
                <w:szCs w:val="32"/>
                <w:b w:val="1"/>
                <w:bCs w:val="1"/>
                <w:color w:val="1A3FD6"/>
              </w:rPr>
              <w:t>%</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400" w:type="dxa"/>
            <w:vAlign w:val="bottom"/>
            <w:gridSpan w:val="2"/>
            <w:vMerge w:val="continue"/>
          </w:tcPr>
          <w:p>
            <w:pPr>
              <w:spacing w:after="0"/>
              <w:rPr>
                <w:sz w:val="14"/>
                <w:szCs w:val="14"/>
                <w:color w:val="auto"/>
              </w:rPr>
            </w:pPr>
          </w:p>
        </w:tc>
        <w:tc>
          <w:tcPr>
            <w:tcW w:w="1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60" w:type="dxa"/>
            <w:vAlign w:val="bottom"/>
            <w:gridSpan w:val="2"/>
          </w:tcPr>
          <w:p>
            <w:pPr>
              <w:ind w:left="620"/>
              <w:spacing w:after="0" w:line="163" w:lineRule="exact"/>
              <w:rPr>
                <w:sz w:val="20"/>
                <w:szCs w:val="20"/>
                <w:color w:val="auto"/>
              </w:rPr>
            </w:pPr>
            <w:r>
              <w:rPr>
                <w:rFonts w:ascii="Arial" w:cs="Arial" w:eastAsia="Arial" w:hAnsi="Arial"/>
                <w:sz w:val="16"/>
                <w:szCs w:val="16"/>
                <w:color w:val="auto"/>
              </w:rPr>
              <w:t>Free Cash Flow*</w:t>
            </w: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400" w:type="dxa"/>
            <w:vAlign w:val="bottom"/>
            <w:gridSpan w:val="2"/>
          </w:tcPr>
          <w:p>
            <w:pPr>
              <w:ind w:left="640"/>
              <w:spacing w:after="0"/>
              <w:rPr>
                <w:sz w:val="20"/>
                <w:szCs w:val="20"/>
                <w:color w:val="auto"/>
              </w:rPr>
            </w:pPr>
            <w:r>
              <w:rPr>
                <w:rFonts w:ascii="Arial" w:cs="Arial" w:eastAsia="Arial" w:hAnsi="Arial"/>
                <w:sz w:val="16"/>
                <w:szCs w:val="16"/>
                <w:color w:val="auto"/>
              </w:rPr>
              <w:t>Adjusted EPS*</w:t>
            </w:r>
          </w:p>
        </w:tc>
        <w:tc>
          <w:tcPr>
            <w:tcW w:w="1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8"/>
        </w:trPr>
        <w:tc>
          <w:tcPr>
            <w:tcW w:w="1020" w:type="dxa"/>
            <w:vAlign w:val="bottom"/>
          </w:tcPr>
          <w:p>
            <w:pPr>
              <w:spacing w:after="0"/>
              <w:rPr>
                <w:sz w:val="24"/>
                <w:szCs w:val="24"/>
                <w:color w:val="auto"/>
              </w:rPr>
            </w:pPr>
          </w:p>
        </w:tc>
        <w:tc>
          <w:tcPr>
            <w:tcW w:w="1380" w:type="dxa"/>
            <w:vAlign w:val="bottom"/>
            <w:vMerge w:val="restart"/>
          </w:tcPr>
          <w:p>
            <w:pPr>
              <w:ind w:left="260"/>
              <w:spacing w:after="0"/>
              <w:rPr>
                <w:sz w:val="20"/>
                <w:szCs w:val="20"/>
                <w:color w:val="auto"/>
              </w:rPr>
            </w:pPr>
            <w:r>
              <w:rPr>
                <w:rFonts w:ascii="Arial" w:cs="Arial" w:eastAsia="Arial" w:hAnsi="Arial"/>
                <w:sz w:val="10"/>
                <w:szCs w:val="10"/>
                <w:b w:val="1"/>
                <w:bCs w:val="1"/>
                <w:color w:val="1A3FD6"/>
              </w:rPr>
              <w:t xml:space="preserve">¢  </w:t>
            </w:r>
            <w:r>
              <w:rPr>
                <w:rFonts w:ascii="Arial" w:cs="Arial" w:eastAsia="Arial" w:hAnsi="Arial"/>
                <w:sz w:val="14"/>
                <w:szCs w:val="14"/>
                <w:color w:val="000000"/>
              </w:rPr>
              <w:t>Diluted EPS</w:t>
            </w:r>
          </w:p>
        </w:tc>
        <w:tc>
          <w:tcPr>
            <w:tcW w:w="3000" w:type="dxa"/>
            <w:vAlign w:val="bottom"/>
            <w:gridSpan w:val="2"/>
            <w:vMerge w:val="restart"/>
          </w:tcPr>
          <w:p>
            <w:pPr>
              <w:ind w:left="340"/>
              <w:spacing w:after="0"/>
              <w:rPr>
                <w:sz w:val="20"/>
                <w:szCs w:val="20"/>
                <w:color w:val="auto"/>
              </w:rPr>
            </w:pPr>
            <w:r>
              <w:rPr>
                <w:rFonts w:ascii="Arial" w:cs="Arial" w:eastAsia="Arial" w:hAnsi="Arial"/>
                <w:sz w:val="10"/>
                <w:szCs w:val="10"/>
                <w:b w:val="1"/>
                <w:bCs w:val="1"/>
                <w:color w:val="7188EF"/>
              </w:rPr>
              <w:t xml:space="preserve">¢  </w:t>
            </w:r>
            <w:r>
              <w:rPr>
                <w:rFonts w:ascii="Arial" w:cs="Arial" w:eastAsia="Arial" w:hAnsi="Arial"/>
                <w:sz w:val="14"/>
                <w:szCs w:val="14"/>
                <w:color w:val="000000"/>
              </w:rPr>
              <w:t>Adjusted EPS</w:t>
            </w:r>
          </w:p>
        </w:tc>
        <w:tc>
          <w:tcPr>
            <w:tcW w:w="320" w:type="dxa"/>
            <w:vAlign w:val="bottom"/>
          </w:tcPr>
          <w:p>
            <w:pPr>
              <w:spacing w:after="0"/>
              <w:rPr>
                <w:sz w:val="24"/>
                <w:szCs w:val="24"/>
                <w:color w:val="auto"/>
              </w:rPr>
            </w:pPr>
          </w:p>
        </w:tc>
        <w:tc>
          <w:tcPr>
            <w:tcW w:w="1580" w:type="dxa"/>
            <w:vAlign w:val="bottom"/>
          </w:tcPr>
          <w:p>
            <w:pPr>
              <w:ind w:left="320"/>
              <w:spacing w:after="0"/>
              <w:rPr>
                <w:sz w:val="20"/>
                <w:szCs w:val="20"/>
                <w:color w:val="auto"/>
              </w:rPr>
            </w:pPr>
            <w:r>
              <w:rPr>
                <w:rFonts w:ascii="Arial" w:cs="Arial" w:eastAsia="Arial" w:hAnsi="Arial"/>
                <w:sz w:val="10"/>
                <w:szCs w:val="10"/>
                <w:b w:val="1"/>
                <w:bCs w:val="1"/>
                <w:color w:val="1A3FD6"/>
              </w:rPr>
              <w:t xml:space="preserve">¢  </w:t>
            </w:r>
            <w:r>
              <w:rPr>
                <w:rFonts w:ascii="Arial" w:cs="Arial" w:eastAsia="Arial" w:hAnsi="Arial"/>
                <w:sz w:val="14"/>
                <w:szCs w:val="14"/>
                <w:color w:val="000000"/>
              </w:rPr>
              <w:t>Free Cash Flow</w:t>
            </w:r>
          </w:p>
        </w:tc>
        <w:tc>
          <w:tcPr>
            <w:tcW w:w="3820" w:type="dxa"/>
            <w:vAlign w:val="bottom"/>
            <w:gridSpan w:val="2"/>
          </w:tcPr>
          <w:p>
            <w:pPr>
              <w:ind w:left="580"/>
              <w:spacing w:after="0"/>
              <w:rPr>
                <w:sz w:val="20"/>
                <w:szCs w:val="20"/>
                <w:color w:val="auto"/>
              </w:rPr>
            </w:pPr>
            <w:r>
              <w:rPr>
                <w:rFonts w:ascii="Arial" w:cs="Arial" w:eastAsia="Arial" w:hAnsi="Arial"/>
                <w:sz w:val="10"/>
                <w:szCs w:val="10"/>
                <w:b w:val="1"/>
                <w:bCs w:val="1"/>
                <w:color w:val="7188EF"/>
              </w:rPr>
              <w:t xml:space="preserve">¢ </w:t>
            </w:r>
            <w:r>
              <w:rPr>
                <w:rFonts w:ascii="Arial" w:cs="Arial" w:eastAsia="Arial" w:hAnsi="Arial"/>
                <w:sz w:val="14"/>
                <w:szCs w:val="14"/>
                <w:color w:val="000000"/>
              </w:rPr>
              <w:t>Cash from Operating Activities</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30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-2017395</wp:posOffset>
            </wp:positionV>
            <wp:extent cx="1525905" cy="1808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25905" cy="180848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-2112010</wp:posOffset>
            </wp:positionV>
            <wp:extent cx="1234440" cy="1808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34440" cy="1808480"/>
                    </a:xfrm>
                    <a:prstGeom prst="rect">
                      <a:avLst/>
                    </a:prstGeom>
                    <a:noFill/>
                  </pic:spPr>
                </pic:pic>
              </a:graphicData>
            </a:graphic>
          </wp:anchor>
        </w:drawing>
      </w:r>
    </w:p>
    <w:p>
      <w:pPr>
        <w:spacing w:after="0" w:line="235" w:lineRule="exact"/>
        <w:rPr>
          <w:sz w:val="20"/>
          <w:szCs w:val="20"/>
          <w:color w:val="auto"/>
        </w:rPr>
      </w:pPr>
    </w:p>
    <w:p>
      <w:pPr>
        <w:ind w:left="200" w:right="20" w:hanging="192"/>
        <w:spacing w:after="0" w:line="269" w:lineRule="auto"/>
        <w:tabs>
          <w:tab w:leader="none" w:pos="222" w:val="left"/>
        </w:tabs>
        <w:numPr>
          <w:ilvl w:val="0"/>
          <w:numId w:val="9"/>
        </w:numPr>
        <w:rPr>
          <w:rFonts w:ascii="Arial" w:cs="Arial" w:eastAsia="Arial" w:hAnsi="Arial"/>
          <w:sz w:val="14"/>
          <w:szCs w:val="14"/>
          <w:color w:val="auto"/>
        </w:rPr>
      </w:pPr>
      <w:r>
        <w:rPr>
          <w:rFonts w:ascii="Arial" w:cs="Arial" w:eastAsia="Arial" w:hAnsi="Arial"/>
          <w:sz w:val="14"/>
          <w:szCs w:val="14"/>
          <w:color w:val="auto"/>
        </w:rPr>
        <w:t>MSCI has presented supplemental non-GAAP financial measures as part of this Proxy Statement. Definitions of each non-GAAP measure and a reconciliation of each non-GAAP financial measure with the most comparable GAAP measure are set forth in Annex B. The non-GAAP financial measures presented in this Proxy Statement should not be considered as alternative measures for the most directly comparable GAAP financial measures. The non-GAAP financial measures presented in this Proxy Statement are used by management to monitor the financial performance of the business, inform business decision making and forecast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657860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322"/>
        </w:trPr>
        <w:tc>
          <w:tcPr>
            <w:tcW w:w="720" w:type="dxa"/>
            <w:vAlign w:val="bottom"/>
            <w:tcBorders>
              <w:right w:val="single" w:sz="8" w:color="1A3FD6"/>
            </w:tcBorders>
          </w:tcPr>
          <w:p>
            <w:pPr>
              <w:jc w:val="right"/>
              <w:ind w:right="388"/>
              <w:spacing w:after="0"/>
              <w:rPr>
                <w:sz w:val="20"/>
                <w:szCs w:val="20"/>
                <w:color w:val="auto"/>
              </w:rPr>
            </w:pPr>
            <w:r>
              <w:rPr>
                <w:rFonts w:ascii="Arial" w:cs="Arial" w:eastAsia="Arial" w:hAnsi="Arial"/>
                <w:sz w:val="14"/>
                <w:szCs w:val="14"/>
                <w:b w:val="1"/>
                <w:bCs w:val="1"/>
                <w:color w:val="1A3FD6"/>
              </w:rPr>
              <w:t>10</w:t>
            </w:r>
          </w:p>
        </w:tc>
        <w:tc>
          <w:tcPr>
            <w:tcW w:w="10520" w:type="dxa"/>
            <w:vAlign w:val="bottom"/>
          </w:tcPr>
          <w:p>
            <w:pPr>
              <w:ind w:left="80"/>
              <w:spacing w:after="0"/>
              <w:rPr>
                <w:sz w:val="20"/>
                <w:szCs w:val="20"/>
                <w:color w:val="auto"/>
              </w:rPr>
            </w:pPr>
            <w:r>
              <w:rPr>
                <w:rFonts w:ascii="Arial" w:cs="Arial" w:eastAsia="Arial" w:hAnsi="Arial"/>
                <w:sz w:val="14"/>
                <w:szCs w:val="14"/>
                <w:b w:val="1"/>
                <w:bCs w:val="1"/>
                <w:color w:val="1A3FD6"/>
              </w:rPr>
              <w:t>2025 PROXY STATEMENT</w:t>
            </w:r>
          </w:p>
        </w:tc>
      </w:tr>
      <w:tr>
        <w:trPr>
          <w:trHeight w:val="191"/>
        </w:trPr>
        <w:tc>
          <w:tcPr>
            <w:tcW w:w="720" w:type="dxa"/>
            <w:vAlign w:val="bottom"/>
            <w:tcBorders>
              <w:bottom w:val="single" w:sz="8" w:color="1A3FD6"/>
              <w:right w:val="single" w:sz="8" w:color="1A3FD6"/>
            </w:tcBorders>
          </w:tcPr>
          <w:p>
            <w:pPr>
              <w:spacing w:after="0"/>
              <w:rPr>
                <w:sz w:val="16"/>
                <w:szCs w:val="16"/>
                <w:color w:val="auto"/>
              </w:rPr>
            </w:pPr>
          </w:p>
        </w:tc>
        <w:tc>
          <w:tcPr>
            <w:tcW w:w="10520" w:type="dxa"/>
            <w:vAlign w:val="bottom"/>
            <w:tcBorders>
              <w:bottom w:val="single" w:sz="8" w:color="1A3FD6"/>
            </w:tcBorders>
          </w:tcPr>
          <w:p>
            <w:pPr>
              <w:spacing w:after="0"/>
              <w:rPr>
                <w:sz w:val="16"/>
                <w:szCs w:val="16"/>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Our Capital Allocation Program</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vMerge w:val="restart"/>
            <w:shd w:val="clear" w:color="auto" w:fill="EDF0FC"/>
          </w:tcPr>
          <w:p>
            <w:pPr>
              <w:jc w:val="center"/>
              <w:spacing w:after="0"/>
              <w:rPr>
                <w:sz w:val="20"/>
                <w:szCs w:val="20"/>
                <w:color w:val="auto"/>
              </w:rPr>
            </w:pPr>
            <w:r>
              <w:rPr>
                <w:rFonts w:ascii="Arial" w:cs="Arial" w:eastAsia="Arial" w:hAnsi="Arial"/>
                <w:sz w:val="50"/>
                <w:szCs w:val="50"/>
                <w:b w:val="1"/>
                <w:bCs w:val="1"/>
                <w:color w:val="1A3FD6"/>
                <w:w w:val="95"/>
              </w:rPr>
              <w:t xml:space="preserve">~$5.3 </w:t>
            </w:r>
            <w:r>
              <w:rPr>
                <w:rFonts w:ascii="Arial" w:cs="Arial" w:eastAsia="Arial" w:hAnsi="Arial"/>
                <w:sz w:val="16"/>
                <w:szCs w:val="16"/>
                <w:b w:val="1"/>
                <w:bCs w:val="1"/>
                <w:color w:val="1A3FD6"/>
                <w:w w:val="95"/>
              </w:rPr>
              <w:t>billion</w:t>
            </w:r>
          </w:p>
        </w:tc>
        <w:tc>
          <w:tcPr>
            <w:tcW w:w="20" w:type="dxa"/>
            <w:vAlign w:val="bottom"/>
            <w:shd w:val="clear" w:color="auto" w:fill="EDF0FC"/>
          </w:tcPr>
          <w:p>
            <w:pPr>
              <w:spacing w:after="0"/>
              <w:rPr>
                <w:sz w:val="14"/>
                <w:szCs w:val="14"/>
                <w:color w:val="auto"/>
              </w:rPr>
            </w:pPr>
          </w:p>
        </w:tc>
        <w:tc>
          <w:tcPr>
            <w:tcW w:w="3720" w:type="dxa"/>
            <w:vAlign w:val="bottom"/>
            <w:vMerge w:val="restart"/>
            <w:shd w:val="clear" w:color="auto" w:fill="EDF0FC"/>
          </w:tcPr>
          <w:p>
            <w:pPr>
              <w:jc w:val="center"/>
              <w:spacing w:after="0"/>
              <w:rPr>
                <w:sz w:val="20"/>
                <w:szCs w:val="20"/>
                <w:color w:val="auto"/>
              </w:rPr>
            </w:pPr>
            <w:r>
              <w:rPr>
                <w:rFonts w:ascii="Arial" w:cs="Arial" w:eastAsia="Arial" w:hAnsi="Arial"/>
                <w:sz w:val="50"/>
                <w:szCs w:val="50"/>
                <w:b w:val="1"/>
                <w:bCs w:val="1"/>
                <w:color w:val="1A3FD6"/>
                <w:w w:val="94"/>
              </w:rPr>
              <w:t xml:space="preserve">~8.0 </w:t>
            </w:r>
            <w:r>
              <w:rPr>
                <w:rFonts w:ascii="Arial" w:cs="Arial" w:eastAsia="Arial" w:hAnsi="Arial"/>
                <w:sz w:val="16"/>
                <w:szCs w:val="16"/>
                <w:b w:val="1"/>
                <w:bCs w:val="1"/>
                <w:color w:val="1A3FD6"/>
                <w:w w:val="94"/>
              </w:rPr>
              <w:t>million</w:t>
            </w:r>
          </w:p>
        </w:tc>
        <w:tc>
          <w:tcPr>
            <w:tcW w:w="20" w:type="dxa"/>
            <w:vAlign w:val="bottom"/>
            <w:shd w:val="clear" w:color="auto" w:fill="EDF0FC"/>
          </w:tcPr>
          <w:p>
            <w:pPr>
              <w:spacing w:after="0"/>
              <w:rPr>
                <w:sz w:val="14"/>
                <w:szCs w:val="14"/>
                <w:color w:val="auto"/>
              </w:rPr>
            </w:pPr>
          </w:p>
        </w:tc>
        <w:tc>
          <w:tcPr>
            <w:tcW w:w="3740" w:type="dxa"/>
            <w:vAlign w:val="bottom"/>
            <w:vMerge w:val="restart"/>
            <w:shd w:val="clear" w:color="auto" w:fill="EDF0FC"/>
          </w:tcPr>
          <w:p>
            <w:pPr>
              <w:jc w:val="center"/>
              <w:spacing w:after="0"/>
              <w:rPr>
                <w:sz w:val="20"/>
                <w:szCs w:val="20"/>
                <w:color w:val="auto"/>
              </w:rPr>
            </w:pPr>
            <w:r>
              <w:rPr>
                <w:rFonts w:ascii="Arial" w:cs="Arial" w:eastAsia="Arial" w:hAnsi="Arial"/>
                <w:sz w:val="50"/>
                <w:szCs w:val="50"/>
                <w:b w:val="1"/>
                <w:bCs w:val="1"/>
                <w:color w:val="1A3FD6"/>
                <w:w w:val="95"/>
              </w:rPr>
              <w:t xml:space="preserve">~15.9 </w:t>
            </w:r>
            <w:r>
              <w:rPr>
                <w:rFonts w:ascii="Arial" w:cs="Arial" w:eastAsia="Arial" w:hAnsi="Arial"/>
                <w:sz w:val="16"/>
                <w:szCs w:val="16"/>
                <w:b w:val="1"/>
                <w:bCs w:val="1"/>
                <w:color w:val="1A3FD6"/>
                <w:w w:val="95"/>
              </w:rPr>
              <w:t>percent</w:t>
            </w:r>
          </w:p>
        </w:tc>
        <w:tc>
          <w:tcPr>
            <w:tcW w:w="0" w:type="dxa"/>
            <w:vAlign w:val="bottom"/>
          </w:tcPr>
          <w:p>
            <w:pPr>
              <w:spacing w:after="0"/>
              <w:rPr>
                <w:sz w:val="1"/>
                <w:szCs w:val="1"/>
                <w:color w:val="auto"/>
              </w:rPr>
            </w:pPr>
          </w:p>
        </w:tc>
      </w:tr>
      <w:tr>
        <w:trPr>
          <w:trHeight w:val="607"/>
        </w:trPr>
        <w:tc>
          <w:tcPr>
            <w:tcW w:w="3740" w:type="dxa"/>
            <w:vAlign w:val="bottom"/>
            <w:vMerge w:val="continue"/>
            <w:shd w:val="clear" w:color="auto" w:fill="EDF0FC"/>
          </w:tcPr>
          <w:p>
            <w:pPr>
              <w:spacing w:after="0"/>
              <w:rPr>
                <w:sz w:val="24"/>
                <w:szCs w:val="24"/>
                <w:color w:val="auto"/>
              </w:rPr>
            </w:pPr>
          </w:p>
        </w:tc>
        <w:tc>
          <w:tcPr>
            <w:tcW w:w="20" w:type="dxa"/>
            <w:vAlign w:val="bottom"/>
            <w:shd w:val="clear" w:color="auto" w:fill="1A3FD6"/>
          </w:tcPr>
          <w:p>
            <w:pPr>
              <w:spacing w:after="0"/>
              <w:rPr>
                <w:sz w:val="24"/>
                <w:szCs w:val="24"/>
                <w:color w:val="auto"/>
              </w:rPr>
            </w:pPr>
          </w:p>
        </w:tc>
        <w:tc>
          <w:tcPr>
            <w:tcW w:w="3720" w:type="dxa"/>
            <w:vAlign w:val="bottom"/>
            <w:vMerge w:val="continue"/>
            <w:shd w:val="clear" w:color="auto" w:fill="EDF0FC"/>
          </w:tcPr>
          <w:p>
            <w:pPr>
              <w:spacing w:after="0"/>
              <w:rPr>
                <w:sz w:val="24"/>
                <w:szCs w:val="24"/>
                <w:color w:val="auto"/>
              </w:rPr>
            </w:pPr>
          </w:p>
        </w:tc>
        <w:tc>
          <w:tcPr>
            <w:tcW w:w="20" w:type="dxa"/>
            <w:vAlign w:val="bottom"/>
            <w:shd w:val="clear" w:color="auto" w:fill="1A3FD6"/>
          </w:tcPr>
          <w:p>
            <w:pPr>
              <w:spacing w:after="0"/>
              <w:rPr>
                <w:sz w:val="24"/>
                <w:szCs w:val="24"/>
                <w:color w:val="auto"/>
              </w:rPr>
            </w:pPr>
          </w:p>
        </w:tc>
        <w:tc>
          <w:tcPr>
            <w:tcW w:w="3740" w:type="dxa"/>
            <w:vAlign w:val="bottom"/>
            <w:vMerge w:val="continue"/>
            <w:shd w:val="clear" w:color="auto" w:fill="EDF0FC"/>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EDF0FC"/>
          </w:tcPr>
          <w:p>
            <w:pPr>
              <w:jc w:val="center"/>
              <w:spacing w:after="0"/>
              <w:rPr>
                <w:sz w:val="20"/>
                <w:szCs w:val="20"/>
                <w:color w:val="auto"/>
              </w:rPr>
            </w:pPr>
            <w:r>
              <w:rPr>
                <w:rFonts w:ascii="Arial" w:cs="Arial" w:eastAsia="Arial" w:hAnsi="Arial"/>
                <w:sz w:val="16"/>
                <w:szCs w:val="16"/>
                <w:color w:val="auto"/>
              </w:rPr>
              <w:t>Capital returned in the last five years (as of</w:t>
            </w:r>
          </w:p>
        </w:tc>
        <w:tc>
          <w:tcPr>
            <w:tcW w:w="20" w:type="dxa"/>
            <w:vAlign w:val="bottom"/>
            <w:shd w:val="clear" w:color="auto" w:fill="1A3FD6"/>
          </w:tcPr>
          <w:p>
            <w:pPr>
              <w:spacing w:after="0"/>
              <w:rPr>
                <w:sz w:val="16"/>
                <w:szCs w:val="16"/>
                <w:color w:val="auto"/>
              </w:rPr>
            </w:pPr>
          </w:p>
        </w:tc>
        <w:tc>
          <w:tcPr>
            <w:tcW w:w="3720" w:type="dxa"/>
            <w:vAlign w:val="bottom"/>
            <w:shd w:val="clear" w:color="auto" w:fill="EDF0FC"/>
          </w:tcPr>
          <w:p>
            <w:pPr>
              <w:jc w:val="center"/>
              <w:spacing w:after="0"/>
              <w:rPr>
                <w:sz w:val="20"/>
                <w:szCs w:val="20"/>
                <w:color w:val="auto"/>
              </w:rPr>
            </w:pPr>
            <w:r>
              <w:rPr>
                <w:rFonts w:ascii="Arial" w:cs="Arial" w:eastAsia="Arial" w:hAnsi="Arial"/>
                <w:sz w:val="16"/>
                <w:szCs w:val="16"/>
                <w:color w:val="auto"/>
              </w:rPr>
              <w:t>Shares repurchased in the last five years (as of</w:t>
            </w:r>
          </w:p>
        </w:tc>
        <w:tc>
          <w:tcPr>
            <w:tcW w:w="20" w:type="dxa"/>
            <w:vAlign w:val="bottom"/>
            <w:shd w:val="clear" w:color="auto" w:fill="1A3FD6"/>
          </w:tcPr>
          <w:p>
            <w:pPr>
              <w:spacing w:after="0"/>
              <w:rPr>
                <w:sz w:val="16"/>
                <w:szCs w:val="16"/>
                <w:color w:val="auto"/>
              </w:rPr>
            </w:pPr>
          </w:p>
        </w:tc>
        <w:tc>
          <w:tcPr>
            <w:tcW w:w="3740" w:type="dxa"/>
            <w:vAlign w:val="bottom"/>
            <w:shd w:val="clear" w:color="auto" w:fill="EDF0FC"/>
          </w:tcPr>
          <w:p>
            <w:pPr>
              <w:jc w:val="center"/>
              <w:spacing w:after="0"/>
              <w:rPr>
                <w:sz w:val="20"/>
                <w:szCs w:val="20"/>
                <w:color w:val="auto"/>
              </w:rPr>
            </w:pPr>
            <w:r>
              <w:rPr>
                <w:rFonts w:ascii="Arial" w:cs="Arial" w:eastAsia="Arial" w:hAnsi="Arial"/>
                <w:sz w:val="16"/>
                <w:szCs w:val="16"/>
                <w:color w:val="auto"/>
              </w:rPr>
              <w:t>2024 increase in quarterly per-share</w:t>
            </w:r>
          </w:p>
        </w:tc>
        <w:tc>
          <w:tcPr>
            <w:tcW w:w="0" w:type="dxa"/>
            <w:vAlign w:val="bottom"/>
          </w:tcPr>
          <w:p>
            <w:pPr>
              <w:spacing w:after="0"/>
              <w:rPr>
                <w:sz w:val="1"/>
                <w:szCs w:val="1"/>
                <w:color w:val="auto"/>
              </w:rPr>
            </w:pPr>
          </w:p>
        </w:tc>
      </w:tr>
      <w:tr>
        <w:trPr>
          <w:trHeight w:val="189"/>
        </w:trPr>
        <w:tc>
          <w:tcPr>
            <w:tcW w:w="3740" w:type="dxa"/>
            <w:vAlign w:val="bottom"/>
            <w:shd w:val="clear" w:color="auto" w:fill="EDF0FC"/>
          </w:tcPr>
          <w:p>
            <w:pPr>
              <w:jc w:val="center"/>
              <w:spacing w:after="0"/>
              <w:rPr>
                <w:sz w:val="20"/>
                <w:szCs w:val="20"/>
                <w:color w:val="auto"/>
              </w:rPr>
            </w:pPr>
            <w:r>
              <w:rPr>
                <w:rFonts w:ascii="Arial" w:cs="Arial" w:eastAsia="Arial" w:hAnsi="Arial"/>
                <w:sz w:val="16"/>
                <w:szCs w:val="16"/>
                <w:color w:val="auto"/>
              </w:rPr>
              <w:t>December 31, 2024)</w:t>
            </w:r>
          </w:p>
        </w:tc>
        <w:tc>
          <w:tcPr>
            <w:tcW w:w="20" w:type="dxa"/>
            <w:vAlign w:val="bottom"/>
            <w:shd w:val="clear" w:color="auto" w:fill="1A3FD6"/>
          </w:tcPr>
          <w:p>
            <w:pPr>
              <w:spacing w:after="0"/>
              <w:rPr>
                <w:sz w:val="16"/>
                <w:szCs w:val="16"/>
                <w:color w:val="auto"/>
              </w:rPr>
            </w:pPr>
          </w:p>
        </w:tc>
        <w:tc>
          <w:tcPr>
            <w:tcW w:w="3720" w:type="dxa"/>
            <w:vAlign w:val="bottom"/>
            <w:shd w:val="clear" w:color="auto" w:fill="EDF0FC"/>
          </w:tcPr>
          <w:p>
            <w:pPr>
              <w:jc w:val="center"/>
              <w:spacing w:after="0"/>
              <w:rPr>
                <w:sz w:val="20"/>
                <w:szCs w:val="20"/>
                <w:color w:val="auto"/>
              </w:rPr>
            </w:pPr>
            <w:r>
              <w:rPr>
                <w:rFonts w:ascii="Arial" w:cs="Arial" w:eastAsia="Arial" w:hAnsi="Arial"/>
                <w:sz w:val="16"/>
                <w:szCs w:val="16"/>
                <w:color w:val="auto"/>
              </w:rPr>
              <w:t>December 31, 2024)</w:t>
            </w:r>
          </w:p>
        </w:tc>
        <w:tc>
          <w:tcPr>
            <w:tcW w:w="20" w:type="dxa"/>
            <w:vAlign w:val="bottom"/>
            <w:shd w:val="clear" w:color="auto" w:fill="1A3FD6"/>
          </w:tcPr>
          <w:p>
            <w:pPr>
              <w:spacing w:after="0"/>
              <w:rPr>
                <w:sz w:val="16"/>
                <w:szCs w:val="16"/>
                <w:color w:val="auto"/>
              </w:rPr>
            </w:pPr>
          </w:p>
        </w:tc>
        <w:tc>
          <w:tcPr>
            <w:tcW w:w="3740" w:type="dxa"/>
            <w:vAlign w:val="bottom"/>
            <w:shd w:val="clear" w:color="auto" w:fill="EDF0FC"/>
          </w:tcPr>
          <w:p>
            <w:pPr>
              <w:jc w:val="center"/>
              <w:spacing w:after="0"/>
              <w:rPr>
                <w:sz w:val="20"/>
                <w:szCs w:val="20"/>
                <w:color w:val="auto"/>
              </w:rPr>
            </w:pPr>
            <w:r>
              <w:rPr>
                <w:rFonts w:ascii="Arial" w:cs="Arial" w:eastAsia="Arial" w:hAnsi="Arial"/>
                <w:sz w:val="16"/>
                <w:szCs w:val="16"/>
                <w:color w:val="auto"/>
              </w:rPr>
              <w:t>dividend from $1.38 quarterly to $1.60 quarterly</w:t>
            </w:r>
          </w:p>
        </w:tc>
        <w:tc>
          <w:tcPr>
            <w:tcW w:w="0" w:type="dxa"/>
            <w:vAlign w:val="bottom"/>
          </w:tcPr>
          <w:p>
            <w:pPr>
              <w:spacing w:after="0"/>
              <w:rPr>
                <w:sz w:val="1"/>
                <w:szCs w:val="1"/>
                <w:color w:val="auto"/>
              </w:rPr>
            </w:pPr>
          </w:p>
        </w:tc>
      </w:tr>
      <w:tr>
        <w:trPr>
          <w:trHeight w:val="230"/>
        </w:trPr>
        <w:tc>
          <w:tcPr>
            <w:tcW w:w="3740" w:type="dxa"/>
            <w:vAlign w:val="bottom"/>
            <w:shd w:val="clear" w:color="auto" w:fill="EDF0FC"/>
          </w:tcPr>
          <w:p>
            <w:pPr>
              <w:jc w:val="center"/>
              <w:spacing w:after="0"/>
              <w:rPr>
                <w:sz w:val="20"/>
                <w:szCs w:val="20"/>
                <w:color w:val="auto"/>
              </w:rPr>
            </w:pPr>
            <w:r>
              <w:rPr>
                <w:rFonts w:ascii="Arial" w:cs="Arial" w:eastAsia="Arial" w:hAnsi="Arial"/>
                <w:sz w:val="16"/>
                <w:szCs w:val="16"/>
                <w:color w:val="auto"/>
              </w:rPr>
              <w:t>(includes dividends)</w:t>
            </w:r>
          </w:p>
        </w:tc>
        <w:tc>
          <w:tcPr>
            <w:tcW w:w="20" w:type="dxa"/>
            <w:vAlign w:val="bottom"/>
            <w:shd w:val="clear" w:color="auto" w:fill="1A3FD6"/>
          </w:tcPr>
          <w:p>
            <w:pPr>
              <w:spacing w:after="0"/>
              <w:rPr>
                <w:sz w:val="20"/>
                <w:szCs w:val="20"/>
                <w:color w:val="auto"/>
              </w:rPr>
            </w:pPr>
          </w:p>
        </w:tc>
        <w:tc>
          <w:tcPr>
            <w:tcW w:w="3720" w:type="dxa"/>
            <w:vAlign w:val="bottom"/>
            <w:shd w:val="clear" w:color="auto" w:fill="EDF0FC"/>
          </w:tcPr>
          <w:p>
            <w:pPr>
              <w:spacing w:after="0"/>
              <w:rPr>
                <w:sz w:val="20"/>
                <w:szCs w:val="20"/>
                <w:color w:val="auto"/>
              </w:rPr>
            </w:pPr>
          </w:p>
        </w:tc>
        <w:tc>
          <w:tcPr>
            <w:tcW w:w="20" w:type="dxa"/>
            <w:vAlign w:val="bottom"/>
            <w:shd w:val="clear" w:color="auto" w:fill="1A3FD6"/>
          </w:tcPr>
          <w:p>
            <w:pPr>
              <w:spacing w:after="0"/>
              <w:rPr>
                <w:sz w:val="20"/>
                <w:szCs w:val="20"/>
                <w:color w:val="auto"/>
              </w:rPr>
            </w:pPr>
          </w:p>
        </w:tc>
        <w:tc>
          <w:tcPr>
            <w:tcW w:w="3740" w:type="dxa"/>
            <w:vAlign w:val="bottom"/>
            <w:shd w:val="clear" w:color="auto" w:fill="EDF0FC"/>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740" w:type="dxa"/>
            <w:vAlign w:val="bottom"/>
            <w:shd w:val="clear" w:color="auto" w:fill="EDF0FC"/>
          </w:tcPr>
          <w:p>
            <w:pPr>
              <w:spacing w:after="0"/>
              <w:rPr>
                <w:sz w:val="14"/>
                <w:szCs w:val="14"/>
                <w:color w:val="auto"/>
              </w:rPr>
            </w:pPr>
          </w:p>
        </w:tc>
        <w:tc>
          <w:tcPr>
            <w:tcW w:w="20" w:type="dxa"/>
            <w:vAlign w:val="bottom"/>
            <w:shd w:val="clear" w:color="auto" w:fill="EDF0FC"/>
          </w:tcPr>
          <w:p>
            <w:pPr>
              <w:spacing w:after="0"/>
              <w:rPr>
                <w:sz w:val="14"/>
                <w:szCs w:val="14"/>
                <w:color w:val="auto"/>
              </w:rPr>
            </w:pPr>
          </w:p>
        </w:tc>
        <w:tc>
          <w:tcPr>
            <w:tcW w:w="3720" w:type="dxa"/>
            <w:vAlign w:val="bottom"/>
            <w:shd w:val="clear" w:color="auto" w:fill="EDF0FC"/>
          </w:tcPr>
          <w:p>
            <w:pPr>
              <w:spacing w:after="0"/>
              <w:rPr>
                <w:sz w:val="14"/>
                <w:szCs w:val="14"/>
                <w:color w:val="auto"/>
              </w:rPr>
            </w:pPr>
          </w:p>
        </w:tc>
        <w:tc>
          <w:tcPr>
            <w:tcW w:w="20" w:type="dxa"/>
            <w:vAlign w:val="bottom"/>
            <w:shd w:val="clear" w:color="auto" w:fill="EDF0FC"/>
          </w:tcPr>
          <w:p>
            <w:pPr>
              <w:spacing w:after="0"/>
              <w:rPr>
                <w:sz w:val="14"/>
                <w:szCs w:val="14"/>
                <w:color w:val="auto"/>
              </w:rPr>
            </w:pPr>
          </w:p>
        </w:tc>
        <w:tc>
          <w:tcPr>
            <w:tcW w:w="3740" w:type="dxa"/>
            <w:vAlign w:val="bottom"/>
            <w:shd w:val="clear" w:color="auto" w:fill="EDF0FC"/>
          </w:tcPr>
          <w:p>
            <w:pPr>
              <w:spacing w:after="0"/>
              <w:rPr>
                <w:sz w:val="14"/>
                <w:szCs w:val="1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Recent Capital Optimization Activities</w:t>
      </w:r>
    </w:p>
    <w:p>
      <w:pPr>
        <w:spacing w:after="0" w:line="101" w:lineRule="exact"/>
        <w:rPr>
          <w:sz w:val="20"/>
          <w:szCs w:val="20"/>
          <w:color w:val="auto"/>
        </w:rPr>
      </w:pPr>
    </w:p>
    <w:p>
      <w:pPr>
        <w:ind w:left="200" w:right="480" w:hanging="192"/>
        <w:spacing w:after="0" w:line="299" w:lineRule="auto"/>
        <w:tabs>
          <w:tab w:leader="none" w:pos="197" w:val="left"/>
        </w:tabs>
        <w:numPr>
          <w:ilvl w:val="0"/>
          <w:numId w:val="10"/>
        </w:numPr>
        <w:rPr>
          <w:rFonts w:ascii="Arial" w:cs="Arial" w:eastAsia="Arial" w:hAnsi="Arial"/>
          <w:sz w:val="16"/>
          <w:szCs w:val="16"/>
          <w:color w:val="1A3FD6"/>
        </w:rPr>
      </w:pPr>
      <w:r>
        <w:rPr>
          <w:rFonts w:ascii="Arial" w:cs="Arial" w:eastAsia="Arial" w:hAnsi="Arial"/>
          <w:sz w:val="16"/>
          <w:szCs w:val="16"/>
          <w:color w:val="auto"/>
        </w:rPr>
        <w:t>Increased regular quarterly cash dividend by approximately 15.9%, from $1.38 quarterly per-share dividend in Q1 2023 to $1.60 quarterly per-share dividend in Q1 2024, representing $6.40 per share on an annualized basis (subsequently increased to $1.80 in 2025).</w:t>
      </w:r>
    </w:p>
    <w:p>
      <w:pPr>
        <w:ind w:left="200" w:hanging="192"/>
        <w:spacing w:after="0"/>
        <w:tabs>
          <w:tab w:leader="none" w:pos="200" w:val="left"/>
        </w:tabs>
        <w:numPr>
          <w:ilvl w:val="0"/>
          <w:numId w:val="10"/>
        </w:numPr>
        <w:rPr>
          <w:rFonts w:ascii="Arial" w:cs="Arial" w:eastAsia="Arial" w:hAnsi="Arial"/>
          <w:sz w:val="16"/>
          <w:szCs w:val="16"/>
          <w:color w:val="1A3FD6"/>
        </w:rPr>
      </w:pPr>
      <w:r>
        <w:rPr>
          <w:rFonts w:ascii="Arial" w:cs="Arial" w:eastAsia="Arial" w:hAnsi="Arial"/>
          <w:sz w:val="16"/>
          <w:szCs w:val="16"/>
          <w:color w:val="auto"/>
        </w:rPr>
        <w:t>Repurchased approximately 1.5 million shares of our common stock in 2024 at an average price of $537.72 per share for a total value of $810.2 million.</w:t>
      </w:r>
    </w:p>
    <w:p>
      <w:pPr>
        <w:spacing w:after="0" w:line="107"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Total Shareholder Return</w:t>
      </w:r>
    </w:p>
    <w:p>
      <w:pPr>
        <w:spacing w:after="0" w:line="18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following graph compares the cumulative total shareholders’ return (“TSR”) of our common stock, the Standard &amp; Poor’s 500 Stock Index, and the MSCI USA Financials Index since December 31, 2024 assuming an investment of $100 at the closing price of each respective investment on December 31, 2014. In calculating annual TSR, we have assumed the reinvestment of dividends, if any. The indexes are included for comparative purposes only. They do not necessarily reflect management’s opinion that such indexes are an appropriate measure of the relative performance of our common stock. The MSCI USA Financials Index is an index operated by MSCI.</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20"/>
          <w:szCs w:val="20"/>
          <w:color w:val="1A3FD6"/>
        </w:rPr>
        <w:t>Comparison of Cumulative Ten Year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20142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480"/>
        <w:spacing w:after="0"/>
        <w:rPr>
          <w:sz w:val="20"/>
          <w:szCs w:val="20"/>
          <w:color w:val="auto"/>
        </w:rPr>
      </w:pPr>
      <w:r>
        <w:rPr>
          <w:rFonts w:ascii="Arial" w:cs="Arial" w:eastAsia="Arial" w:hAnsi="Arial"/>
          <w:sz w:val="14"/>
          <w:szCs w:val="14"/>
          <w:color w:val="auto"/>
        </w:rPr>
        <w:t xml:space="preserve">MSCI Inc.   </w:t>
      </w:r>
      <w:r>
        <w:rPr>
          <w:sz w:val="1"/>
          <w:szCs w:val="1"/>
          <w:color w:val="auto"/>
        </w:rPr>
        <w:drawing>
          <wp:inline distT="0" distB="0" distL="0" distR="0">
            <wp:extent cx="137160" cy="4254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42545"/>
                    </a:xfrm>
                    <a:prstGeom prst="rect">
                      <a:avLst/>
                    </a:prstGeom>
                    <a:noFill/>
                    <a:ln>
                      <a:noFill/>
                    </a:ln>
                  </pic:spPr>
                </pic:pic>
              </a:graphicData>
            </a:graphic>
          </wp:inline>
        </w:drawing>
      </w:r>
      <w:r>
        <w:rPr>
          <w:rFonts w:ascii="Arial" w:cs="Arial" w:eastAsia="Arial" w:hAnsi="Arial"/>
          <w:sz w:val="14"/>
          <w:szCs w:val="14"/>
          <w:color w:val="auto"/>
        </w:rPr>
        <w:t xml:space="preserve">  S&amp;P 500 Index  </w:t>
      </w:r>
      <w:r>
        <w:rPr>
          <w:sz w:val="1"/>
          <w:szCs w:val="1"/>
          <w:color w:val="auto"/>
        </w:rPr>
        <w:drawing>
          <wp:inline distT="0" distB="0" distL="0" distR="0">
            <wp:extent cx="137160" cy="4254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42545"/>
                    </a:xfrm>
                    <a:prstGeom prst="rect">
                      <a:avLst/>
                    </a:prstGeom>
                    <a:noFill/>
                    <a:ln>
                      <a:noFill/>
                    </a:ln>
                  </pic:spPr>
                </pic:pic>
              </a:graphicData>
            </a:graphic>
          </wp:inline>
        </w:drawing>
      </w:r>
      <w:r>
        <w:rPr>
          <w:rFonts w:ascii="Arial" w:cs="Arial" w:eastAsia="Arial" w:hAnsi="Arial"/>
          <w:sz w:val="14"/>
          <w:szCs w:val="14"/>
          <w:color w:val="auto"/>
        </w:rPr>
        <w:t xml:space="preserve">  MSCI USA Financials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-86995</wp:posOffset>
            </wp:positionV>
            <wp:extent cx="1371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42545"/>
                    </a:xfrm>
                    <a:prstGeom prst="rect">
                      <a:avLst/>
                    </a:prstGeom>
                    <a:noFill/>
                  </pic:spPr>
                </pic:pic>
              </a:graphicData>
            </a:graphic>
          </wp:anchor>
        </w:drawing>
      </w:r>
    </w:p>
    <w:p>
      <w:pPr>
        <w:spacing w:after="0" w:line="327"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The above graph is not “soliciting material,” is not to be deemed filed with the SEC and is not to be incorporated by reference in any of our filings under the Securities Act of 1933 or the Securities Exchange Act of 1934, as amended (the “Exchange Act”), whether made before or after the date hereof and irrespective of any general incorporation language in any such filing.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00" w:type="dxa"/>
            <w:vAlign w:val="bottom"/>
          </w:tcPr>
          <w:p>
            <w:pPr>
              <w:ind w:left="20"/>
              <w:spacing w:after="0"/>
              <w:rPr>
                <w:sz w:val="20"/>
                <w:szCs w:val="20"/>
                <w:color w:val="auto"/>
              </w:rPr>
            </w:pPr>
            <w:r>
              <w:rPr>
                <w:rFonts w:ascii="Arial" w:cs="Arial" w:eastAsia="Arial" w:hAnsi="Arial"/>
                <w:sz w:val="13"/>
                <w:szCs w:val="13"/>
                <w:b w:val="1"/>
                <w:bCs w:val="1"/>
                <w:color w:val="auto"/>
              </w:rPr>
              <w:t>Company</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72"/>
        </w:trPr>
        <w:tc>
          <w:tcPr>
            <w:tcW w:w="1400" w:type="dxa"/>
            <w:vAlign w:val="bottom"/>
          </w:tcPr>
          <w:p>
            <w:pPr>
              <w:ind w:left="20"/>
              <w:spacing w:after="0"/>
              <w:rPr>
                <w:sz w:val="20"/>
                <w:szCs w:val="20"/>
                <w:color w:val="auto"/>
              </w:rPr>
            </w:pPr>
            <w:r>
              <w:rPr>
                <w:rFonts w:ascii="Arial" w:cs="Arial" w:eastAsia="Arial" w:hAnsi="Arial"/>
                <w:sz w:val="13"/>
                <w:szCs w:val="13"/>
                <w:b w:val="1"/>
                <w:bCs w:val="1"/>
                <w:color w:val="auto"/>
              </w:rPr>
              <w:t>Name/Index</w:t>
            </w:r>
          </w:p>
        </w:tc>
        <w:tc>
          <w:tcPr>
            <w:tcW w:w="2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8"/>
              </w:rPr>
              <w:t>12/31/14</w:t>
            </w: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12/31/15</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12/31/16</w:t>
            </w:r>
          </w:p>
        </w:tc>
        <w:tc>
          <w:tcPr>
            <w:tcW w:w="220" w:type="dxa"/>
            <w:vAlign w:val="bottom"/>
          </w:tcPr>
          <w:p>
            <w:pPr>
              <w:spacing w:after="0"/>
              <w:rPr>
                <w:sz w:val="14"/>
                <w:szCs w:val="14"/>
                <w:color w:val="auto"/>
              </w:rPr>
            </w:pPr>
          </w:p>
        </w:tc>
        <w:tc>
          <w:tcPr>
            <w:tcW w:w="660" w:type="dxa"/>
            <w:vAlign w:val="bottom"/>
          </w:tcPr>
          <w:p>
            <w:pPr>
              <w:jc w:val="center"/>
              <w:ind w:left="57"/>
              <w:spacing w:after="0"/>
              <w:rPr>
                <w:sz w:val="20"/>
                <w:szCs w:val="20"/>
                <w:color w:val="auto"/>
              </w:rPr>
            </w:pPr>
            <w:r>
              <w:rPr>
                <w:rFonts w:ascii="Arial" w:cs="Arial" w:eastAsia="Arial" w:hAnsi="Arial"/>
                <w:sz w:val="13"/>
                <w:szCs w:val="13"/>
                <w:b w:val="1"/>
                <w:bCs w:val="1"/>
                <w:color w:val="auto"/>
                <w:w w:val="98"/>
              </w:rPr>
              <w:t>12/31/17</w:t>
            </w:r>
          </w:p>
        </w:tc>
        <w:tc>
          <w:tcPr>
            <w:tcW w:w="220" w:type="dxa"/>
            <w:vAlign w:val="bottom"/>
          </w:tcPr>
          <w:p>
            <w:pPr>
              <w:spacing w:after="0"/>
              <w:rPr>
                <w:sz w:val="14"/>
                <w:szCs w:val="14"/>
                <w:color w:val="auto"/>
              </w:rPr>
            </w:pPr>
          </w:p>
        </w:tc>
        <w:tc>
          <w:tcPr>
            <w:tcW w:w="660" w:type="dxa"/>
            <w:vAlign w:val="bottom"/>
          </w:tcPr>
          <w:p>
            <w:pPr>
              <w:jc w:val="center"/>
              <w:ind w:left="57"/>
              <w:spacing w:after="0"/>
              <w:rPr>
                <w:sz w:val="20"/>
                <w:szCs w:val="20"/>
                <w:color w:val="auto"/>
              </w:rPr>
            </w:pPr>
            <w:r>
              <w:rPr>
                <w:rFonts w:ascii="Arial" w:cs="Arial" w:eastAsia="Arial" w:hAnsi="Arial"/>
                <w:sz w:val="13"/>
                <w:szCs w:val="13"/>
                <w:b w:val="1"/>
                <w:bCs w:val="1"/>
                <w:color w:val="auto"/>
                <w:w w:val="98"/>
              </w:rPr>
              <w:t>12/31/18</w:t>
            </w:r>
          </w:p>
        </w:tc>
        <w:tc>
          <w:tcPr>
            <w:tcW w:w="220" w:type="dxa"/>
            <w:vAlign w:val="bottom"/>
          </w:tcPr>
          <w:p>
            <w:pPr>
              <w:spacing w:after="0"/>
              <w:rPr>
                <w:sz w:val="14"/>
                <w:szCs w:val="14"/>
                <w:color w:val="auto"/>
              </w:rPr>
            </w:pPr>
          </w:p>
        </w:tc>
        <w:tc>
          <w:tcPr>
            <w:tcW w:w="660" w:type="dxa"/>
            <w:vAlign w:val="bottom"/>
          </w:tcPr>
          <w:p>
            <w:pPr>
              <w:jc w:val="center"/>
              <w:ind w:left="77"/>
              <w:spacing w:after="0"/>
              <w:rPr>
                <w:sz w:val="20"/>
                <w:szCs w:val="20"/>
                <w:color w:val="auto"/>
              </w:rPr>
            </w:pPr>
            <w:r>
              <w:rPr>
                <w:rFonts w:ascii="Arial" w:cs="Arial" w:eastAsia="Arial" w:hAnsi="Arial"/>
                <w:sz w:val="13"/>
                <w:szCs w:val="13"/>
                <w:b w:val="1"/>
                <w:bCs w:val="1"/>
                <w:color w:val="auto"/>
                <w:w w:val="94"/>
              </w:rPr>
              <w:t>12/31/19</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12/31/20</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12/31/21</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12/31/22</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12/31/23</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12/31/24</w:t>
            </w:r>
          </w:p>
        </w:tc>
      </w:tr>
      <w:tr>
        <w:trPr>
          <w:trHeight w:val="22"/>
        </w:trPr>
        <w:tc>
          <w:tcPr>
            <w:tcW w:w="1400" w:type="dxa"/>
            <w:vAlign w:val="bottom"/>
            <w:tcBorders>
              <w:bottom w:val="single" w:sz="8" w:color="1A3FD6"/>
            </w:tcBorders>
          </w:tcPr>
          <w:p>
            <w:pPr>
              <w:spacing w:after="0" w:line="20" w:lineRule="exact"/>
              <w:rPr>
                <w:sz w:val="1"/>
                <w:szCs w:val="1"/>
                <w:color w:val="auto"/>
              </w:rPr>
            </w:pPr>
          </w:p>
        </w:tc>
        <w:tc>
          <w:tcPr>
            <w:tcW w:w="280" w:type="dxa"/>
            <w:vAlign w:val="bottom"/>
            <w:tcBorders>
              <w:bottom w:val="single" w:sz="8" w:color="1A3FD6"/>
            </w:tcBorders>
          </w:tcPr>
          <w:p>
            <w:pPr>
              <w:spacing w:after="0" w:line="20" w:lineRule="exact"/>
              <w:rPr>
                <w:sz w:val="1"/>
                <w:szCs w:val="1"/>
                <w:color w:val="auto"/>
              </w:rPr>
            </w:pPr>
          </w:p>
        </w:tc>
        <w:tc>
          <w:tcPr>
            <w:tcW w:w="660" w:type="dxa"/>
            <w:vAlign w:val="bottom"/>
            <w:tcBorders>
              <w:bottom w:val="single" w:sz="8" w:color="1A3FD6"/>
            </w:tcBorders>
          </w:tcPr>
          <w:p>
            <w:pPr>
              <w:spacing w:after="0" w:line="20" w:lineRule="exact"/>
              <w:rPr>
                <w:sz w:val="1"/>
                <w:szCs w:val="1"/>
                <w:color w:val="auto"/>
              </w:rPr>
            </w:pPr>
          </w:p>
        </w:tc>
        <w:tc>
          <w:tcPr>
            <w:tcW w:w="280" w:type="dxa"/>
            <w:vAlign w:val="bottom"/>
            <w:tcBorders>
              <w:bottom w:val="single" w:sz="8" w:color="1A3FD6"/>
            </w:tcBorders>
          </w:tcPr>
          <w:p>
            <w:pPr>
              <w:spacing w:after="0" w:line="20" w:lineRule="exact"/>
              <w:rPr>
                <w:sz w:val="1"/>
                <w:szCs w:val="1"/>
                <w:color w:val="auto"/>
              </w:rPr>
            </w:pPr>
          </w:p>
        </w:tc>
        <w:tc>
          <w:tcPr>
            <w:tcW w:w="640" w:type="dxa"/>
            <w:vAlign w:val="bottom"/>
            <w:tcBorders>
              <w:bottom w:val="single" w:sz="8" w:color="1A3FD6"/>
            </w:tcBorders>
          </w:tcPr>
          <w:p>
            <w:pPr>
              <w:spacing w:after="0" w:line="20" w:lineRule="exact"/>
              <w:rPr>
                <w:sz w:val="1"/>
                <w:szCs w:val="1"/>
                <w:color w:val="auto"/>
              </w:rPr>
            </w:pPr>
          </w:p>
        </w:tc>
        <w:tc>
          <w:tcPr>
            <w:tcW w:w="240" w:type="dxa"/>
            <w:vAlign w:val="bottom"/>
            <w:tcBorders>
              <w:bottom w:val="single" w:sz="8" w:color="1A3FD6"/>
            </w:tcBorders>
          </w:tcPr>
          <w:p>
            <w:pPr>
              <w:spacing w:after="0" w:line="20" w:lineRule="exact"/>
              <w:rPr>
                <w:sz w:val="1"/>
                <w:szCs w:val="1"/>
                <w:color w:val="auto"/>
              </w:rPr>
            </w:pPr>
          </w:p>
        </w:tc>
        <w:tc>
          <w:tcPr>
            <w:tcW w:w="640" w:type="dxa"/>
            <w:vAlign w:val="bottom"/>
            <w:tcBorders>
              <w:bottom w:val="single" w:sz="8" w:color="1A3FD6"/>
            </w:tcBorders>
          </w:tcPr>
          <w:p>
            <w:pPr>
              <w:spacing w:after="0" w:line="20" w:lineRule="exact"/>
              <w:rPr>
                <w:sz w:val="1"/>
                <w:szCs w:val="1"/>
                <w:color w:val="auto"/>
              </w:rPr>
            </w:pPr>
          </w:p>
        </w:tc>
        <w:tc>
          <w:tcPr>
            <w:tcW w:w="220" w:type="dxa"/>
            <w:vAlign w:val="bottom"/>
            <w:tcBorders>
              <w:bottom w:val="single" w:sz="8" w:color="1A3FD6"/>
            </w:tcBorders>
          </w:tcPr>
          <w:p>
            <w:pPr>
              <w:spacing w:after="0" w:line="20" w:lineRule="exact"/>
              <w:rPr>
                <w:sz w:val="1"/>
                <w:szCs w:val="1"/>
                <w:color w:val="auto"/>
              </w:rPr>
            </w:pPr>
          </w:p>
        </w:tc>
        <w:tc>
          <w:tcPr>
            <w:tcW w:w="660" w:type="dxa"/>
            <w:vAlign w:val="bottom"/>
            <w:tcBorders>
              <w:bottom w:val="single" w:sz="8" w:color="1A3FD6"/>
            </w:tcBorders>
          </w:tcPr>
          <w:p>
            <w:pPr>
              <w:spacing w:after="0" w:line="20" w:lineRule="exact"/>
              <w:rPr>
                <w:sz w:val="1"/>
                <w:szCs w:val="1"/>
                <w:color w:val="auto"/>
              </w:rPr>
            </w:pPr>
          </w:p>
        </w:tc>
        <w:tc>
          <w:tcPr>
            <w:tcW w:w="220" w:type="dxa"/>
            <w:vAlign w:val="bottom"/>
            <w:tcBorders>
              <w:bottom w:val="single" w:sz="8" w:color="1A3FD6"/>
            </w:tcBorders>
          </w:tcPr>
          <w:p>
            <w:pPr>
              <w:spacing w:after="0" w:line="20" w:lineRule="exact"/>
              <w:rPr>
                <w:sz w:val="1"/>
                <w:szCs w:val="1"/>
                <w:color w:val="auto"/>
              </w:rPr>
            </w:pPr>
          </w:p>
        </w:tc>
        <w:tc>
          <w:tcPr>
            <w:tcW w:w="660" w:type="dxa"/>
            <w:vAlign w:val="bottom"/>
            <w:tcBorders>
              <w:bottom w:val="single" w:sz="8" w:color="1A3FD6"/>
            </w:tcBorders>
          </w:tcPr>
          <w:p>
            <w:pPr>
              <w:spacing w:after="0" w:line="20" w:lineRule="exact"/>
              <w:rPr>
                <w:sz w:val="1"/>
                <w:szCs w:val="1"/>
                <w:color w:val="auto"/>
              </w:rPr>
            </w:pPr>
          </w:p>
        </w:tc>
        <w:tc>
          <w:tcPr>
            <w:tcW w:w="220" w:type="dxa"/>
            <w:vAlign w:val="bottom"/>
            <w:tcBorders>
              <w:bottom w:val="single" w:sz="8" w:color="1A3FD6"/>
            </w:tcBorders>
          </w:tcPr>
          <w:p>
            <w:pPr>
              <w:spacing w:after="0" w:line="20" w:lineRule="exact"/>
              <w:rPr>
                <w:sz w:val="1"/>
                <w:szCs w:val="1"/>
                <w:color w:val="auto"/>
              </w:rPr>
            </w:pPr>
          </w:p>
        </w:tc>
        <w:tc>
          <w:tcPr>
            <w:tcW w:w="660" w:type="dxa"/>
            <w:vAlign w:val="bottom"/>
            <w:tcBorders>
              <w:bottom w:val="single" w:sz="8" w:color="1A3FD6"/>
            </w:tcBorders>
          </w:tcPr>
          <w:p>
            <w:pPr>
              <w:spacing w:after="0" w:line="20" w:lineRule="exact"/>
              <w:rPr>
                <w:sz w:val="1"/>
                <w:szCs w:val="1"/>
                <w:color w:val="auto"/>
              </w:rPr>
            </w:pPr>
          </w:p>
        </w:tc>
        <w:tc>
          <w:tcPr>
            <w:tcW w:w="220" w:type="dxa"/>
            <w:vAlign w:val="bottom"/>
            <w:tcBorders>
              <w:bottom w:val="single" w:sz="8" w:color="1A3FD6"/>
            </w:tcBorders>
          </w:tcPr>
          <w:p>
            <w:pPr>
              <w:spacing w:after="0" w:line="20" w:lineRule="exact"/>
              <w:rPr>
                <w:sz w:val="1"/>
                <w:szCs w:val="1"/>
                <w:color w:val="auto"/>
              </w:rPr>
            </w:pPr>
          </w:p>
        </w:tc>
        <w:tc>
          <w:tcPr>
            <w:tcW w:w="680" w:type="dxa"/>
            <w:vAlign w:val="bottom"/>
            <w:tcBorders>
              <w:bottom w:val="single" w:sz="8" w:color="1A3FD6"/>
            </w:tcBorders>
          </w:tcPr>
          <w:p>
            <w:pPr>
              <w:spacing w:after="0" w:line="20" w:lineRule="exact"/>
              <w:rPr>
                <w:sz w:val="1"/>
                <w:szCs w:val="1"/>
                <w:color w:val="auto"/>
              </w:rPr>
            </w:pPr>
          </w:p>
        </w:tc>
        <w:tc>
          <w:tcPr>
            <w:tcW w:w="200" w:type="dxa"/>
            <w:vAlign w:val="bottom"/>
            <w:tcBorders>
              <w:bottom w:val="single" w:sz="8" w:color="1A3FD6"/>
            </w:tcBorders>
          </w:tcPr>
          <w:p>
            <w:pPr>
              <w:spacing w:after="0" w:line="20" w:lineRule="exact"/>
              <w:rPr>
                <w:sz w:val="1"/>
                <w:szCs w:val="1"/>
                <w:color w:val="auto"/>
              </w:rPr>
            </w:pPr>
          </w:p>
        </w:tc>
        <w:tc>
          <w:tcPr>
            <w:tcW w:w="680" w:type="dxa"/>
            <w:vAlign w:val="bottom"/>
            <w:tcBorders>
              <w:bottom w:val="single" w:sz="8" w:color="1A3FD6"/>
            </w:tcBorders>
          </w:tcPr>
          <w:p>
            <w:pPr>
              <w:spacing w:after="0" w:line="20" w:lineRule="exact"/>
              <w:rPr>
                <w:sz w:val="1"/>
                <w:szCs w:val="1"/>
                <w:color w:val="auto"/>
              </w:rPr>
            </w:pPr>
          </w:p>
        </w:tc>
        <w:tc>
          <w:tcPr>
            <w:tcW w:w="220" w:type="dxa"/>
            <w:vAlign w:val="bottom"/>
            <w:tcBorders>
              <w:bottom w:val="single" w:sz="8" w:color="1A3FD6"/>
            </w:tcBorders>
          </w:tcPr>
          <w:p>
            <w:pPr>
              <w:spacing w:after="0" w:line="20" w:lineRule="exact"/>
              <w:rPr>
                <w:sz w:val="1"/>
                <w:szCs w:val="1"/>
                <w:color w:val="auto"/>
              </w:rPr>
            </w:pPr>
          </w:p>
        </w:tc>
        <w:tc>
          <w:tcPr>
            <w:tcW w:w="680" w:type="dxa"/>
            <w:vAlign w:val="bottom"/>
            <w:tcBorders>
              <w:bottom w:val="single" w:sz="8" w:color="1A3FD6"/>
            </w:tcBorders>
          </w:tcPr>
          <w:p>
            <w:pPr>
              <w:spacing w:after="0" w:line="20" w:lineRule="exact"/>
              <w:rPr>
                <w:sz w:val="1"/>
                <w:szCs w:val="1"/>
                <w:color w:val="auto"/>
              </w:rPr>
            </w:pPr>
          </w:p>
        </w:tc>
        <w:tc>
          <w:tcPr>
            <w:tcW w:w="220" w:type="dxa"/>
            <w:vAlign w:val="bottom"/>
            <w:tcBorders>
              <w:bottom w:val="single" w:sz="8" w:color="1A3FD6"/>
            </w:tcBorders>
          </w:tcPr>
          <w:p>
            <w:pPr>
              <w:spacing w:after="0" w:line="20" w:lineRule="exact"/>
              <w:rPr>
                <w:sz w:val="1"/>
                <w:szCs w:val="1"/>
                <w:color w:val="auto"/>
              </w:rPr>
            </w:pPr>
          </w:p>
        </w:tc>
        <w:tc>
          <w:tcPr>
            <w:tcW w:w="660" w:type="dxa"/>
            <w:vAlign w:val="bottom"/>
            <w:tcBorders>
              <w:bottom w:val="single" w:sz="8" w:color="1A3FD6"/>
            </w:tcBorders>
          </w:tcPr>
          <w:p>
            <w:pPr>
              <w:spacing w:after="0" w:line="20" w:lineRule="exact"/>
              <w:rPr>
                <w:sz w:val="1"/>
                <w:szCs w:val="1"/>
                <w:color w:val="auto"/>
              </w:rPr>
            </w:pPr>
          </w:p>
        </w:tc>
        <w:tc>
          <w:tcPr>
            <w:tcW w:w="220" w:type="dxa"/>
            <w:vAlign w:val="bottom"/>
            <w:tcBorders>
              <w:bottom w:val="single" w:sz="8" w:color="1A3FD6"/>
            </w:tcBorders>
          </w:tcPr>
          <w:p>
            <w:pPr>
              <w:spacing w:after="0" w:line="20" w:lineRule="exact"/>
              <w:rPr>
                <w:sz w:val="1"/>
                <w:szCs w:val="1"/>
                <w:color w:val="auto"/>
              </w:rPr>
            </w:pPr>
          </w:p>
        </w:tc>
        <w:tc>
          <w:tcPr>
            <w:tcW w:w="680" w:type="dxa"/>
            <w:vAlign w:val="bottom"/>
            <w:tcBorders>
              <w:bottom w:val="single" w:sz="8" w:color="1A3FD6"/>
            </w:tcBorders>
          </w:tcPr>
          <w:p>
            <w:pPr>
              <w:spacing w:after="0" w:line="20" w:lineRule="exact"/>
              <w:rPr>
                <w:sz w:val="1"/>
                <w:szCs w:val="1"/>
                <w:color w:val="auto"/>
              </w:rPr>
            </w:pPr>
          </w:p>
        </w:tc>
      </w:tr>
      <w:tr>
        <w:trPr>
          <w:trHeight w:val="174"/>
        </w:trPr>
        <w:tc>
          <w:tcPr>
            <w:tcW w:w="1400" w:type="dxa"/>
            <w:vAlign w:val="bottom"/>
          </w:tcPr>
          <w:p>
            <w:pPr>
              <w:ind w:left="20"/>
              <w:spacing w:after="0"/>
              <w:rPr>
                <w:sz w:val="20"/>
                <w:szCs w:val="20"/>
                <w:color w:val="auto"/>
              </w:rPr>
            </w:pPr>
            <w:r>
              <w:rPr>
                <w:rFonts w:ascii="Arial" w:cs="Arial" w:eastAsia="Arial" w:hAnsi="Arial"/>
                <w:sz w:val="13"/>
                <w:szCs w:val="13"/>
                <w:b w:val="1"/>
                <w:bCs w:val="1"/>
                <w:color w:val="auto"/>
              </w:rPr>
              <w:t>MSCI Inc.</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100.00</w:t>
            </w:r>
          </w:p>
        </w:tc>
        <w:tc>
          <w:tcPr>
            <w:tcW w:w="2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154.01</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170.37</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660" w:type="dxa"/>
            <w:vAlign w:val="bottom"/>
          </w:tcPr>
          <w:p>
            <w:pPr>
              <w:jc w:val="center"/>
              <w:ind w:left="77"/>
              <w:spacing w:after="0"/>
              <w:rPr>
                <w:sz w:val="20"/>
                <w:szCs w:val="20"/>
                <w:color w:val="auto"/>
              </w:rPr>
            </w:pPr>
            <w:r>
              <w:rPr>
                <w:rFonts w:ascii="Arial" w:cs="Arial" w:eastAsia="Arial" w:hAnsi="Arial"/>
                <w:sz w:val="13"/>
                <w:szCs w:val="13"/>
                <w:color w:val="auto"/>
              </w:rPr>
              <w:t>277.07</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660" w:type="dxa"/>
            <w:vAlign w:val="bottom"/>
          </w:tcPr>
          <w:p>
            <w:pPr>
              <w:jc w:val="center"/>
              <w:ind w:left="77"/>
              <w:spacing w:after="0"/>
              <w:rPr>
                <w:sz w:val="20"/>
                <w:szCs w:val="20"/>
                <w:color w:val="auto"/>
              </w:rPr>
            </w:pPr>
            <w:r>
              <w:rPr>
                <w:rFonts w:ascii="Arial" w:cs="Arial" w:eastAsia="Arial" w:hAnsi="Arial"/>
                <w:sz w:val="13"/>
                <w:szCs w:val="13"/>
                <w:color w:val="auto"/>
              </w:rPr>
              <w:t>326.80</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660" w:type="dxa"/>
            <w:vAlign w:val="bottom"/>
          </w:tcPr>
          <w:p>
            <w:pPr>
              <w:jc w:val="center"/>
              <w:ind w:left="97"/>
              <w:spacing w:after="0"/>
              <w:rPr>
                <w:sz w:val="20"/>
                <w:szCs w:val="20"/>
                <w:color w:val="auto"/>
              </w:rPr>
            </w:pPr>
            <w:r>
              <w:rPr>
                <w:rFonts w:ascii="Arial" w:cs="Arial" w:eastAsia="Arial" w:hAnsi="Arial"/>
                <w:sz w:val="13"/>
                <w:szCs w:val="13"/>
                <w:color w:val="auto"/>
                <w:w w:val="95"/>
              </w:rPr>
              <w:t>579.07</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1,009.81</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1,394.94</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1,069.42</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1,314.34</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1,410.39</w:t>
            </w:r>
          </w:p>
        </w:tc>
      </w:tr>
      <w:tr>
        <w:trPr>
          <w:trHeight w:val="21"/>
        </w:trPr>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3"/>
        </w:trPr>
        <w:tc>
          <w:tcPr>
            <w:tcW w:w="1400" w:type="dxa"/>
            <w:vAlign w:val="bottom"/>
            <w:tcBorders>
              <w:bottom w:val="single" w:sz="8" w:color="EDF0FC"/>
            </w:tcBorders>
            <w:shd w:val="clear" w:color="auto" w:fill="EDF0FC"/>
          </w:tcPr>
          <w:p>
            <w:pPr>
              <w:ind w:left="20"/>
              <w:spacing w:after="0"/>
              <w:rPr>
                <w:sz w:val="20"/>
                <w:szCs w:val="20"/>
                <w:color w:val="auto"/>
              </w:rPr>
            </w:pPr>
            <w:r>
              <w:rPr>
                <w:rFonts w:ascii="Arial" w:cs="Arial" w:eastAsia="Arial" w:hAnsi="Arial"/>
                <w:sz w:val="13"/>
                <w:szCs w:val="13"/>
                <w:b w:val="1"/>
                <w:bCs w:val="1"/>
                <w:color w:val="auto"/>
              </w:rPr>
              <w:t>S&amp;P 500 Index</w:t>
            </w:r>
          </w:p>
        </w:tc>
        <w:tc>
          <w:tcPr>
            <w:tcW w:w="280" w:type="dxa"/>
            <w:vAlign w:val="bottom"/>
            <w:tcBorders>
              <w:bottom w:val="single" w:sz="8" w:color="EDF0FC"/>
            </w:tcBorders>
            <w:shd w:val="clear" w:color="auto" w:fill="EDF0FC"/>
          </w:tcPr>
          <w:p>
            <w:pPr>
              <w:jc w:val="right"/>
              <w:ind w:right="5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EDF0FC"/>
            </w:tcBorders>
            <w:shd w:val="clear" w:color="auto" w:fill="EDF0FC"/>
          </w:tcPr>
          <w:p>
            <w:pPr>
              <w:jc w:val="center"/>
              <w:spacing w:after="0"/>
              <w:rPr>
                <w:sz w:val="20"/>
                <w:szCs w:val="20"/>
                <w:color w:val="auto"/>
              </w:rPr>
            </w:pPr>
            <w:r>
              <w:rPr>
                <w:rFonts w:ascii="Arial" w:cs="Arial" w:eastAsia="Arial" w:hAnsi="Arial"/>
                <w:sz w:val="13"/>
                <w:szCs w:val="13"/>
                <w:color w:val="auto"/>
                <w:w w:val="95"/>
              </w:rPr>
              <w:t>100.00</w:t>
            </w:r>
          </w:p>
        </w:tc>
        <w:tc>
          <w:tcPr>
            <w:tcW w:w="280" w:type="dxa"/>
            <w:vAlign w:val="bottom"/>
            <w:tcBorders>
              <w:bottom w:val="single" w:sz="8" w:color="EDF0FC"/>
            </w:tcBorders>
            <w:shd w:val="clear" w:color="auto" w:fill="EDF0FC"/>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EDF0FC"/>
            </w:tcBorders>
            <w:shd w:val="clear" w:color="auto" w:fill="EDF0FC"/>
          </w:tcPr>
          <w:p>
            <w:pPr>
              <w:jc w:val="right"/>
              <w:spacing w:after="0"/>
              <w:rPr>
                <w:sz w:val="20"/>
                <w:szCs w:val="20"/>
                <w:color w:val="auto"/>
              </w:rPr>
            </w:pPr>
            <w:r>
              <w:rPr>
                <w:rFonts w:ascii="Arial" w:cs="Arial" w:eastAsia="Arial" w:hAnsi="Arial"/>
                <w:sz w:val="13"/>
                <w:szCs w:val="13"/>
                <w:color w:val="auto"/>
              </w:rPr>
              <w:t>101.38</w:t>
            </w:r>
          </w:p>
        </w:tc>
        <w:tc>
          <w:tcPr>
            <w:tcW w:w="240" w:type="dxa"/>
            <w:vAlign w:val="bottom"/>
            <w:tcBorders>
              <w:bottom w:val="single" w:sz="8" w:color="EDF0FC"/>
            </w:tcBorders>
            <w:shd w:val="clear" w:color="auto" w:fill="EDF0FC"/>
          </w:tcPr>
          <w:p>
            <w:pPr>
              <w:jc w:val="right"/>
              <w:ind w:right="9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EDF0FC"/>
            </w:tcBorders>
            <w:shd w:val="clear" w:color="auto" w:fill="EDF0FC"/>
          </w:tcPr>
          <w:p>
            <w:pPr>
              <w:jc w:val="right"/>
              <w:spacing w:after="0"/>
              <w:rPr>
                <w:sz w:val="20"/>
                <w:szCs w:val="20"/>
                <w:color w:val="auto"/>
              </w:rPr>
            </w:pPr>
            <w:r>
              <w:rPr>
                <w:rFonts w:ascii="Arial" w:cs="Arial" w:eastAsia="Arial" w:hAnsi="Arial"/>
                <w:sz w:val="13"/>
                <w:szCs w:val="13"/>
                <w:color w:val="auto"/>
              </w:rPr>
              <w:t>113.51</w:t>
            </w:r>
          </w:p>
        </w:tc>
        <w:tc>
          <w:tcPr>
            <w:tcW w:w="220" w:type="dxa"/>
            <w:vAlign w:val="bottom"/>
            <w:tcBorders>
              <w:bottom w:val="single" w:sz="8" w:color="EDF0FC"/>
            </w:tcBorders>
            <w:shd w:val="clear" w:color="auto" w:fill="EDF0FC"/>
          </w:tcPr>
          <w:p>
            <w:pPr>
              <w:jc w:val="right"/>
              <w:ind w:right="7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EDF0FC"/>
            </w:tcBorders>
            <w:shd w:val="clear" w:color="auto" w:fill="EDF0FC"/>
          </w:tcPr>
          <w:p>
            <w:pPr>
              <w:jc w:val="center"/>
              <w:ind w:left="77"/>
              <w:spacing w:after="0"/>
              <w:rPr>
                <w:sz w:val="20"/>
                <w:szCs w:val="20"/>
                <w:color w:val="auto"/>
              </w:rPr>
            </w:pPr>
            <w:r>
              <w:rPr>
                <w:rFonts w:ascii="Arial" w:cs="Arial" w:eastAsia="Arial" w:hAnsi="Arial"/>
                <w:sz w:val="13"/>
                <w:szCs w:val="13"/>
                <w:color w:val="auto"/>
              </w:rPr>
              <w:t>138.29</w:t>
            </w:r>
          </w:p>
        </w:tc>
        <w:tc>
          <w:tcPr>
            <w:tcW w:w="220" w:type="dxa"/>
            <w:vAlign w:val="bottom"/>
            <w:tcBorders>
              <w:bottom w:val="single" w:sz="8" w:color="EDF0FC"/>
            </w:tcBorders>
            <w:shd w:val="clear" w:color="auto" w:fill="EDF0FC"/>
          </w:tcPr>
          <w:p>
            <w:pPr>
              <w:jc w:val="right"/>
              <w:ind w:right="7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EDF0FC"/>
            </w:tcBorders>
            <w:shd w:val="clear" w:color="auto" w:fill="EDF0FC"/>
          </w:tcPr>
          <w:p>
            <w:pPr>
              <w:jc w:val="center"/>
              <w:ind w:left="77"/>
              <w:spacing w:after="0"/>
              <w:rPr>
                <w:sz w:val="20"/>
                <w:szCs w:val="20"/>
                <w:color w:val="auto"/>
              </w:rPr>
            </w:pPr>
            <w:r>
              <w:rPr>
                <w:rFonts w:ascii="Arial" w:cs="Arial" w:eastAsia="Arial" w:hAnsi="Arial"/>
                <w:sz w:val="13"/>
                <w:szCs w:val="13"/>
                <w:color w:val="auto"/>
              </w:rPr>
              <w:t>132.23</w:t>
            </w:r>
          </w:p>
        </w:tc>
        <w:tc>
          <w:tcPr>
            <w:tcW w:w="220" w:type="dxa"/>
            <w:vAlign w:val="bottom"/>
            <w:tcBorders>
              <w:bottom w:val="single" w:sz="8" w:color="EDF0FC"/>
            </w:tcBorders>
            <w:shd w:val="clear" w:color="auto" w:fill="EDF0FC"/>
          </w:tcPr>
          <w:p>
            <w:pPr>
              <w:jc w:val="right"/>
              <w:ind w:right="7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EDF0FC"/>
            </w:tcBorders>
            <w:shd w:val="clear" w:color="auto" w:fill="EDF0FC"/>
          </w:tcPr>
          <w:p>
            <w:pPr>
              <w:jc w:val="center"/>
              <w:ind w:left="97"/>
              <w:spacing w:after="0"/>
              <w:rPr>
                <w:sz w:val="20"/>
                <w:szCs w:val="20"/>
                <w:color w:val="auto"/>
              </w:rPr>
            </w:pPr>
            <w:r>
              <w:rPr>
                <w:rFonts w:ascii="Arial" w:cs="Arial" w:eastAsia="Arial" w:hAnsi="Arial"/>
                <w:sz w:val="13"/>
                <w:szCs w:val="13"/>
                <w:color w:val="auto"/>
                <w:w w:val="95"/>
              </w:rPr>
              <w:t>173.86</w:t>
            </w:r>
          </w:p>
        </w:tc>
        <w:tc>
          <w:tcPr>
            <w:tcW w:w="220" w:type="dxa"/>
            <w:vAlign w:val="bottom"/>
            <w:tcBorders>
              <w:bottom w:val="single" w:sz="8" w:color="EDF0FC"/>
            </w:tcBorders>
            <w:shd w:val="clear" w:color="auto" w:fill="EDF0FC"/>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DF0FC"/>
            </w:tcBorders>
            <w:shd w:val="clear" w:color="auto" w:fill="EDF0FC"/>
          </w:tcPr>
          <w:p>
            <w:pPr>
              <w:jc w:val="right"/>
              <w:spacing w:after="0"/>
              <w:rPr>
                <w:sz w:val="20"/>
                <w:szCs w:val="20"/>
                <w:color w:val="auto"/>
              </w:rPr>
            </w:pPr>
            <w:r>
              <w:rPr>
                <w:rFonts w:ascii="Arial" w:cs="Arial" w:eastAsia="Arial" w:hAnsi="Arial"/>
                <w:sz w:val="13"/>
                <w:szCs w:val="13"/>
                <w:color w:val="auto"/>
              </w:rPr>
              <w:t>205.85</w:t>
            </w:r>
          </w:p>
        </w:tc>
        <w:tc>
          <w:tcPr>
            <w:tcW w:w="200" w:type="dxa"/>
            <w:vAlign w:val="bottom"/>
            <w:tcBorders>
              <w:bottom w:val="single" w:sz="8" w:color="EDF0FC"/>
            </w:tcBorders>
            <w:shd w:val="clear" w:color="auto" w:fill="EDF0FC"/>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EDF0FC"/>
            </w:tcBorders>
            <w:shd w:val="clear" w:color="auto" w:fill="EDF0FC"/>
          </w:tcPr>
          <w:p>
            <w:pPr>
              <w:jc w:val="right"/>
              <w:spacing w:after="0"/>
              <w:rPr>
                <w:sz w:val="20"/>
                <w:szCs w:val="20"/>
                <w:color w:val="auto"/>
              </w:rPr>
            </w:pPr>
            <w:r>
              <w:rPr>
                <w:rFonts w:ascii="Arial" w:cs="Arial" w:eastAsia="Arial" w:hAnsi="Arial"/>
                <w:sz w:val="13"/>
                <w:szCs w:val="13"/>
                <w:color w:val="auto"/>
              </w:rPr>
              <w:t>264.94</w:t>
            </w:r>
          </w:p>
        </w:tc>
        <w:tc>
          <w:tcPr>
            <w:tcW w:w="220" w:type="dxa"/>
            <w:vAlign w:val="bottom"/>
            <w:tcBorders>
              <w:bottom w:val="single" w:sz="8" w:color="EDF0FC"/>
            </w:tcBorders>
            <w:shd w:val="clear" w:color="auto" w:fill="EDF0FC"/>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DF0FC"/>
            </w:tcBorders>
            <w:shd w:val="clear" w:color="auto" w:fill="EDF0FC"/>
          </w:tcPr>
          <w:p>
            <w:pPr>
              <w:jc w:val="right"/>
              <w:spacing w:after="0"/>
              <w:rPr>
                <w:sz w:val="20"/>
                <w:szCs w:val="20"/>
                <w:color w:val="auto"/>
              </w:rPr>
            </w:pPr>
            <w:r>
              <w:rPr>
                <w:rFonts w:ascii="Arial" w:cs="Arial" w:eastAsia="Arial" w:hAnsi="Arial"/>
                <w:sz w:val="13"/>
                <w:szCs w:val="13"/>
                <w:color w:val="auto"/>
              </w:rPr>
              <w:t>216.96</w:t>
            </w:r>
          </w:p>
        </w:tc>
        <w:tc>
          <w:tcPr>
            <w:tcW w:w="220" w:type="dxa"/>
            <w:vAlign w:val="bottom"/>
            <w:tcBorders>
              <w:bottom w:val="single" w:sz="8" w:color="EDF0FC"/>
            </w:tcBorders>
            <w:shd w:val="clear" w:color="auto" w:fill="EDF0FC"/>
          </w:tcPr>
          <w:p>
            <w:pPr>
              <w:jc w:val="right"/>
              <w:ind w:right="7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EDF0FC"/>
            </w:tcBorders>
            <w:shd w:val="clear" w:color="auto" w:fill="EDF0FC"/>
          </w:tcPr>
          <w:p>
            <w:pPr>
              <w:jc w:val="right"/>
              <w:spacing w:after="0"/>
              <w:rPr>
                <w:sz w:val="20"/>
                <w:szCs w:val="20"/>
                <w:color w:val="auto"/>
              </w:rPr>
            </w:pPr>
            <w:r>
              <w:rPr>
                <w:rFonts w:ascii="Arial" w:cs="Arial" w:eastAsia="Arial" w:hAnsi="Arial"/>
                <w:sz w:val="13"/>
                <w:szCs w:val="13"/>
                <w:color w:val="auto"/>
              </w:rPr>
              <w:t>273.99</w:t>
            </w:r>
          </w:p>
        </w:tc>
        <w:tc>
          <w:tcPr>
            <w:tcW w:w="220" w:type="dxa"/>
            <w:vAlign w:val="bottom"/>
            <w:tcBorders>
              <w:bottom w:val="single" w:sz="8" w:color="EDF0FC"/>
            </w:tcBorders>
            <w:shd w:val="clear" w:color="auto" w:fill="EDF0FC"/>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EDF0FC"/>
            </w:tcBorders>
            <w:shd w:val="clear" w:color="auto" w:fill="EDF0FC"/>
          </w:tcPr>
          <w:p>
            <w:pPr>
              <w:jc w:val="right"/>
              <w:spacing w:after="0"/>
              <w:rPr>
                <w:sz w:val="20"/>
                <w:szCs w:val="20"/>
                <w:color w:val="auto"/>
              </w:rPr>
            </w:pPr>
            <w:r>
              <w:rPr>
                <w:rFonts w:ascii="Arial" w:cs="Arial" w:eastAsia="Arial" w:hAnsi="Arial"/>
                <w:sz w:val="13"/>
                <w:szCs w:val="13"/>
                <w:color w:val="auto"/>
              </w:rPr>
              <w:t>342.54</w:t>
            </w:r>
          </w:p>
        </w:tc>
      </w:tr>
      <w:tr>
        <w:trPr>
          <w:trHeight w:val="158"/>
        </w:trPr>
        <w:tc>
          <w:tcPr>
            <w:tcW w:w="1400" w:type="dxa"/>
            <w:vAlign w:val="bottom"/>
          </w:tcPr>
          <w:p>
            <w:pPr>
              <w:ind w:left="20"/>
              <w:spacing w:after="0"/>
              <w:rPr>
                <w:sz w:val="20"/>
                <w:szCs w:val="20"/>
                <w:color w:val="auto"/>
              </w:rPr>
            </w:pPr>
            <w:r>
              <w:rPr>
                <w:rFonts w:ascii="Arial" w:cs="Arial" w:eastAsia="Arial" w:hAnsi="Arial"/>
                <w:sz w:val="13"/>
                <w:szCs w:val="13"/>
                <w:b w:val="1"/>
                <w:bCs w:val="1"/>
                <w:color w:val="auto"/>
              </w:rPr>
              <w:t>MSCI USA Financials</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72"/>
        </w:trPr>
        <w:tc>
          <w:tcPr>
            <w:tcW w:w="1400" w:type="dxa"/>
            <w:vAlign w:val="bottom"/>
          </w:tcPr>
          <w:p>
            <w:pPr>
              <w:ind w:left="20"/>
              <w:spacing w:after="0"/>
              <w:rPr>
                <w:sz w:val="20"/>
                <w:szCs w:val="20"/>
                <w:color w:val="auto"/>
              </w:rPr>
            </w:pPr>
            <w:r>
              <w:rPr>
                <w:rFonts w:ascii="Arial" w:cs="Arial" w:eastAsia="Arial" w:hAnsi="Arial"/>
                <w:sz w:val="13"/>
                <w:szCs w:val="13"/>
                <w:b w:val="1"/>
                <w:bCs w:val="1"/>
                <w:color w:val="auto"/>
              </w:rPr>
              <w:t>Index</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100.00</w:t>
            </w:r>
          </w:p>
        </w:tc>
        <w:tc>
          <w:tcPr>
            <w:tcW w:w="2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99.27</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121.80</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660" w:type="dxa"/>
            <w:vAlign w:val="bottom"/>
          </w:tcPr>
          <w:p>
            <w:pPr>
              <w:jc w:val="center"/>
              <w:ind w:left="77"/>
              <w:spacing w:after="0"/>
              <w:rPr>
                <w:sz w:val="20"/>
                <w:szCs w:val="20"/>
                <w:color w:val="auto"/>
              </w:rPr>
            </w:pPr>
            <w:r>
              <w:rPr>
                <w:rFonts w:ascii="Arial" w:cs="Arial" w:eastAsia="Arial" w:hAnsi="Arial"/>
                <w:sz w:val="13"/>
                <w:szCs w:val="13"/>
                <w:color w:val="auto"/>
              </w:rPr>
              <w:t>148.66</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660" w:type="dxa"/>
            <w:vAlign w:val="bottom"/>
          </w:tcPr>
          <w:p>
            <w:pPr>
              <w:jc w:val="center"/>
              <w:ind w:left="77"/>
              <w:spacing w:after="0"/>
              <w:rPr>
                <w:sz w:val="20"/>
                <w:szCs w:val="20"/>
                <w:color w:val="auto"/>
              </w:rPr>
            </w:pPr>
            <w:r>
              <w:rPr>
                <w:rFonts w:ascii="Arial" w:cs="Arial" w:eastAsia="Arial" w:hAnsi="Arial"/>
                <w:sz w:val="13"/>
                <w:szCs w:val="13"/>
                <w:color w:val="auto"/>
              </w:rPr>
              <w:t>128.49</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660" w:type="dxa"/>
            <w:vAlign w:val="bottom"/>
          </w:tcPr>
          <w:p>
            <w:pPr>
              <w:jc w:val="center"/>
              <w:ind w:left="97"/>
              <w:spacing w:after="0"/>
              <w:rPr>
                <w:sz w:val="20"/>
                <w:szCs w:val="20"/>
                <w:color w:val="auto"/>
              </w:rPr>
            </w:pPr>
            <w:r>
              <w:rPr>
                <w:rFonts w:ascii="Arial" w:cs="Arial" w:eastAsia="Arial" w:hAnsi="Arial"/>
                <w:sz w:val="13"/>
                <w:szCs w:val="13"/>
                <w:color w:val="auto"/>
                <w:w w:val="95"/>
              </w:rPr>
              <w:t>170.80</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167.35</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227.20</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199.58</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228.82</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301.33</w:t>
            </w:r>
          </w:p>
        </w:tc>
      </w:tr>
      <w:tr>
        <w:trPr>
          <w:trHeight w:val="21"/>
        </w:trPr>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269"/>
        </w:trPr>
        <w:tc>
          <w:tcPr>
            <w:tcW w:w="1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8880"/>
              <w:spacing w:after="0"/>
              <w:rPr>
                <w:sz w:val="20"/>
                <w:szCs w:val="20"/>
                <w:color w:val="auto"/>
              </w:rPr>
            </w:pPr>
            <w:r>
              <w:rPr>
                <w:rFonts w:ascii="Arial" w:cs="Arial" w:eastAsia="Arial" w:hAnsi="Arial"/>
                <w:sz w:val="14"/>
                <w:szCs w:val="14"/>
                <w:b w:val="1"/>
                <w:bCs w:val="1"/>
                <w:color w:val="1A3FD6"/>
              </w:rPr>
              <w:t>Proxy Summary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11</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Corporate Responsibility</w:t>
      </w:r>
    </w:p>
    <w:p>
      <w:pPr>
        <w:spacing w:after="0" w:line="113" w:lineRule="exact"/>
        <w:rPr>
          <w:sz w:val="20"/>
          <w:szCs w:val="20"/>
          <w:color w:val="auto"/>
        </w:rPr>
      </w:pPr>
    </w:p>
    <w:p>
      <w:pPr>
        <w:ind w:right="320"/>
        <w:spacing w:after="0" w:line="284" w:lineRule="auto"/>
        <w:rPr>
          <w:sz w:val="20"/>
          <w:szCs w:val="20"/>
          <w:color w:val="auto"/>
        </w:rPr>
      </w:pPr>
      <w:r>
        <w:rPr>
          <w:rFonts w:ascii="Arial" w:cs="Arial" w:eastAsia="Arial" w:hAnsi="Arial"/>
          <w:sz w:val="16"/>
          <w:szCs w:val="16"/>
          <w:color w:val="auto"/>
        </w:rPr>
        <w:t>As a leader in providing sustainability and climate solutions to investors, we aim to demonstrate leading corporate responsibility practices that benefit our business and align with practices meaningful to our stakeholders, including our clients, employees and shareholders. A number of our recent accomplishments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9120" w:type="dxa"/>
            <w:vAlign w:val="bottom"/>
          </w:tcPr>
          <w:p>
            <w:pPr>
              <w:ind w:left="60"/>
              <w:spacing w:after="0"/>
              <w:rPr>
                <w:sz w:val="20"/>
                <w:szCs w:val="20"/>
                <w:color w:val="auto"/>
              </w:rPr>
            </w:pPr>
            <w:r>
              <w:rPr>
                <w:rFonts w:ascii="Arial" w:cs="Arial" w:eastAsia="Arial" w:hAnsi="Arial"/>
                <w:sz w:val="13"/>
                <w:szCs w:val="13"/>
                <w:b w:val="1"/>
                <w:bCs w:val="1"/>
                <w:color w:val="auto"/>
              </w:rPr>
              <w:t>Board Developments</w:t>
            </w:r>
          </w:p>
        </w:tc>
        <w:tc>
          <w:tcPr>
            <w:tcW w:w="0" w:type="dxa"/>
            <w:vAlign w:val="bottom"/>
          </w:tcPr>
          <w:p>
            <w:pPr>
              <w:spacing w:after="0"/>
              <w:rPr>
                <w:sz w:val="1"/>
                <w:szCs w:val="1"/>
                <w:color w:val="auto"/>
              </w:rPr>
            </w:pPr>
          </w:p>
        </w:tc>
      </w:tr>
      <w:tr>
        <w:trPr>
          <w:trHeight w:val="180"/>
        </w:trPr>
        <w:tc>
          <w:tcPr>
            <w:tcW w:w="2120" w:type="dxa"/>
            <w:vAlign w:val="bottom"/>
          </w:tcPr>
          <w:p>
            <w:pPr>
              <w:spacing w:after="0"/>
              <w:rPr>
                <w:sz w:val="15"/>
                <w:szCs w:val="15"/>
                <w:color w:val="auto"/>
              </w:rPr>
            </w:pPr>
          </w:p>
        </w:tc>
        <w:tc>
          <w:tcPr>
            <w:tcW w:w="9120" w:type="dxa"/>
            <w:vAlign w:val="bottom"/>
          </w:tcPr>
          <w:p>
            <w:pPr>
              <w:ind w:left="60"/>
              <w:spacing w:after="0"/>
              <w:rPr>
                <w:sz w:val="20"/>
                <w:szCs w:val="20"/>
                <w:color w:val="auto"/>
              </w:rPr>
            </w:pPr>
            <w:r>
              <w:rPr>
                <w:rFonts w:ascii="Arial" w:cs="Arial" w:eastAsia="Arial" w:hAnsi="Arial"/>
                <w:sz w:val="13"/>
                <w:szCs w:val="13"/>
                <w:color w:val="1A3FD6"/>
              </w:rPr>
              <w:t xml:space="preserve">•  </w:t>
            </w:r>
            <w:r>
              <w:rPr>
                <w:rFonts w:ascii="Arial" w:cs="Arial" w:eastAsia="Arial" w:hAnsi="Arial"/>
                <w:sz w:val="13"/>
                <w:szCs w:val="13"/>
                <w:color w:val="000000"/>
              </w:rPr>
              <w:t>Appointed Michelle Seitz, a new director with deep experience in the investment industry, having spent more than three decades in asset</w:t>
            </w: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9120" w:type="dxa"/>
            <w:vAlign w:val="bottom"/>
          </w:tcPr>
          <w:p>
            <w:pPr>
              <w:ind w:left="260"/>
              <w:spacing w:after="0"/>
              <w:rPr>
                <w:sz w:val="20"/>
                <w:szCs w:val="20"/>
                <w:color w:val="auto"/>
              </w:rPr>
            </w:pPr>
            <w:r>
              <w:rPr>
                <w:rFonts w:ascii="Arial" w:cs="Arial" w:eastAsia="Arial" w:hAnsi="Arial"/>
                <w:sz w:val="13"/>
                <w:szCs w:val="13"/>
                <w:color w:val="auto"/>
              </w:rPr>
              <w:t>management and private wealth, both as a CEO and as an investor</w:t>
            </w:r>
          </w:p>
        </w:tc>
        <w:tc>
          <w:tcPr>
            <w:tcW w:w="0" w:type="dxa"/>
            <w:vAlign w:val="bottom"/>
          </w:tcPr>
          <w:p>
            <w:pPr>
              <w:spacing w:after="0"/>
              <w:rPr>
                <w:sz w:val="1"/>
                <w:szCs w:val="1"/>
                <w:color w:val="auto"/>
              </w:rPr>
            </w:pPr>
          </w:p>
        </w:tc>
      </w:tr>
      <w:tr>
        <w:trPr>
          <w:trHeight w:val="176"/>
        </w:trPr>
        <w:tc>
          <w:tcPr>
            <w:tcW w:w="2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Robust</w:t>
            </w:r>
          </w:p>
        </w:tc>
        <w:tc>
          <w:tcPr>
            <w:tcW w:w="9120" w:type="dxa"/>
            <w:vAlign w:val="bottom"/>
          </w:tcPr>
          <w:p>
            <w:pPr>
              <w:ind w:left="60"/>
              <w:spacing w:after="0"/>
              <w:rPr>
                <w:sz w:val="20"/>
                <w:szCs w:val="20"/>
                <w:color w:val="auto"/>
              </w:rPr>
            </w:pPr>
            <w:r>
              <w:rPr>
                <w:rFonts w:ascii="Arial" w:cs="Arial" w:eastAsia="Arial" w:hAnsi="Arial"/>
                <w:sz w:val="13"/>
                <w:szCs w:val="13"/>
                <w:color w:val="1A3FD6"/>
              </w:rPr>
              <w:t xml:space="preserve">•  </w:t>
            </w:r>
            <w:r>
              <w:rPr>
                <w:rFonts w:ascii="Arial" w:cs="Arial" w:eastAsia="Arial" w:hAnsi="Arial"/>
                <w:sz w:val="13"/>
                <w:szCs w:val="13"/>
                <w:color w:val="000000"/>
              </w:rPr>
              <w:t>Appointed June Yang, a new director with extensive experience in the technology sector, with a focus on AI and cloud, having spent over 30 years</w:t>
            </w:r>
          </w:p>
        </w:tc>
        <w:tc>
          <w:tcPr>
            <w:tcW w:w="0" w:type="dxa"/>
            <w:vAlign w:val="bottom"/>
          </w:tcPr>
          <w:p>
            <w:pPr>
              <w:spacing w:after="0"/>
              <w:rPr>
                <w:sz w:val="1"/>
                <w:szCs w:val="1"/>
                <w:color w:val="auto"/>
              </w:rPr>
            </w:pPr>
          </w:p>
        </w:tc>
      </w:tr>
      <w:tr>
        <w:trPr>
          <w:trHeight w:val="134"/>
        </w:trPr>
        <w:tc>
          <w:tcPr>
            <w:tcW w:w="2120" w:type="dxa"/>
            <w:vAlign w:val="bottom"/>
            <w:vMerge w:val="continue"/>
          </w:tcPr>
          <w:p>
            <w:pPr>
              <w:spacing w:after="0"/>
              <w:rPr>
                <w:sz w:val="11"/>
                <w:szCs w:val="11"/>
                <w:color w:val="auto"/>
              </w:rPr>
            </w:pPr>
          </w:p>
        </w:tc>
        <w:tc>
          <w:tcPr>
            <w:tcW w:w="9120" w:type="dxa"/>
            <w:vAlign w:val="bottom"/>
          </w:tcPr>
          <w:p>
            <w:pPr>
              <w:ind w:left="260"/>
              <w:spacing w:after="0" w:line="134" w:lineRule="exact"/>
              <w:rPr>
                <w:sz w:val="20"/>
                <w:szCs w:val="20"/>
                <w:color w:val="auto"/>
              </w:rPr>
            </w:pPr>
            <w:r>
              <w:rPr>
                <w:rFonts w:ascii="Arial" w:cs="Arial" w:eastAsia="Arial" w:hAnsi="Arial"/>
                <w:sz w:val="13"/>
                <w:szCs w:val="13"/>
                <w:color w:val="auto"/>
              </w:rPr>
              <w:t>innovating and scaling enterprise businesses, with expertise in product management, product marketing and engineering</w:t>
            </w:r>
          </w:p>
        </w:tc>
        <w:tc>
          <w:tcPr>
            <w:tcW w:w="0" w:type="dxa"/>
            <w:vAlign w:val="bottom"/>
          </w:tcPr>
          <w:p>
            <w:pPr>
              <w:spacing w:after="0"/>
              <w:rPr>
                <w:sz w:val="1"/>
                <w:szCs w:val="1"/>
                <w:color w:val="auto"/>
              </w:rPr>
            </w:pPr>
          </w:p>
        </w:tc>
      </w:tr>
      <w:tr>
        <w:trPr>
          <w:trHeight w:val="230"/>
        </w:trPr>
        <w:tc>
          <w:tcPr>
            <w:tcW w:w="2120" w:type="dxa"/>
            <w:vAlign w:val="bottom"/>
          </w:tcPr>
          <w:p>
            <w:pPr>
              <w:ind w:left="20"/>
              <w:spacing w:after="0"/>
              <w:rPr>
                <w:sz w:val="20"/>
                <w:szCs w:val="20"/>
                <w:color w:val="auto"/>
              </w:rPr>
            </w:pPr>
            <w:r>
              <w:rPr>
                <w:rFonts w:ascii="Arial" w:cs="Arial" w:eastAsia="Arial" w:hAnsi="Arial"/>
                <w:sz w:val="18"/>
                <w:szCs w:val="18"/>
                <w:b w:val="1"/>
                <w:bCs w:val="1"/>
                <w:color w:val="auto"/>
              </w:rPr>
              <w:t>Governance</w:t>
            </w:r>
          </w:p>
        </w:tc>
        <w:tc>
          <w:tcPr>
            <w:tcW w:w="9120" w:type="dxa"/>
            <w:vAlign w:val="bottom"/>
          </w:tcPr>
          <w:p>
            <w:pPr>
              <w:ind w:left="60"/>
              <w:spacing w:after="0"/>
              <w:rPr>
                <w:sz w:val="20"/>
                <w:szCs w:val="20"/>
                <w:color w:val="auto"/>
              </w:rPr>
            </w:pPr>
            <w:r>
              <w:rPr>
                <w:rFonts w:ascii="Arial" w:cs="Arial" w:eastAsia="Arial" w:hAnsi="Arial"/>
                <w:sz w:val="13"/>
                <w:szCs w:val="13"/>
                <w:color w:val="1A3FD6"/>
              </w:rPr>
              <w:t xml:space="preserve">•  </w:t>
            </w:r>
            <w:r>
              <w:rPr>
                <w:rFonts w:ascii="Arial" w:cs="Arial" w:eastAsia="Arial" w:hAnsi="Arial"/>
                <w:sz w:val="13"/>
                <w:szCs w:val="13"/>
                <w:color w:val="000000"/>
              </w:rPr>
              <w:t>Planned retirement of incumbent director Wayne Edmunds, effective as of the 2025 Annual Meeting</w:t>
            </w:r>
          </w:p>
        </w:tc>
        <w:tc>
          <w:tcPr>
            <w:tcW w:w="0" w:type="dxa"/>
            <w:vAlign w:val="bottom"/>
          </w:tcPr>
          <w:p>
            <w:pPr>
              <w:spacing w:after="0"/>
              <w:rPr>
                <w:sz w:val="1"/>
                <w:szCs w:val="1"/>
                <w:color w:val="auto"/>
              </w:rPr>
            </w:pPr>
          </w:p>
        </w:tc>
      </w:tr>
      <w:tr>
        <w:trPr>
          <w:trHeight w:val="176"/>
        </w:trPr>
        <w:tc>
          <w:tcPr>
            <w:tcW w:w="2120" w:type="dxa"/>
            <w:vAlign w:val="bottom"/>
          </w:tcPr>
          <w:p>
            <w:pPr>
              <w:ind w:left="20"/>
              <w:spacing w:after="0"/>
              <w:rPr>
                <w:sz w:val="20"/>
                <w:szCs w:val="20"/>
                <w:color w:val="auto"/>
              </w:rPr>
            </w:pPr>
            <w:r>
              <w:rPr>
                <w:rFonts w:ascii="Arial" w:cs="Arial" w:eastAsia="Arial" w:hAnsi="Arial"/>
                <w:sz w:val="13"/>
                <w:szCs w:val="13"/>
                <w:color w:val="auto"/>
              </w:rPr>
              <w:t>Implement policies and practices</w:t>
            </w:r>
          </w:p>
        </w:tc>
        <w:tc>
          <w:tcPr>
            <w:tcW w:w="9120" w:type="dxa"/>
            <w:vAlign w:val="bottom"/>
          </w:tcPr>
          <w:p>
            <w:pPr>
              <w:ind w:left="60"/>
              <w:spacing w:after="0"/>
              <w:rPr>
                <w:sz w:val="20"/>
                <w:szCs w:val="20"/>
                <w:color w:val="auto"/>
              </w:rPr>
            </w:pPr>
            <w:r>
              <w:rPr>
                <w:rFonts w:ascii="Arial" w:cs="Arial" w:eastAsia="Arial" w:hAnsi="Arial"/>
                <w:sz w:val="13"/>
                <w:szCs w:val="13"/>
                <w:color w:val="1A3FD6"/>
              </w:rPr>
              <w:t xml:space="preserve">•  </w:t>
            </w:r>
            <w:r>
              <w:rPr>
                <w:rFonts w:ascii="Arial" w:cs="Arial" w:eastAsia="Arial" w:hAnsi="Arial"/>
                <w:sz w:val="13"/>
                <w:szCs w:val="13"/>
                <w:color w:val="000000"/>
              </w:rPr>
              <w:t>As part of its regular practice of seeking third-party perspectives on governance practices, the MSCI Board conducted an independent evaluation in</w:t>
            </w:r>
          </w:p>
        </w:tc>
        <w:tc>
          <w:tcPr>
            <w:tcW w:w="0" w:type="dxa"/>
            <w:vAlign w:val="bottom"/>
          </w:tcPr>
          <w:p>
            <w:pPr>
              <w:spacing w:after="0"/>
              <w:rPr>
                <w:sz w:val="1"/>
                <w:szCs w:val="1"/>
                <w:color w:val="auto"/>
              </w:rPr>
            </w:pPr>
          </w:p>
        </w:tc>
      </w:tr>
      <w:tr>
        <w:trPr>
          <w:trHeight w:val="175"/>
        </w:trPr>
        <w:tc>
          <w:tcPr>
            <w:tcW w:w="2120" w:type="dxa"/>
            <w:vAlign w:val="bottom"/>
          </w:tcPr>
          <w:p>
            <w:pPr>
              <w:ind w:left="20"/>
              <w:spacing w:after="0"/>
              <w:rPr>
                <w:sz w:val="20"/>
                <w:szCs w:val="20"/>
                <w:color w:val="auto"/>
              </w:rPr>
            </w:pPr>
            <w:r>
              <w:rPr>
                <w:rFonts w:ascii="Arial" w:cs="Arial" w:eastAsia="Arial" w:hAnsi="Arial"/>
                <w:sz w:val="13"/>
                <w:szCs w:val="13"/>
                <w:color w:val="auto"/>
              </w:rPr>
              <w:t>that reflect MSCI’s commitment to</w:t>
            </w:r>
          </w:p>
        </w:tc>
        <w:tc>
          <w:tcPr>
            <w:tcW w:w="9120" w:type="dxa"/>
            <w:vAlign w:val="bottom"/>
          </w:tcPr>
          <w:p>
            <w:pPr>
              <w:ind w:left="260"/>
              <w:spacing w:after="0"/>
              <w:rPr>
                <w:sz w:val="20"/>
                <w:szCs w:val="20"/>
                <w:color w:val="auto"/>
              </w:rPr>
            </w:pPr>
            <w:r>
              <w:rPr>
                <w:rFonts w:ascii="Arial" w:cs="Arial" w:eastAsia="Arial" w:hAnsi="Arial"/>
                <w:sz w:val="13"/>
                <w:szCs w:val="13"/>
                <w:color w:val="auto"/>
              </w:rPr>
              <w:t>2024, including feedback on Board governance, culture and processes</w:t>
            </w:r>
          </w:p>
        </w:tc>
        <w:tc>
          <w:tcPr>
            <w:tcW w:w="0" w:type="dxa"/>
            <w:vAlign w:val="bottom"/>
          </w:tcPr>
          <w:p>
            <w:pPr>
              <w:spacing w:after="0"/>
              <w:rPr>
                <w:sz w:val="1"/>
                <w:szCs w:val="1"/>
                <w:color w:val="auto"/>
              </w:rPr>
            </w:pPr>
          </w:p>
        </w:tc>
      </w:tr>
      <w:tr>
        <w:trPr>
          <w:trHeight w:val="211"/>
        </w:trPr>
        <w:tc>
          <w:tcPr>
            <w:tcW w:w="2120" w:type="dxa"/>
            <w:vAlign w:val="bottom"/>
          </w:tcPr>
          <w:p>
            <w:pPr>
              <w:ind w:left="20"/>
              <w:spacing w:after="0"/>
              <w:rPr>
                <w:sz w:val="20"/>
                <w:szCs w:val="20"/>
                <w:color w:val="auto"/>
              </w:rPr>
            </w:pPr>
            <w:r>
              <w:rPr>
                <w:rFonts w:ascii="Arial" w:cs="Arial" w:eastAsia="Arial" w:hAnsi="Arial"/>
                <w:sz w:val="13"/>
                <w:szCs w:val="13"/>
                <w:color w:val="auto"/>
              </w:rPr>
              <w:t>strong governance</w:t>
            </w:r>
          </w:p>
        </w:tc>
        <w:tc>
          <w:tcPr>
            <w:tcW w:w="9120" w:type="dxa"/>
            <w:vAlign w:val="bottom"/>
          </w:tcPr>
          <w:p>
            <w:pPr>
              <w:ind w:left="60"/>
              <w:spacing w:after="0"/>
              <w:rPr>
                <w:sz w:val="20"/>
                <w:szCs w:val="20"/>
                <w:color w:val="auto"/>
              </w:rPr>
            </w:pPr>
            <w:r>
              <w:rPr>
                <w:rFonts w:ascii="Arial" w:cs="Arial" w:eastAsia="Arial" w:hAnsi="Arial"/>
                <w:sz w:val="13"/>
                <w:szCs w:val="13"/>
                <w:b w:val="1"/>
                <w:bCs w:val="1"/>
                <w:color w:val="auto"/>
              </w:rPr>
              <w:t>Shareholder Rights</w:t>
            </w:r>
          </w:p>
        </w:tc>
        <w:tc>
          <w:tcPr>
            <w:tcW w:w="0" w:type="dxa"/>
            <w:vAlign w:val="bottom"/>
          </w:tcPr>
          <w:p>
            <w:pPr>
              <w:spacing w:after="0"/>
              <w:rPr>
                <w:sz w:val="1"/>
                <w:szCs w:val="1"/>
                <w:color w:val="auto"/>
              </w:rPr>
            </w:pPr>
          </w:p>
        </w:tc>
      </w:tr>
      <w:tr>
        <w:trPr>
          <w:trHeight w:val="194"/>
        </w:trPr>
        <w:tc>
          <w:tcPr>
            <w:tcW w:w="2120" w:type="dxa"/>
            <w:vAlign w:val="bottom"/>
          </w:tcPr>
          <w:p>
            <w:pPr>
              <w:spacing w:after="0"/>
              <w:rPr>
                <w:sz w:val="16"/>
                <w:szCs w:val="16"/>
                <w:color w:val="auto"/>
              </w:rPr>
            </w:pPr>
          </w:p>
        </w:tc>
        <w:tc>
          <w:tcPr>
            <w:tcW w:w="9120" w:type="dxa"/>
            <w:vAlign w:val="bottom"/>
          </w:tcPr>
          <w:p>
            <w:pPr>
              <w:ind w:left="60"/>
              <w:spacing w:after="0"/>
              <w:rPr>
                <w:sz w:val="20"/>
                <w:szCs w:val="20"/>
                <w:color w:val="auto"/>
              </w:rPr>
            </w:pPr>
            <w:r>
              <w:rPr>
                <w:rFonts w:ascii="Arial" w:cs="Arial" w:eastAsia="Arial" w:hAnsi="Arial"/>
                <w:sz w:val="13"/>
                <w:szCs w:val="13"/>
                <w:color w:val="1A3FD6"/>
              </w:rPr>
              <w:t xml:space="preserve">•  </w:t>
            </w:r>
            <w:r>
              <w:rPr>
                <w:rFonts w:ascii="Arial" w:cs="Arial" w:eastAsia="Arial" w:hAnsi="Arial"/>
                <w:sz w:val="13"/>
                <w:szCs w:val="13"/>
                <w:color w:val="000000"/>
              </w:rPr>
              <w:t>Amended Bylaws to provide that special meetings of shareholders may be called by shareholders owning at least 15% of voting power</w:t>
            </w:r>
          </w:p>
        </w:tc>
        <w:tc>
          <w:tcPr>
            <w:tcW w:w="0" w:type="dxa"/>
            <w:vAlign w:val="bottom"/>
          </w:tcPr>
          <w:p>
            <w:pPr>
              <w:spacing w:after="0"/>
              <w:rPr>
                <w:sz w:val="1"/>
                <w:szCs w:val="1"/>
                <w:color w:val="auto"/>
              </w:rPr>
            </w:pPr>
          </w:p>
        </w:tc>
      </w:tr>
      <w:tr>
        <w:trPr>
          <w:trHeight w:val="269"/>
        </w:trPr>
        <w:tc>
          <w:tcPr>
            <w:tcW w:w="2120" w:type="dxa"/>
            <w:vAlign w:val="bottom"/>
          </w:tcPr>
          <w:p>
            <w:pPr>
              <w:spacing w:after="0"/>
              <w:rPr>
                <w:sz w:val="23"/>
                <w:szCs w:val="23"/>
                <w:color w:val="auto"/>
              </w:rPr>
            </w:pPr>
          </w:p>
        </w:tc>
        <w:tc>
          <w:tcPr>
            <w:tcW w:w="9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2120" w:type="dxa"/>
            <w:vAlign w:val="bottom"/>
            <w:shd w:val="clear" w:color="auto" w:fill="0626A9"/>
          </w:tcPr>
          <w:p>
            <w:pPr>
              <w:spacing w:after="0"/>
              <w:rPr>
                <w:sz w:val="7"/>
                <w:szCs w:val="7"/>
                <w:color w:val="auto"/>
              </w:rPr>
            </w:pPr>
          </w:p>
        </w:tc>
        <w:tc>
          <w:tcPr>
            <w:tcW w:w="9120" w:type="dxa"/>
            <w:vAlign w:val="bottom"/>
            <w:shd w:val="clear" w:color="auto" w:fill="0626A9"/>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2120" w:type="dxa"/>
            <w:vAlign w:val="bottom"/>
          </w:tcPr>
          <w:p>
            <w:pPr>
              <w:spacing w:after="0"/>
              <w:rPr>
                <w:sz w:val="24"/>
                <w:szCs w:val="24"/>
                <w:color w:val="auto"/>
              </w:rPr>
            </w:pPr>
          </w:p>
        </w:tc>
        <w:tc>
          <w:tcPr>
            <w:tcW w:w="9120" w:type="dxa"/>
            <w:vAlign w:val="bottom"/>
          </w:tcPr>
          <w:p>
            <w:pPr>
              <w:ind w:left="60"/>
              <w:spacing w:after="0"/>
              <w:rPr>
                <w:sz w:val="20"/>
                <w:szCs w:val="20"/>
                <w:color w:val="auto"/>
              </w:rPr>
            </w:pPr>
            <w:r>
              <w:rPr>
                <w:rFonts w:ascii="Arial" w:cs="Arial" w:eastAsia="Arial" w:hAnsi="Arial"/>
                <w:sz w:val="13"/>
                <w:szCs w:val="13"/>
                <w:b w:val="1"/>
                <w:bCs w:val="1"/>
                <w:color w:val="auto"/>
              </w:rPr>
              <w:t>Employee Engagement</w:t>
            </w:r>
          </w:p>
        </w:tc>
        <w:tc>
          <w:tcPr>
            <w:tcW w:w="0" w:type="dxa"/>
            <w:vAlign w:val="bottom"/>
          </w:tcPr>
          <w:p>
            <w:pPr>
              <w:spacing w:after="0"/>
              <w:rPr>
                <w:sz w:val="1"/>
                <w:szCs w:val="1"/>
                <w:color w:val="auto"/>
              </w:rPr>
            </w:pPr>
          </w:p>
        </w:tc>
      </w:tr>
      <w:tr>
        <w:trPr>
          <w:trHeight w:val="180"/>
        </w:trPr>
        <w:tc>
          <w:tcPr>
            <w:tcW w:w="2120" w:type="dxa"/>
            <w:vAlign w:val="bottom"/>
          </w:tcPr>
          <w:p>
            <w:pPr>
              <w:spacing w:after="0"/>
              <w:rPr>
                <w:sz w:val="15"/>
                <w:szCs w:val="15"/>
                <w:color w:val="auto"/>
              </w:rPr>
            </w:pPr>
          </w:p>
        </w:tc>
        <w:tc>
          <w:tcPr>
            <w:tcW w:w="9120" w:type="dxa"/>
            <w:vAlign w:val="bottom"/>
          </w:tcPr>
          <w:p>
            <w:pPr>
              <w:ind w:left="60"/>
              <w:spacing w:after="0"/>
              <w:rPr>
                <w:sz w:val="20"/>
                <w:szCs w:val="20"/>
                <w:color w:val="auto"/>
              </w:rPr>
            </w:pPr>
            <w:r>
              <w:rPr>
                <w:rFonts w:ascii="Arial" w:cs="Arial" w:eastAsia="Arial" w:hAnsi="Arial"/>
                <w:sz w:val="13"/>
                <w:szCs w:val="13"/>
                <w:color w:val="1A3FD6"/>
              </w:rPr>
              <w:t xml:space="preserve">•  </w:t>
            </w:r>
            <w:r>
              <w:rPr>
                <w:rFonts w:ascii="Arial" w:cs="Arial" w:eastAsia="Arial" w:hAnsi="Arial"/>
                <w:sz w:val="13"/>
                <w:szCs w:val="13"/>
                <w:color w:val="000000"/>
              </w:rPr>
              <w:t>Measured employee engagement through focus groups, pulse surveys for new employees of acquired companies, and an enhanced annual global</w:t>
            </w: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9120" w:type="dxa"/>
            <w:vAlign w:val="bottom"/>
          </w:tcPr>
          <w:p>
            <w:pPr>
              <w:ind w:left="260"/>
              <w:spacing w:after="0"/>
              <w:rPr>
                <w:sz w:val="20"/>
                <w:szCs w:val="20"/>
                <w:color w:val="auto"/>
              </w:rPr>
            </w:pPr>
            <w:r>
              <w:rPr>
                <w:rFonts w:ascii="Arial" w:cs="Arial" w:eastAsia="Arial" w:hAnsi="Arial"/>
                <w:sz w:val="13"/>
                <w:szCs w:val="13"/>
                <w:color w:val="auto"/>
              </w:rPr>
              <w:t>engagement survey for all employees</w:t>
            </w:r>
          </w:p>
        </w:tc>
        <w:tc>
          <w:tcPr>
            <w:tcW w:w="0" w:type="dxa"/>
            <w:vAlign w:val="bottom"/>
          </w:tcPr>
          <w:p>
            <w:pPr>
              <w:spacing w:after="0"/>
              <w:rPr>
                <w:sz w:val="1"/>
                <w:szCs w:val="1"/>
                <w:color w:val="auto"/>
              </w:rPr>
            </w:pPr>
          </w:p>
        </w:tc>
      </w:tr>
      <w:tr>
        <w:trPr>
          <w:trHeight w:val="189"/>
        </w:trPr>
        <w:tc>
          <w:tcPr>
            <w:tcW w:w="2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Social Practices</w:t>
            </w:r>
          </w:p>
        </w:tc>
        <w:tc>
          <w:tcPr>
            <w:tcW w:w="9120" w:type="dxa"/>
            <w:vAlign w:val="bottom"/>
          </w:tcPr>
          <w:p>
            <w:pPr>
              <w:ind w:left="60"/>
              <w:spacing w:after="0"/>
              <w:rPr>
                <w:sz w:val="20"/>
                <w:szCs w:val="20"/>
                <w:color w:val="auto"/>
              </w:rPr>
            </w:pPr>
            <w:r>
              <w:rPr>
                <w:rFonts w:ascii="Arial" w:cs="Arial" w:eastAsia="Arial" w:hAnsi="Arial"/>
                <w:sz w:val="13"/>
                <w:szCs w:val="13"/>
                <w:color w:val="1A3FD6"/>
              </w:rPr>
              <w:t xml:space="preserve">•  </w:t>
            </w:r>
            <w:r>
              <w:rPr>
                <w:rFonts w:ascii="Arial" w:cs="Arial" w:eastAsia="Arial" w:hAnsi="Arial"/>
                <w:sz w:val="13"/>
                <w:szCs w:val="13"/>
                <w:color w:val="000000"/>
              </w:rPr>
              <w:t>Achieved record-high participation rates in engagement surveys, with continued high levels of full engagement</w:t>
            </w:r>
          </w:p>
        </w:tc>
        <w:tc>
          <w:tcPr>
            <w:tcW w:w="0" w:type="dxa"/>
            <w:vAlign w:val="bottom"/>
          </w:tcPr>
          <w:p>
            <w:pPr>
              <w:spacing w:after="0"/>
              <w:rPr>
                <w:sz w:val="1"/>
                <w:szCs w:val="1"/>
                <w:color w:val="auto"/>
              </w:rPr>
            </w:pPr>
          </w:p>
        </w:tc>
      </w:tr>
      <w:tr>
        <w:trPr>
          <w:trHeight w:val="92"/>
        </w:trPr>
        <w:tc>
          <w:tcPr>
            <w:tcW w:w="2120" w:type="dxa"/>
            <w:vAlign w:val="bottom"/>
            <w:vMerge w:val="continue"/>
          </w:tcPr>
          <w:p>
            <w:pPr>
              <w:spacing w:after="0"/>
              <w:rPr>
                <w:sz w:val="7"/>
                <w:szCs w:val="7"/>
                <w:color w:val="auto"/>
              </w:rPr>
            </w:pPr>
          </w:p>
        </w:tc>
        <w:tc>
          <w:tcPr>
            <w:tcW w:w="912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Talent Development</w:t>
            </w:r>
          </w:p>
        </w:tc>
        <w:tc>
          <w:tcPr>
            <w:tcW w:w="0" w:type="dxa"/>
            <w:vAlign w:val="bottom"/>
          </w:tcPr>
          <w:p>
            <w:pPr>
              <w:spacing w:after="0"/>
              <w:rPr>
                <w:sz w:val="1"/>
                <w:szCs w:val="1"/>
                <w:color w:val="auto"/>
              </w:rPr>
            </w:pPr>
          </w:p>
        </w:tc>
      </w:tr>
      <w:tr>
        <w:trPr>
          <w:trHeight w:val="119"/>
        </w:trPr>
        <w:tc>
          <w:tcPr>
            <w:tcW w:w="2120" w:type="dxa"/>
            <w:vAlign w:val="bottom"/>
            <w:vMerge w:val="restart"/>
          </w:tcPr>
          <w:p>
            <w:pPr>
              <w:ind w:left="20"/>
              <w:spacing w:after="0"/>
              <w:rPr>
                <w:sz w:val="20"/>
                <w:szCs w:val="20"/>
                <w:color w:val="auto"/>
              </w:rPr>
            </w:pPr>
            <w:r>
              <w:rPr>
                <w:rFonts w:ascii="Arial" w:cs="Arial" w:eastAsia="Arial" w:hAnsi="Arial"/>
                <w:sz w:val="13"/>
                <w:szCs w:val="13"/>
                <w:color w:val="auto"/>
              </w:rPr>
              <w:t>Retain and develop our people to</w:t>
            </w:r>
          </w:p>
        </w:tc>
        <w:tc>
          <w:tcPr>
            <w:tcW w:w="9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120" w:type="dxa"/>
            <w:vAlign w:val="bottom"/>
            <w:vMerge w:val="continue"/>
          </w:tcPr>
          <w:p>
            <w:pPr>
              <w:spacing w:after="0"/>
              <w:rPr>
                <w:sz w:val="6"/>
                <w:szCs w:val="6"/>
                <w:color w:val="auto"/>
              </w:rPr>
            </w:pPr>
          </w:p>
        </w:tc>
        <w:tc>
          <w:tcPr>
            <w:tcW w:w="9120" w:type="dxa"/>
            <w:vAlign w:val="bottom"/>
            <w:vMerge w:val="restart"/>
          </w:tcPr>
          <w:p>
            <w:pPr>
              <w:ind w:left="60"/>
              <w:spacing w:after="0"/>
              <w:rPr>
                <w:sz w:val="20"/>
                <w:szCs w:val="20"/>
                <w:color w:val="auto"/>
              </w:rPr>
            </w:pPr>
            <w:r>
              <w:rPr>
                <w:rFonts w:ascii="Arial" w:cs="Arial" w:eastAsia="Arial" w:hAnsi="Arial"/>
                <w:sz w:val="13"/>
                <w:szCs w:val="13"/>
                <w:color w:val="1A3FD6"/>
              </w:rPr>
              <w:t xml:space="preserve">•  </w:t>
            </w:r>
            <w:r>
              <w:rPr>
                <w:rFonts w:ascii="Arial" w:cs="Arial" w:eastAsia="Arial" w:hAnsi="Arial"/>
                <w:sz w:val="13"/>
                <w:szCs w:val="13"/>
                <w:color w:val="000000"/>
              </w:rPr>
              <w:t>Focused on developing senior internal talent while strategically hiring externally to ensure strong leadership for both the present and future</w:t>
            </w:r>
          </w:p>
        </w:tc>
        <w:tc>
          <w:tcPr>
            <w:tcW w:w="0" w:type="dxa"/>
            <w:vAlign w:val="bottom"/>
          </w:tcPr>
          <w:p>
            <w:pPr>
              <w:spacing w:after="0"/>
              <w:rPr>
                <w:sz w:val="1"/>
                <w:szCs w:val="1"/>
                <w:color w:val="auto"/>
              </w:rPr>
            </w:pPr>
          </w:p>
        </w:tc>
      </w:tr>
      <w:tr>
        <w:trPr>
          <w:trHeight w:val="108"/>
        </w:trPr>
        <w:tc>
          <w:tcPr>
            <w:tcW w:w="2120" w:type="dxa"/>
            <w:vAlign w:val="bottom"/>
            <w:vMerge w:val="restart"/>
          </w:tcPr>
          <w:p>
            <w:pPr>
              <w:ind w:left="20"/>
              <w:spacing w:after="0"/>
              <w:rPr>
                <w:sz w:val="20"/>
                <w:szCs w:val="20"/>
                <w:color w:val="auto"/>
              </w:rPr>
            </w:pPr>
            <w:r>
              <w:rPr>
                <w:rFonts w:ascii="Arial" w:cs="Arial" w:eastAsia="Arial" w:hAnsi="Arial"/>
                <w:sz w:val="13"/>
                <w:szCs w:val="13"/>
                <w:color w:val="auto"/>
              </w:rPr>
              <w:t>foster a high-performing</w:t>
            </w:r>
          </w:p>
        </w:tc>
        <w:tc>
          <w:tcPr>
            <w:tcW w:w="9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120" w:type="dxa"/>
            <w:vAlign w:val="bottom"/>
            <w:vMerge w:val="continue"/>
          </w:tcPr>
          <w:p>
            <w:pPr>
              <w:spacing w:after="0"/>
              <w:rPr>
                <w:sz w:val="4"/>
                <w:szCs w:val="4"/>
                <w:color w:val="auto"/>
              </w:rPr>
            </w:pPr>
          </w:p>
        </w:tc>
        <w:tc>
          <w:tcPr>
            <w:tcW w:w="9120" w:type="dxa"/>
            <w:vAlign w:val="bottom"/>
            <w:vMerge w:val="restart"/>
          </w:tcPr>
          <w:p>
            <w:pPr>
              <w:ind w:left="60"/>
              <w:spacing w:after="0"/>
              <w:rPr>
                <w:sz w:val="20"/>
                <w:szCs w:val="20"/>
                <w:color w:val="auto"/>
              </w:rPr>
            </w:pPr>
            <w:r>
              <w:rPr>
                <w:rFonts w:ascii="Arial" w:cs="Arial" w:eastAsia="Arial" w:hAnsi="Arial"/>
                <w:sz w:val="13"/>
                <w:szCs w:val="13"/>
                <w:color w:val="1A3FD6"/>
              </w:rPr>
              <w:t xml:space="preserve">•  </w:t>
            </w:r>
            <w:r>
              <w:rPr>
                <w:rFonts w:ascii="Arial" w:cs="Arial" w:eastAsia="Arial" w:hAnsi="Arial"/>
                <w:sz w:val="13"/>
                <w:szCs w:val="13"/>
                <w:color w:val="000000"/>
              </w:rPr>
              <w:t>Introduced development frameworks for Executive Director-level employees to strengthen leadership pipeline</w:t>
            </w:r>
          </w:p>
        </w:tc>
        <w:tc>
          <w:tcPr>
            <w:tcW w:w="0" w:type="dxa"/>
            <w:vAlign w:val="bottom"/>
          </w:tcPr>
          <w:p>
            <w:pPr>
              <w:spacing w:after="0"/>
              <w:rPr>
                <w:sz w:val="1"/>
                <w:szCs w:val="1"/>
                <w:color w:val="auto"/>
              </w:rPr>
            </w:pPr>
          </w:p>
        </w:tc>
      </w:tr>
      <w:tr>
        <w:trPr>
          <w:trHeight w:val="122"/>
        </w:trPr>
        <w:tc>
          <w:tcPr>
            <w:tcW w:w="2120" w:type="dxa"/>
            <w:vAlign w:val="bottom"/>
            <w:vMerge w:val="restart"/>
          </w:tcPr>
          <w:p>
            <w:pPr>
              <w:ind w:left="20"/>
              <w:spacing w:after="0"/>
              <w:rPr>
                <w:sz w:val="20"/>
                <w:szCs w:val="20"/>
                <w:color w:val="auto"/>
              </w:rPr>
            </w:pPr>
            <w:r>
              <w:rPr>
                <w:rFonts w:ascii="Arial" w:cs="Arial" w:eastAsia="Arial" w:hAnsi="Arial"/>
                <w:sz w:val="13"/>
                <w:szCs w:val="13"/>
                <w:color w:val="auto"/>
              </w:rPr>
              <w:t>workforce that drives innovation</w:t>
            </w:r>
          </w:p>
        </w:tc>
        <w:tc>
          <w:tcPr>
            <w:tcW w:w="9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120" w:type="dxa"/>
            <w:vAlign w:val="bottom"/>
            <w:vMerge w:val="continue"/>
          </w:tcPr>
          <w:p>
            <w:pPr>
              <w:spacing w:after="0"/>
              <w:rPr>
                <w:sz w:val="4"/>
                <w:szCs w:val="4"/>
                <w:color w:val="auto"/>
              </w:rPr>
            </w:pPr>
          </w:p>
        </w:tc>
        <w:tc>
          <w:tcPr>
            <w:tcW w:w="912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Company Culture</w:t>
            </w:r>
          </w:p>
        </w:tc>
        <w:tc>
          <w:tcPr>
            <w:tcW w:w="0" w:type="dxa"/>
            <w:vAlign w:val="bottom"/>
          </w:tcPr>
          <w:p>
            <w:pPr>
              <w:spacing w:after="0"/>
              <w:rPr>
                <w:sz w:val="1"/>
                <w:szCs w:val="1"/>
                <w:color w:val="auto"/>
              </w:rPr>
            </w:pPr>
          </w:p>
        </w:tc>
      </w:tr>
      <w:tr>
        <w:trPr>
          <w:trHeight w:val="162"/>
        </w:trPr>
        <w:tc>
          <w:tcPr>
            <w:tcW w:w="2120" w:type="dxa"/>
            <w:vAlign w:val="bottom"/>
          </w:tcPr>
          <w:p>
            <w:pPr>
              <w:ind w:left="20"/>
              <w:spacing w:after="0"/>
              <w:rPr>
                <w:sz w:val="20"/>
                <w:szCs w:val="20"/>
                <w:color w:val="auto"/>
              </w:rPr>
            </w:pPr>
            <w:r>
              <w:rPr>
                <w:rFonts w:ascii="Arial" w:cs="Arial" w:eastAsia="Arial" w:hAnsi="Arial"/>
                <w:sz w:val="13"/>
                <w:szCs w:val="13"/>
                <w:color w:val="auto"/>
              </w:rPr>
              <w:t>and delivers impactful products</w:t>
            </w:r>
          </w:p>
        </w:tc>
        <w:tc>
          <w:tcPr>
            <w:tcW w:w="9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120" w:type="dxa"/>
            <w:vAlign w:val="bottom"/>
          </w:tcPr>
          <w:p>
            <w:pPr>
              <w:ind w:left="20"/>
              <w:spacing w:after="0"/>
              <w:rPr>
                <w:sz w:val="20"/>
                <w:szCs w:val="20"/>
                <w:color w:val="auto"/>
              </w:rPr>
            </w:pPr>
            <w:r>
              <w:rPr>
                <w:rFonts w:ascii="Arial" w:cs="Arial" w:eastAsia="Arial" w:hAnsi="Arial"/>
                <w:sz w:val="13"/>
                <w:szCs w:val="13"/>
                <w:color w:val="auto"/>
              </w:rPr>
              <w:t>and research to the market</w:t>
            </w:r>
          </w:p>
        </w:tc>
        <w:tc>
          <w:tcPr>
            <w:tcW w:w="9120" w:type="dxa"/>
            <w:vAlign w:val="bottom"/>
          </w:tcPr>
          <w:p>
            <w:pPr>
              <w:ind w:left="60"/>
              <w:spacing w:after="0"/>
              <w:rPr>
                <w:sz w:val="20"/>
                <w:szCs w:val="20"/>
                <w:color w:val="auto"/>
              </w:rPr>
            </w:pPr>
            <w:r>
              <w:rPr>
                <w:rFonts w:ascii="Arial" w:cs="Arial" w:eastAsia="Arial" w:hAnsi="Arial"/>
                <w:sz w:val="13"/>
                <w:szCs w:val="13"/>
                <w:color w:val="1A3FD6"/>
              </w:rPr>
              <w:t xml:space="preserve">•  </w:t>
            </w:r>
            <w:r>
              <w:rPr>
                <w:rFonts w:ascii="Arial" w:cs="Arial" w:eastAsia="Arial" w:hAnsi="Arial"/>
                <w:sz w:val="13"/>
                <w:szCs w:val="13"/>
                <w:color w:val="000000"/>
              </w:rPr>
              <w:t>Developed and communicated to employees behaviors that embody our cultural values, foster alignment and strengthen the Company’s culture.</w:t>
            </w:r>
          </w:p>
        </w:tc>
        <w:tc>
          <w:tcPr>
            <w:tcW w:w="0" w:type="dxa"/>
            <w:vAlign w:val="bottom"/>
          </w:tcPr>
          <w:p>
            <w:pPr>
              <w:spacing w:after="0"/>
              <w:rPr>
                <w:sz w:val="1"/>
                <w:szCs w:val="1"/>
                <w:color w:val="auto"/>
              </w:rPr>
            </w:pPr>
          </w:p>
        </w:tc>
      </w:tr>
      <w:tr>
        <w:trPr>
          <w:trHeight w:val="188"/>
        </w:trPr>
        <w:tc>
          <w:tcPr>
            <w:tcW w:w="2120" w:type="dxa"/>
            <w:vAlign w:val="bottom"/>
          </w:tcPr>
          <w:p>
            <w:pPr>
              <w:spacing w:after="0"/>
              <w:rPr>
                <w:sz w:val="16"/>
                <w:szCs w:val="16"/>
                <w:color w:val="auto"/>
              </w:rPr>
            </w:pPr>
          </w:p>
        </w:tc>
        <w:tc>
          <w:tcPr>
            <w:tcW w:w="9120" w:type="dxa"/>
            <w:vAlign w:val="bottom"/>
          </w:tcPr>
          <w:p>
            <w:pPr>
              <w:ind w:left="60"/>
              <w:spacing w:after="0"/>
              <w:rPr>
                <w:sz w:val="20"/>
                <w:szCs w:val="20"/>
                <w:color w:val="auto"/>
              </w:rPr>
            </w:pPr>
            <w:r>
              <w:rPr>
                <w:rFonts w:ascii="Arial" w:cs="Arial" w:eastAsia="Arial" w:hAnsi="Arial"/>
                <w:sz w:val="13"/>
                <w:szCs w:val="13"/>
                <w:color w:val="1A3FD6"/>
              </w:rPr>
              <w:t xml:space="preserve">•  </w:t>
            </w:r>
            <w:r>
              <w:rPr>
                <w:rFonts w:ascii="Arial" w:cs="Arial" w:eastAsia="Arial" w:hAnsi="Arial"/>
                <w:sz w:val="13"/>
                <w:szCs w:val="13"/>
                <w:color w:val="000000"/>
              </w:rPr>
              <w:t>Launched the inaugural Global Inclusion Week, featuring events and initiatives across multiple global locations to foster employee engagement,</w:t>
            </w: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9120" w:type="dxa"/>
            <w:vAlign w:val="bottom"/>
          </w:tcPr>
          <w:p>
            <w:pPr>
              <w:ind w:left="260"/>
              <w:spacing w:after="0"/>
              <w:rPr>
                <w:sz w:val="20"/>
                <w:szCs w:val="20"/>
                <w:color w:val="auto"/>
              </w:rPr>
            </w:pPr>
            <w:r>
              <w:rPr>
                <w:rFonts w:ascii="Arial" w:cs="Arial" w:eastAsia="Arial" w:hAnsi="Arial"/>
                <w:sz w:val="13"/>
                <w:szCs w:val="13"/>
                <w:color w:val="auto"/>
              </w:rPr>
              <w:t>communication and collaboration.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-2743835</wp:posOffset>
            </wp:positionV>
            <wp:extent cx="274320" cy="291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4320" cy="29146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-1294765</wp:posOffset>
            </wp:positionV>
            <wp:extent cx="282575" cy="274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2575"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right="600"/>
        <w:spacing w:after="0" w:line="269" w:lineRule="auto"/>
        <w:rPr>
          <w:sz w:val="20"/>
          <w:szCs w:val="20"/>
          <w:color w:val="auto"/>
        </w:rPr>
      </w:pPr>
      <w:r>
        <w:rPr>
          <w:rFonts w:ascii="Arial" w:cs="Arial" w:eastAsia="Arial" w:hAnsi="Arial"/>
          <w:sz w:val="18"/>
          <w:szCs w:val="18"/>
          <w:b w:val="1"/>
          <w:bCs w:val="1"/>
          <w:color w:val="auto"/>
        </w:rPr>
        <w:t>Environmental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-702310</wp:posOffset>
            </wp:positionV>
            <wp:extent cx="162560" cy="3340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2560" cy="334010"/>
                    </a:xfrm>
                    <a:prstGeom prst="rect">
                      <a:avLst/>
                    </a:prstGeom>
                    <a:noFill/>
                  </pic:spPr>
                </pic:pic>
              </a:graphicData>
            </a:graphic>
          </wp:anchor>
        </w:drawing>
      </w:r>
    </w:p>
    <w:p>
      <w:pPr>
        <w:ind w:left="20"/>
        <w:spacing w:after="0" w:line="274" w:lineRule="auto"/>
        <w:rPr>
          <w:sz w:val="20"/>
          <w:szCs w:val="20"/>
          <w:color w:val="auto"/>
        </w:rPr>
      </w:pPr>
      <w:r>
        <w:rPr>
          <w:rFonts w:ascii="Arial" w:cs="Arial" w:eastAsia="Arial" w:hAnsi="Arial"/>
          <w:sz w:val="13"/>
          <w:szCs w:val="13"/>
          <w:color w:val="auto"/>
        </w:rPr>
        <w:t>Manage carbon emissions and climate risks and opportunities, and implement sustainable operational practices</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Climate and Nature Commitments</w:t>
      </w:r>
    </w:p>
    <w:p>
      <w:pPr>
        <w:spacing w:after="0" w:line="37" w:lineRule="exact"/>
        <w:rPr>
          <w:sz w:val="20"/>
          <w:szCs w:val="20"/>
          <w:color w:val="auto"/>
        </w:rPr>
      </w:pPr>
    </w:p>
    <w:p>
      <w:pPr>
        <w:ind w:left="200" w:right="160" w:hanging="194"/>
        <w:spacing w:after="0" w:line="165" w:lineRule="exact"/>
        <w:tabs>
          <w:tab w:leader="none" w:pos="201" w:val="left"/>
        </w:tabs>
        <w:numPr>
          <w:ilvl w:val="0"/>
          <w:numId w:val="11"/>
        </w:numPr>
        <w:rPr>
          <w:rFonts w:ascii="Arial" w:cs="Arial" w:eastAsia="Arial" w:hAnsi="Arial"/>
          <w:sz w:val="13"/>
          <w:szCs w:val="13"/>
          <w:color w:val="1A3FD6"/>
        </w:rPr>
      </w:pPr>
      <w:r>
        <w:rPr>
          <w:rFonts w:ascii="Arial" w:cs="Arial" w:eastAsia="Arial" w:hAnsi="Arial"/>
          <w:sz w:val="13"/>
          <w:szCs w:val="13"/>
          <w:color w:val="auto"/>
        </w:rPr>
        <w:t>Advanced efforts to reduce CO</w:t>
      </w:r>
      <w:r>
        <w:rPr>
          <w:rFonts w:ascii="MS PGothic" w:cs="MS PGothic" w:eastAsia="MS PGothic" w:hAnsi="MS PGothic"/>
          <w:sz w:val="13"/>
          <w:szCs w:val="13"/>
          <w:color w:val="auto"/>
        </w:rPr>
        <w:t>₂</w:t>
      </w:r>
      <w:r>
        <w:rPr>
          <w:rFonts w:ascii="Arial" w:cs="Arial" w:eastAsia="Arial" w:hAnsi="Arial"/>
          <w:sz w:val="13"/>
          <w:szCs w:val="13"/>
          <w:color w:val="auto"/>
        </w:rPr>
        <w:t>e emissions, sourcing clean energy where possible, incorporating energy considerations into our location strategy, engaging strategically with third-party suppliers, and improving internal processes for more accurate emissions calculations</w:t>
      </w:r>
    </w:p>
    <w:p>
      <w:pPr>
        <w:ind w:left="200" w:right="200" w:hanging="194"/>
        <w:spacing w:after="0" w:line="290" w:lineRule="auto"/>
        <w:tabs>
          <w:tab w:leader="none" w:pos="201" w:val="left"/>
        </w:tabs>
        <w:numPr>
          <w:ilvl w:val="0"/>
          <w:numId w:val="11"/>
        </w:numPr>
        <w:rPr>
          <w:rFonts w:ascii="Arial" w:cs="Arial" w:eastAsia="Arial" w:hAnsi="Arial"/>
          <w:sz w:val="13"/>
          <w:szCs w:val="13"/>
          <w:color w:val="1A3FD6"/>
        </w:rPr>
      </w:pPr>
      <w:r>
        <w:rPr>
          <w:rFonts w:ascii="Arial" w:cs="Arial" w:eastAsia="Arial" w:hAnsi="Arial"/>
          <w:sz w:val="13"/>
          <w:szCs w:val="13"/>
          <w:color w:val="auto"/>
        </w:rPr>
        <w:t>Demonstrated leadership by becoming an inaugural member of the Taskforce on Nature-Related Financial Disclosures (TNFD) and committing to be an early adopter of the TNFD framework</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Reporting</w:t>
      </w:r>
    </w:p>
    <w:p>
      <w:pPr>
        <w:spacing w:after="0" w:line="37" w:lineRule="exact"/>
        <w:rPr>
          <w:sz w:val="20"/>
          <w:szCs w:val="20"/>
          <w:color w:val="auto"/>
        </w:rPr>
      </w:pPr>
    </w:p>
    <w:p>
      <w:pPr>
        <w:ind w:left="200" w:hanging="194"/>
        <w:spacing w:after="0"/>
        <w:tabs>
          <w:tab w:leader="none" w:pos="200" w:val="left"/>
        </w:tabs>
        <w:numPr>
          <w:ilvl w:val="0"/>
          <w:numId w:val="12"/>
        </w:numPr>
        <w:rPr>
          <w:rFonts w:ascii="Arial" w:cs="Arial" w:eastAsia="Arial" w:hAnsi="Arial"/>
          <w:sz w:val="13"/>
          <w:szCs w:val="13"/>
          <w:color w:val="1A3FD6"/>
        </w:rPr>
      </w:pPr>
      <w:r>
        <w:rPr>
          <w:rFonts w:ascii="Arial" w:cs="Arial" w:eastAsia="Arial" w:hAnsi="Arial"/>
          <w:sz w:val="13"/>
          <w:szCs w:val="13"/>
          <w:color w:val="auto"/>
        </w:rPr>
        <w:t>Published our annual sustainability disclosures, including our 6th CDP report</w:t>
      </w:r>
    </w:p>
    <w:p>
      <w:pPr>
        <w:spacing w:after="0" w:line="30" w:lineRule="exact"/>
        <w:rPr>
          <w:rFonts w:ascii="Arial" w:cs="Arial" w:eastAsia="Arial" w:hAnsi="Arial"/>
          <w:sz w:val="13"/>
          <w:szCs w:val="13"/>
          <w:color w:val="1A3FD6"/>
        </w:rPr>
      </w:pPr>
    </w:p>
    <w:p>
      <w:pPr>
        <w:ind w:left="200" w:hanging="194"/>
        <w:spacing w:after="0"/>
        <w:tabs>
          <w:tab w:leader="none" w:pos="200" w:val="left"/>
        </w:tabs>
        <w:numPr>
          <w:ilvl w:val="0"/>
          <w:numId w:val="12"/>
        </w:numPr>
        <w:rPr>
          <w:rFonts w:ascii="Arial" w:cs="Arial" w:eastAsia="Arial" w:hAnsi="Arial"/>
          <w:sz w:val="13"/>
          <w:szCs w:val="13"/>
          <w:color w:val="1A3FD6"/>
        </w:rPr>
      </w:pPr>
      <w:r>
        <w:rPr>
          <w:rFonts w:ascii="Arial" w:cs="Arial" w:eastAsia="Arial" w:hAnsi="Arial"/>
          <w:sz w:val="13"/>
          <w:szCs w:val="13"/>
          <w:color w:val="auto"/>
        </w:rPr>
        <w:t>Published a refreshed Environmental Policy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Supply Chain Engagement</w:t>
      </w:r>
    </w:p>
    <w:p>
      <w:pPr>
        <w:spacing w:after="0" w:line="42" w:lineRule="exact"/>
        <w:rPr>
          <w:sz w:val="20"/>
          <w:szCs w:val="20"/>
          <w:color w:val="auto"/>
        </w:rPr>
      </w:pPr>
    </w:p>
    <w:p>
      <w:pPr>
        <w:ind w:left="200" w:hanging="194"/>
        <w:spacing w:after="0"/>
        <w:tabs>
          <w:tab w:leader="none" w:pos="200" w:val="left"/>
        </w:tabs>
        <w:numPr>
          <w:ilvl w:val="0"/>
          <w:numId w:val="13"/>
        </w:numPr>
        <w:rPr>
          <w:rFonts w:ascii="Arial" w:cs="Arial" w:eastAsia="Arial" w:hAnsi="Arial"/>
          <w:sz w:val="13"/>
          <w:szCs w:val="13"/>
          <w:color w:val="1A3FD6"/>
        </w:rPr>
      </w:pPr>
      <w:r>
        <w:rPr>
          <w:rFonts w:ascii="Arial" w:cs="Arial" w:eastAsia="Arial" w:hAnsi="Arial"/>
          <w:sz w:val="13"/>
          <w:szCs w:val="13"/>
          <w:color w:val="auto"/>
        </w:rPr>
        <w:t>Engaged with top suppliers by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161925</wp:posOffset>
            </wp:positionV>
            <wp:extent cx="7132320" cy="1688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688465"/>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1880" w:space="300"/>
            <w:col w:w="9060"/>
          </w:cols>
          <w:pgMar w:left="320" w:top="16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Integrating</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Sustainability and</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Climate</w:t>
      </w:r>
    </w:p>
    <w:p>
      <w:pPr>
        <w:spacing w:after="0" w:line="41" w:lineRule="exact"/>
        <w:rPr>
          <w:sz w:val="20"/>
          <w:szCs w:val="20"/>
          <w:color w:val="auto"/>
        </w:rPr>
      </w:pPr>
    </w:p>
    <w:p>
      <w:pPr>
        <w:ind w:left="20"/>
        <w:spacing w:after="0" w:line="270" w:lineRule="auto"/>
        <w:rPr>
          <w:sz w:val="20"/>
          <w:szCs w:val="20"/>
          <w:color w:val="auto"/>
        </w:rPr>
      </w:pPr>
      <w:r>
        <w:rPr>
          <w:rFonts w:ascii="Arial" w:cs="Arial" w:eastAsia="Arial" w:hAnsi="Arial"/>
          <w:sz w:val="13"/>
          <w:szCs w:val="13"/>
          <w:color w:val="auto"/>
        </w:rPr>
        <w:t>Offer solutions to enable capital markets participants to achieve investment and sustainability goals, identify opportunities and manage risks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Tools and Solutions</w:t>
      </w:r>
    </w:p>
    <w:p>
      <w:pPr>
        <w:spacing w:after="0" w:line="37" w:lineRule="exact"/>
        <w:rPr>
          <w:sz w:val="20"/>
          <w:szCs w:val="20"/>
          <w:color w:val="auto"/>
        </w:rPr>
      </w:pPr>
    </w:p>
    <w:p>
      <w:pPr>
        <w:ind w:left="200" w:right="780" w:hanging="194"/>
        <w:spacing w:after="0" w:line="269" w:lineRule="auto"/>
        <w:tabs>
          <w:tab w:leader="none" w:pos="201" w:val="left"/>
        </w:tabs>
        <w:numPr>
          <w:ilvl w:val="0"/>
          <w:numId w:val="14"/>
        </w:numPr>
        <w:rPr>
          <w:rFonts w:ascii="Arial" w:cs="Arial" w:eastAsia="Arial" w:hAnsi="Arial"/>
          <w:sz w:val="13"/>
          <w:szCs w:val="13"/>
          <w:color w:val="1A3FD6"/>
        </w:rPr>
      </w:pPr>
      <w:r>
        <w:rPr>
          <w:rFonts w:ascii="Arial" w:cs="Arial" w:eastAsia="Arial" w:hAnsi="Arial"/>
          <w:sz w:val="13"/>
          <w:szCs w:val="13"/>
          <w:color w:val="auto"/>
        </w:rPr>
        <w:t>Launched MSCI Carbon Project Ratings, providing comprehensive, independent assessments of over 4,000 carbon projects worldwide, evaluating quality and integrity based on criteria such as climate impact, environmental and societal benefits, and legal and ethical considerations. These ratings aim to enhance transparency and confidence in the carbon credit market</w:t>
      </w:r>
    </w:p>
    <w:p>
      <w:pPr>
        <w:spacing w:after="0" w:line="1" w:lineRule="exact"/>
        <w:rPr>
          <w:rFonts w:ascii="Arial" w:cs="Arial" w:eastAsia="Arial" w:hAnsi="Arial"/>
          <w:sz w:val="13"/>
          <w:szCs w:val="13"/>
          <w:color w:val="1A3FD6"/>
        </w:rPr>
      </w:pPr>
    </w:p>
    <w:p>
      <w:pPr>
        <w:ind w:left="200" w:right="440" w:hanging="194"/>
        <w:spacing w:after="0" w:line="271" w:lineRule="auto"/>
        <w:tabs>
          <w:tab w:leader="none" w:pos="201" w:val="left"/>
        </w:tabs>
        <w:numPr>
          <w:ilvl w:val="0"/>
          <w:numId w:val="14"/>
        </w:numPr>
        <w:rPr>
          <w:rFonts w:ascii="Arial" w:cs="Arial" w:eastAsia="Arial" w:hAnsi="Arial"/>
          <w:sz w:val="13"/>
          <w:szCs w:val="13"/>
          <w:color w:val="1A3FD6"/>
        </w:rPr>
      </w:pPr>
      <w:r>
        <w:rPr>
          <w:rFonts w:ascii="Arial" w:cs="Arial" w:eastAsia="Arial" w:hAnsi="Arial"/>
          <w:sz w:val="13"/>
          <w:szCs w:val="13"/>
          <w:color w:val="auto"/>
        </w:rPr>
        <w:t>Introduced MSCI Private Company Data Connect, a centralized hub providing general partners with sustainability and climate data to support due diligence, regulatory compliance and investment decision-making</w:t>
      </w:r>
    </w:p>
    <w:p>
      <w:pPr>
        <w:ind w:left="200" w:right="560" w:hanging="194"/>
        <w:spacing w:after="0" w:line="290" w:lineRule="auto"/>
        <w:tabs>
          <w:tab w:leader="none" w:pos="201" w:val="left"/>
        </w:tabs>
        <w:numPr>
          <w:ilvl w:val="0"/>
          <w:numId w:val="14"/>
        </w:numPr>
        <w:rPr>
          <w:rFonts w:ascii="Arial" w:cs="Arial" w:eastAsia="Arial" w:hAnsi="Arial"/>
          <w:sz w:val="13"/>
          <w:szCs w:val="13"/>
          <w:color w:val="1A3FD6"/>
        </w:rPr>
      </w:pPr>
      <w:r>
        <w:rPr>
          <w:rFonts w:ascii="Arial" w:cs="Arial" w:eastAsia="Arial" w:hAnsi="Arial"/>
          <w:sz w:val="13"/>
          <w:szCs w:val="13"/>
          <w:color w:val="auto"/>
        </w:rPr>
        <w:t>Launched MSCI GeoSpatial Asset Intelligence, a solution enabling clients to evaluate location-based climate risks and opportunities across corporate portfolios, real estate holdings, and loan books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Thought Leadership and Research</w:t>
      </w:r>
    </w:p>
    <w:p>
      <w:pPr>
        <w:spacing w:after="0" w:line="37" w:lineRule="exact"/>
        <w:rPr>
          <w:sz w:val="20"/>
          <w:szCs w:val="20"/>
          <w:color w:val="auto"/>
        </w:rPr>
      </w:pPr>
    </w:p>
    <w:p>
      <w:pPr>
        <w:ind w:left="200" w:right="380" w:hanging="194"/>
        <w:spacing w:after="0" w:line="264" w:lineRule="auto"/>
        <w:tabs>
          <w:tab w:leader="none" w:pos="201" w:val="left"/>
        </w:tabs>
        <w:numPr>
          <w:ilvl w:val="0"/>
          <w:numId w:val="15"/>
        </w:numPr>
        <w:rPr>
          <w:rFonts w:ascii="Arial" w:cs="Arial" w:eastAsia="Arial" w:hAnsi="Arial"/>
          <w:sz w:val="13"/>
          <w:szCs w:val="13"/>
          <w:color w:val="1A3FD6"/>
        </w:rPr>
      </w:pPr>
      <w:r>
        <w:rPr>
          <w:rFonts w:ascii="Arial" w:cs="Arial" w:eastAsia="Arial" w:hAnsi="Arial"/>
          <w:sz w:val="13"/>
          <w:szCs w:val="13"/>
          <w:color w:val="auto"/>
        </w:rPr>
        <w:t>Through the MSCI Sustainability Institute, collaborated with academic institutions, industry bodies and NGOs to research sustainable finance’s impact on asset allocation and financial performance</w:t>
      </w:r>
    </w:p>
    <w:p>
      <w:pPr>
        <w:ind w:left="200" w:right="280" w:hanging="194"/>
        <w:spacing w:after="0" w:line="301" w:lineRule="auto"/>
        <w:tabs>
          <w:tab w:leader="none" w:pos="201" w:val="left"/>
        </w:tabs>
        <w:numPr>
          <w:ilvl w:val="0"/>
          <w:numId w:val="15"/>
        </w:numPr>
        <w:rPr>
          <w:rFonts w:ascii="Arial" w:cs="Arial" w:eastAsia="Arial" w:hAnsi="Arial"/>
          <w:sz w:val="13"/>
          <w:szCs w:val="13"/>
          <w:color w:val="1A3FD6"/>
        </w:rPr>
      </w:pPr>
      <w:r>
        <w:rPr>
          <w:rFonts w:ascii="Arial" w:cs="Arial" w:eastAsia="Arial" w:hAnsi="Arial"/>
          <w:sz w:val="13"/>
          <w:szCs w:val="13"/>
          <w:color w:val="auto"/>
        </w:rPr>
        <w:t>Participated in major global climate events, including NYC Climate Week and COP29, leading discussions on transition frameworks, climate risk scenarios in investment decision-making and carbon credit integrity</w:t>
      </w:r>
    </w:p>
    <w:p>
      <w:pPr>
        <w:spacing w:after="0" w:line="200" w:lineRule="exact"/>
        <w:rPr>
          <w:sz w:val="20"/>
          <w:szCs w:val="20"/>
          <w:color w:val="auto"/>
        </w:rPr>
      </w:pPr>
    </w:p>
    <w:p>
      <w:pPr>
        <w:sectPr>
          <w:pgSz w:w="11900" w:h="16838" w:orient="portrait"/>
          <w:cols w:equalWidth="0" w:num="2">
            <w:col w:w="1920" w:space="260"/>
            <w:col w:w="9060"/>
          </w:cols>
          <w:pgMar w:left="320" w:top="167" w:right="339" w:bottom="1440" w:gutter="0" w:footer="0" w:header="0"/>
          <w:type w:val="continuous"/>
        </w:sectPr>
      </w:pP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about our Corporate Responsibility Program, please see page 47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702310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type w:val="continuous"/>
        </w:sectPr>
      </w:pPr>
    </w:p>
    <w:bookmarkStart w:id="13" w:name="page14"/>
    <w:bookmarkEnd w:id="13"/>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12</w:t>
      </w:r>
      <w:r>
        <w:rPr>
          <w:sz w:val="20"/>
          <w:szCs w:val="20"/>
          <w:color w:val="auto"/>
        </w:rPr>
        <w:tab/>
      </w:r>
      <w:r>
        <w:rPr>
          <w:rFonts w:ascii="Arial" w:cs="Arial" w:eastAsia="Arial" w:hAnsi="Arial"/>
          <w:sz w:val="14"/>
          <w:szCs w:val="14"/>
          <w:b w:val="1"/>
          <w:bCs w:val="1"/>
          <w:color w:val="1A3FD6"/>
        </w:rPr>
        <w:t>2025 PROXY STATEMENT</w:t>
      </w:r>
    </w:p>
    <w:p>
      <w:pPr>
        <w:sectPr>
          <w:pgSz w:w="11900" w:h="16838" w:orient="portrait"/>
          <w:cols w:equalWidth="0" w:num="1">
            <w:col w:w="11220"/>
          </w:cols>
          <w:pgMar w:left="320" w:top="2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Governance Highlights</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Our Board of Directors Nominees</w:t>
      </w:r>
    </w:p>
    <w:p>
      <w:pPr>
        <w:spacing w:after="0" w:line="14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Each of our current directors, other than Wayne Edmunds (who will retire from our Board effective as of the 2025 Annual Meeting and will therefore not stand for re-election this year), is standing for election to hold office until the next annual meeting of shareholders or until the director’s earlier retirement, resignation, death or removal. The table below provides information on each of our director nominees, including their membership on our four standing committees: the Audit and Risk Committee (the “Audit Committee”), the Compensation, Talent and Culture Committee (the “Compensation Committee”), the Governance and Corporate Responsibility Committee (the “Governance Committee”) and the Strategy and Finance Committee (the “Strategy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76835</wp:posOffset>
            </wp:positionV>
            <wp:extent cx="6300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81" w:lineRule="exact"/>
        <w:rPr>
          <w:sz w:val="20"/>
          <w:szCs w:val="20"/>
          <w:color w:val="auto"/>
        </w:rPr>
      </w:pPr>
    </w:p>
    <w:p>
      <w:pPr>
        <w:ind w:left="2520"/>
        <w:spacing w:after="0"/>
        <w:tabs>
          <w:tab w:leader="none" w:pos="3889" w:val="left"/>
        </w:tabs>
        <w:rPr>
          <w:sz w:val="20"/>
          <w:szCs w:val="20"/>
          <w:color w:val="auto"/>
        </w:rPr>
      </w:pPr>
      <w:r>
        <w:rPr>
          <w:rFonts w:ascii="Arial" w:cs="Arial" w:eastAsia="Arial" w:hAnsi="Arial"/>
          <w:sz w:val="16"/>
          <w:szCs w:val="16"/>
          <w:b w:val="1"/>
          <w:bCs w:val="1"/>
          <w:color w:val="auto"/>
        </w:rPr>
        <w:t>COMMITTEES:</w:t>
      </w:r>
      <w:r>
        <w:rPr>
          <w:sz w:val="20"/>
          <w:szCs w:val="20"/>
          <w:color w:val="auto"/>
        </w:rPr>
        <w:tab/>
      </w:r>
      <w:r>
        <w:rPr>
          <w:sz w:val="1"/>
          <w:szCs w:val="1"/>
          <w:color w:val="auto"/>
        </w:rPr>
        <w:drawing>
          <wp:inline distT="0" distB="0" distL="0" distR="0">
            <wp:extent cx="120015" cy="13716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015" cy="137160"/>
                    </a:xfrm>
                    <a:prstGeom prst="rect">
                      <a:avLst/>
                    </a:prstGeom>
                    <a:noFill/>
                    <a:ln>
                      <a:noFill/>
                    </a:ln>
                  </pic:spPr>
                </pic:pic>
              </a:graphicData>
            </a:graphic>
          </wp:inline>
        </w:drawing>
      </w:r>
      <w:r>
        <w:rPr>
          <w:rFonts w:ascii="Arial" w:cs="Arial" w:eastAsia="Arial" w:hAnsi="Arial"/>
          <w:sz w:val="16"/>
          <w:szCs w:val="16"/>
          <w:color w:val="auto"/>
        </w:rPr>
        <w:t xml:space="preserve">  Audit     </w:t>
      </w:r>
      <w:r>
        <w:rPr>
          <w:sz w:val="1"/>
          <w:szCs w:val="1"/>
          <w:color w:val="auto"/>
        </w:rPr>
        <w:drawing>
          <wp:inline distT="0" distB="0" distL="0" distR="0">
            <wp:extent cx="120015" cy="13716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015" cy="137160"/>
                    </a:xfrm>
                    <a:prstGeom prst="rect">
                      <a:avLst/>
                    </a:prstGeom>
                    <a:noFill/>
                    <a:ln>
                      <a:noFill/>
                    </a:ln>
                  </pic:spPr>
                </pic:pic>
              </a:graphicData>
            </a:graphic>
          </wp:inline>
        </w:drawing>
      </w:r>
      <w:r>
        <w:rPr>
          <w:rFonts w:ascii="Arial" w:cs="Arial" w:eastAsia="Arial" w:hAnsi="Arial"/>
          <w:sz w:val="16"/>
          <w:szCs w:val="16"/>
          <w:color w:val="auto"/>
        </w:rPr>
        <w:t xml:space="preserve">  Compensation     </w:t>
      </w:r>
      <w:r>
        <w:rPr>
          <w:sz w:val="1"/>
          <w:szCs w:val="1"/>
          <w:color w:val="auto"/>
        </w:rPr>
        <w:drawing>
          <wp:inline distT="0" distB="0" distL="0" distR="0">
            <wp:extent cx="120015" cy="1371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0015" cy="137160"/>
                    </a:xfrm>
                    <a:prstGeom prst="rect">
                      <a:avLst/>
                    </a:prstGeom>
                    <a:noFill/>
                    <a:ln>
                      <a:noFill/>
                    </a:ln>
                  </pic:spPr>
                </pic:pic>
              </a:graphicData>
            </a:graphic>
          </wp:inline>
        </w:drawing>
      </w:r>
      <w:r>
        <w:rPr>
          <w:rFonts w:ascii="Arial" w:cs="Arial" w:eastAsia="Arial" w:hAnsi="Arial"/>
          <w:sz w:val="16"/>
          <w:szCs w:val="16"/>
          <w:color w:val="auto"/>
        </w:rPr>
        <w:t xml:space="preserve">  Governance     </w:t>
      </w:r>
      <w:r>
        <w:rPr>
          <w:sz w:val="1"/>
          <w:szCs w:val="1"/>
          <w:color w:val="auto"/>
        </w:rPr>
        <w:drawing>
          <wp:inline distT="0" distB="0" distL="0" distR="0">
            <wp:extent cx="120015" cy="13716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015" cy="137160"/>
                    </a:xfrm>
                    <a:prstGeom prst="rect">
                      <a:avLst/>
                    </a:prstGeom>
                    <a:noFill/>
                    <a:ln>
                      <a:noFill/>
                    </a:ln>
                  </pic:spPr>
                </pic:pic>
              </a:graphicData>
            </a:graphic>
          </wp:inline>
        </w:drawing>
      </w:r>
      <w:r>
        <w:rPr>
          <w:rFonts w:ascii="Arial" w:cs="Arial" w:eastAsia="Arial" w:hAnsi="Arial"/>
          <w:sz w:val="16"/>
          <w:szCs w:val="16"/>
          <w:color w:val="auto"/>
        </w:rPr>
        <w:t xml:space="preserve">  Strategy     </w:t>
      </w:r>
      <w:r>
        <w:rPr>
          <w:sz w:val="1"/>
          <w:szCs w:val="1"/>
          <w:color w:val="auto"/>
        </w:rPr>
        <w:drawing>
          <wp:inline distT="0" distB="0" distL="0" distR="0">
            <wp:extent cx="120015" cy="12001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6"/>
          <w:szCs w:val="16"/>
          <w:color w:val="auto"/>
        </w:rPr>
        <w:t xml:space="preserve">  Chair</w:t>
      </w:r>
    </w:p>
    <w:p>
      <w:pPr>
        <w:spacing w:after="0" w:line="318" w:lineRule="exact"/>
        <w:rPr>
          <w:sz w:val="20"/>
          <w:szCs w:val="20"/>
          <w:color w:val="auto"/>
        </w:rPr>
      </w:pPr>
    </w:p>
    <w:p>
      <w:pPr>
        <w:ind w:left="1100"/>
        <w:spacing w:after="0"/>
        <w:rPr>
          <w:sz w:val="20"/>
          <w:szCs w:val="20"/>
          <w:color w:val="auto"/>
        </w:rPr>
      </w:pPr>
      <w:r>
        <w:rPr>
          <w:rFonts w:ascii="Arial" w:cs="Arial" w:eastAsia="Arial" w:hAnsi="Arial"/>
          <w:sz w:val="20"/>
          <w:szCs w:val="20"/>
          <w:color w:val="1A3FD6"/>
        </w:rPr>
        <w:t>Board Expertise</w:t>
      </w:r>
    </w:p>
    <w:p>
      <w:pPr>
        <w:spacing w:after="0" w:line="165"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Executive Leadership</w:t>
      </w:r>
    </w:p>
    <w:p>
      <w:pPr>
        <w:spacing w:after="0" w:line="67" w:lineRule="exact"/>
        <w:rPr>
          <w:sz w:val="20"/>
          <w:szCs w:val="20"/>
          <w:color w:val="auto"/>
        </w:rPr>
      </w:pPr>
    </w:p>
    <w:p>
      <w:pPr>
        <w:ind w:left="3580"/>
        <w:spacing w:after="0"/>
        <w:rPr>
          <w:sz w:val="20"/>
          <w:szCs w:val="20"/>
          <w:color w:val="auto"/>
        </w:rPr>
      </w:pPr>
      <w:r>
        <w:rPr>
          <w:rFonts w:ascii="Arial" w:cs="Arial" w:eastAsia="Arial" w:hAnsi="Arial"/>
          <w:sz w:val="13"/>
          <w:szCs w:val="13"/>
          <w:color w:val="auto"/>
        </w:rPr>
        <w:t>11/12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-40005</wp:posOffset>
            </wp:positionV>
            <wp:extent cx="1397000" cy="685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97000" cy="68580"/>
                    </a:xfrm>
                    <a:prstGeom prst="rect">
                      <a:avLst/>
                    </a:prstGeom>
                    <a:noFill/>
                  </pic:spPr>
                </pic:pic>
              </a:graphicData>
            </a:graphic>
          </wp:anchor>
        </w:drawing>
      </w:r>
    </w:p>
    <w:p>
      <w:pPr>
        <w:spacing w:after="0" w:line="249"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Investment Industry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1905</wp:posOffset>
            </wp:positionV>
            <wp:extent cx="3891915" cy="5563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91915" cy="5563235"/>
                    </a:xfrm>
                    <a:prstGeom prst="rect">
                      <a:avLst/>
                    </a:prstGeom>
                    <a:noFill/>
                  </pic:spPr>
                </pic:pic>
              </a:graphicData>
            </a:graphic>
          </wp:anchor>
        </w:drawing>
      </w:r>
    </w:p>
    <w:p>
      <w:pPr>
        <w:spacing w:after="0" w:line="47" w:lineRule="exact"/>
        <w:rPr>
          <w:sz w:val="20"/>
          <w:szCs w:val="20"/>
          <w:color w:val="auto"/>
        </w:rPr>
      </w:pPr>
    </w:p>
    <w:p>
      <w:pPr>
        <w:ind w:left="3580"/>
        <w:spacing w:after="0"/>
        <w:rPr>
          <w:sz w:val="20"/>
          <w:szCs w:val="20"/>
          <w:color w:val="auto"/>
        </w:rPr>
      </w:pPr>
      <w:r>
        <w:rPr>
          <w:rFonts w:ascii="Arial" w:cs="Arial" w:eastAsia="Arial" w:hAnsi="Arial"/>
          <w:sz w:val="13"/>
          <w:szCs w:val="13"/>
          <w:color w:val="auto"/>
        </w:rPr>
        <w:t>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-40005</wp:posOffset>
            </wp:positionV>
            <wp:extent cx="1397000" cy="685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97000" cy="68580"/>
                    </a:xfrm>
                    <a:prstGeom prst="rect">
                      <a:avLst/>
                    </a:prstGeom>
                    <a:noFill/>
                  </pic:spPr>
                </pic:pic>
              </a:graphicData>
            </a:graphic>
          </wp:anchor>
        </w:drawing>
      </w:r>
    </w:p>
    <w:p>
      <w:pPr>
        <w:spacing w:after="0" w:line="249"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Global Perspective</w:t>
      </w:r>
    </w:p>
    <w:p>
      <w:pPr>
        <w:spacing w:after="0" w:line="67" w:lineRule="exact"/>
        <w:rPr>
          <w:sz w:val="20"/>
          <w:szCs w:val="20"/>
          <w:color w:val="auto"/>
        </w:rPr>
      </w:pPr>
    </w:p>
    <w:p>
      <w:pPr>
        <w:ind w:left="3580"/>
        <w:spacing w:after="0"/>
        <w:rPr>
          <w:sz w:val="20"/>
          <w:szCs w:val="20"/>
          <w:color w:val="auto"/>
        </w:rPr>
      </w:pPr>
      <w:r>
        <w:rPr>
          <w:rFonts w:ascii="Arial" w:cs="Arial" w:eastAsia="Arial" w:hAnsi="Arial"/>
          <w:sz w:val="13"/>
          <w:szCs w:val="13"/>
          <w:color w:val="auto"/>
        </w:rPr>
        <w:t>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-40005</wp:posOffset>
            </wp:positionV>
            <wp:extent cx="1397000" cy="685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97000" cy="68580"/>
                    </a:xfrm>
                    <a:prstGeom prst="rect">
                      <a:avLst/>
                    </a:prstGeom>
                    <a:noFill/>
                  </pic:spPr>
                </pic:pic>
              </a:graphicData>
            </a:graphic>
          </wp:anchor>
        </w:drawing>
      </w:r>
    </w:p>
    <w:p>
      <w:pPr>
        <w:spacing w:after="0" w:line="249"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Regulatory, Government and Public Policy</w:t>
      </w:r>
    </w:p>
    <w:p>
      <w:pPr>
        <w:spacing w:after="0" w:line="229" w:lineRule="exact"/>
        <w:rPr>
          <w:sz w:val="20"/>
          <w:szCs w:val="20"/>
          <w:color w:val="auto"/>
        </w:rPr>
      </w:pPr>
    </w:p>
    <w:p>
      <w:pPr>
        <w:ind w:left="3580"/>
        <w:spacing w:after="0"/>
        <w:rPr>
          <w:sz w:val="20"/>
          <w:szCs w:val="20"/>
          <w:color w:val="auto"/>
        </w:rPr>
      </w:pPr>
      <w:r>
        <w:rPr>
          <w:rFonts w:ascii="Arial" w:cs="Arial" w:eastAsia="Arial" w:hAnsi="Arial"/>
          <w:sz w:val="13"/>
          <w:szCs w:val="13"/>
          <w:color w:val="auto"/>
        </w:rPr>
        <w:t>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-40005</wp:posOffset>
            </wp:positionV>
            <wp:extent cx="1397000" cy="685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97000" cy="68580"/>
                    </a:xfrm>
                    <a:prstGeom prst="rect">
                      <a:avLst/>
                    </a:prstGeom>
                    <a:noFill/>
                  </pic:spPr>
                </pic:pic>
              </a:graphicData>
            </a:graphic>
          </wp:anchor>
        </w:drawing>
      </w:r>
    </w:p>
    <w:p>
      <w:pPr>
        <w:spacing w:after="0" w:line="249"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Corporate Development</w:t>
      </w:r>
    </w:p>
    <w:p>
      <w:pPr>
        <w:spacing w:after="0" w:line="67" w:lineRule="exact"/>
        <w:rPr>
          <w:sz w:val="20"/>
          <w:szCs w:val="20"/>
          <w:color w:val="auto"/>
        </w:rPr>
      </w:pPr>
    </w:p>
    <w:p>
      <w:pPr>
        <w:ind w:left="3580"/>
        <w:spacing w:after="0"/>
        <w:rPr>
          <w:sz w:val="20"/>
          <w:szCs w:val="20"/>
          <w:color w:val="auto"/>
        </w:rPr>
      </w:pPr>
      <w:r>
        <w:rPr>
          <w:rFonts w:ascii="Arial" w:cs="Arial" w:eastAsia="Arial" w:hAnsi="Arial"/>
          <w:sz w:val="13"/>
          <w:szCs w:val="13"/>
          <w:color w:val="auto"/>
        </w:rPr>
        <w:t>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-40005</wp:posOffset>
            </wp:positionV>
            <wp:extent cx="1397000" cy="685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97000" cy="68580"/>
                    </a:xfrm>
                    <a:prstGeom prst="rect">
                      <a:avLst/>
                    </a:prstGeom>
                    <a:noFill/>
                  </pic:spPr>
                </pic:pic>
              </a:graphicData>
            </a:graphic>
          </wp:anchor>
        </w:drawing>
      </w:r>
    </w:p>
    <w:p>
      <w:pPr>
        <w:spacing w:after="0" w:line="249"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Financial Reporting and Capital Allocation</w:t>
      </w:r>
    </w:p>
    <w:p>
      <w:pPr>
        <w:spacing w:after="0" w:line="229" w:lineRule="exact"/>
        <w:rPr>
          <w:sz w:val="20"/>
          <w:szCs w:val="20"/>
          <w:color w:val="auto"/>
        </w:rPr>
      </w:pPr>
    </w:p>
    <w:p>
      <w:pPr>
        <w:ind w:left="3580"/>
        <w:spacing w:after="0"/>
        <w:rPr>
          <w:sz w:val="20"/>
          <w:szCs w:val="20"/>
          <w:color w:val="auto"/>
        </w:rPr>
      </w:pPr>
      <w:r>
        <w:rPr>
          <w:rFonts w:ascii="Arial" w:cs="Arial" w:eastAsia="Arial" w:hAnsi="Arial"/>
          <w:sz w:val="13"/>
          <w:szCs w:val="13"/>
          <w:color w:val="auto"/>
        </w:rPr>
        <w:t>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-40005</wp:posOffset>
            </wp:positionV>
            <wp:extent cx="1397000" cy="685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97000" cy="68580"/>
                    </a:xfrm>
                    <a:prstGeom prst="rect">
                      <a:avLst/>
                    </a:prstGeom>
                    <a:noFill/>
                  </pic:spPr>
                </pic:pic>
              </a:graphicData>
            </a:graphic>
          </wp:anchor>
        </w:drawing>
      </w:r>
    </w:p>
    <w:p>
      <w:pPr>
        <w:spacing w:after="0" w:line="249"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Corporate/Enterprise Risk Management</w:t>
      </w:r>
    </w:p>
    <w:p>
      <w:pPr>
        <w:spacing w:after="0" w:line="229" w:lineRule="exact"/>
        <w:rPr>
          <w:sz w:val="20"/>
          <w:szCs w:val="20"/>
          <w:color w:val="auto"/>
        </w:rPr>
      </w:pPr>
    </w:p>
    <w:p>
      <w:pPr>
        <w:ind w:left="3580"/>
        <w:spacing w:after="0"/>
        <w:rPr>
          <w:sz w:val="20"/>
          <w:szCs w:val="20"/>
          <w:color w:val="auto"/>
        </w:rPr>
      </w:pPr>
      <w:r>
        <w:rPr>
          <w:rFonts w:ascii="Arial" w:cs="Arial" w:eastAsia="Arial" w:hAnsi="Arial"/>
          <w:sz w:val="13"/>
          <w:szCs w:val="13"/>
          <w:color w:val="auto"/>
        </w:rPr>
        <w:t>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-40005</wp:posOffset>
            </wp:positionV>
            <wp:extent cx="1397000" cy="685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97000" cy="68580"/>
                    </a:xfrm>
                    <a:prstGeom prst="rect">
                      <a:avLst/>
                    </a:prstGeom>
                    <a:noFill/>
                  </pic:spPr>
                </pic:pic>
              </a:graphicData>
            </a:graphic>
          </wp:anchor>
        </w:drawing>
      </w:r>
    </w:p>
    <w:p>
      <w:pPr>
        <w:spacing w:after="0" w:line="249"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Client Relations, Marketing and Brand</w:t>
      </w:r>
    </w:p>
    <w:p>
      <w:pPr>
        <w:spacing w:after="0" w:line="26"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Development</w:t>
      </w:r>
    </w:p>
    <w:p>
      <w:pPr>
        <w:spacing w:after="0" w:line="53" w:lineRule="exact"/>
        <w:rPr>
          <w:sz w:val="20"/>
          <w:szCs w:val="20"/>
          <w:color w:val="auto"/>
        </w:rPr>
      </w:pPr>
    </w:p>
    <w:p>
      <w:pPr>
        <w:ind w:left="3580"/>
        <w:spacing w:after="0"/>
        <w:rPr>
          <w:sz w:val="20"/>
          <w:szCs w:val="20"/>
          <w:color w:val="auto"/>
        </w:rPr>
      </w:pPr>
      <w:r>
        <w:rPr>
          <w:rFonts w:ascii="Arial" w:cs="Arial" w:eastAsia="Arial" w:hAnsi="Arial"/>
          <w:sz w:val="13"/>
          <w:szCs w:val="13"/>
          <w:color w:val="auto"/>
        </w:rPr>
        <w:t>8/12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-40005</wp:posOffset>
            </wp:positionV>
            <wp:extent cx="1397000" cy="685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97000" cy="68580"/>
                    </a:xfrm>
                    <a:prstGeom prst="rect">
                      <a:avLst/>
                    </a:prstGeom>
                    <a:noFill/>
                  </pic:spPr>
                </pic:pic>
              </a:graphicData>
            </a:graphic>
          </wp:anchor>
        </w:drawing>
      </w:r>
    </w:p>
    <w:p>
      <w:pPr>
        <w:spacing w:after="0" w:line="249"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Digital, Data and Cybersecurity Expertise</w:t>
      </w:r>
    </w:p>
    <w:p>
      <w:pPr>
        <w:spacing w:after="0" w:line="229" w:lineRule="exact"/>
        <w:rPr>
          <w:sz w:val="20"/>
          <w:szCs w:val="20"/>
          <w:color w:val="auto"/>
        </w:rPr>
      </w:pPr>
    </w:p>
    <w:p>
      <w:pPr>
        <w:ind w:left="3580"/>
        <w:spacing w:after="0"/>
        <w:rPr>
          <w:sz w:val="20"/>
          <w:szCs w:val="20"/>
          <w:color w:val="auto"/>
        </w:rPr>
      </w:pPr>
      <w:r>
        <w:rPr>
          <w:rFonts w:ascii="Arial" w:cs="Arial" w:eastAsia="Arial" w:hAnsi="Arial"/>
          <w:sz w:val="13"/>
          <w:szCs w:val="13"/>
          <w:color w:val="auto"/>
        </w:rPr>
        <w:t>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-40005</wp:posOffset>
            </wp:positionV>
            <wp:extent cx="1397000" cy="685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97000" cy="68580"/>
                    </a:xfrm>
                    <a:prstGeom prst="rect">
                      <a:avLst/>
                    </a:prstGeom>
                    <a:noFill/>
                  </pic:spPr>
                </pic:pic>
              </a:graphicData>
            </a:graphic>
          </wp:anchor>
        </w:drawing>
      </w:r>
    </w:p>
    <w:p>
      <w:pPr>
        <w:spacing w:after="0" w:line="249"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Sustainability and Climate Practices</w:t>
      </w:r>
    </w:p>
    <w:p>
      <w:pPr>
        <w:spacing w:after="0" w:line="67" w:lineRule="exact"/>
        <w:rPr>
          <w:sz w:val="20"/>
          <w:szCs w:val="20"/>
          <w:color w:val="auto"/>
        </w:rPr>
      </w:pPr>
    </w:p>
    <w:p>
      <w:pPr>
        <w:ind w:left="3580"/>
        <w:spacing w:after="0"/>
        <w:rPr>
          <w:sz w:val="20"/>
          <w:szCs w:val="20"/>
          <w:color w:val="auto"/>
        </w:rPr>
      </w:pPr>
      <w:r>
        <w:rPr>
          <w:rFonts w:ascii="Arial" w:cs="Arial" w:eastAsia="Arial" w:hAnsi="Arial"/>
          <w:sz w:val="13"/>
          <w:szCs w:val="13"/>
          <w:color w:val="auto"/>
        </w:rPr>
        <w:t>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-40005</wp:posOffset>
            </wp:positionV>
            <wp:extent cx="1397000" cy="685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97000" cy="68580"/>
                    </a:xfrm>
                    <a:prstGeom prst="rect">
                      <a:avLst/>
                    </a:prstGeom>
                    <a:noFill/>
                  </pic:spPr>
                </pic:pic>
              </a:graphicData>
            </a:graphic>
          </wp:anchor>
        </w:drawing>
      </w:r>
    </w:p>
    <w:p>
      <w:pPr>
        <w:spacing w:after="0" w:line="249" w:lineRule="exact"/>
        <w:rPr>
          <w:sz w:val="20"/>
          <w:szCs w:val="20"/>
          <w:color w:val="auto"/>
        </w:rPr>
      </w:pPr>
    </w:p>
    <w:p>
      <w:pPr>
        <w:ind w:left="1100"/>
        <w:spacing w:after="0"/>
        <w:rPr>
          <w:sz w:val="20"/>
          <w:szCs w:val="20"/>
          <w:color w:val="auto"/>
        </w:rPr>
      </w:pPr>
      <w:r>
        <w:rPr>
          <w:rFonts w:ascii="Arial" w:cs="Arial" w:eastAsia="Arial" w:hAnsi="Arial"/>
          <w:sz w:val="13"/>
          <w:szCs w:val="13"/>
          <w:color w:val="auto"/>
        </w:rPr>
        <w:t>Human Capital Management</w:t>
      </w:r>
    </w:p>
    <w:p>
      <w:pPr>
        <w:spacing w:after="0" w:line="67" w:lineRule="exact"/>
        <w:rPr>
          <w:sz w:val="20"/>
          <w:szCs w:val="20"/>
          <w:color w:val="auto"/>
        </w:rPr>
      </w:pPr>
    </w:p>
    <w:p>
      <w:pPr>
        <w:ind w:left="3580"/>
        <w:spacing w:after="0"/>
        <w:rPr>
          <w:sz w:val="20"/>
          <w:szCs w:val="20"/>
          <w:color w:val="auto"/>
        </w:rPr>
      </w:pPr>
      <w:r>
        <w:rPr>
          <w:rFonts w:ascii="Arial" w:cs="Arial" w:eastAsia="Arial" w:hAnsi="Arial"/>
          <w:sz w:val="13"/>
          <w:szCs w:val="13"/>
          <w:color w:val="auto"/>
        </w:rPr>
        <w:t>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216535</wp:posOffset>
            </wp:positionV>
            <wp:extent cx="19202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2024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-40005</wp:posOffset>
            </wp:positionV>
            <wp:extent cx="1397000" cy="685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97000" cy="6858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1100"/>
        <w:spacing w:after="0"/>
        <w:rPr>
          <w:sz w:val="20"/>
          <w:szCs w:val="20"/>
          <w:color w:val="auto"/>
        </w:rPr>
      </w:pPr>
      <w:r>
        <w:rPr>
          <w:rFonts w:ascii="Arial" w:cs="Arial" w:eastAsia="Arial" w:hAnsi="Arial"/>
          <w:sz w:val="22"/>
          <w:szCs w:val="22"/>
          <w:b w:val="1"/>
          <w:bCs w:val="1"/>
          <w:color w:val="1A3FD6"/>
        </w:rPr>
        <w:t>Geographic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114935</wp:posOffset>
            </wp:positionV>
            <wp:extent cx="1645920" cy="7029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45920" cy="70294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1083310</wp:posOffset>
            </wp:positionV>
            <wp:extent cx="283210" cy="2832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3210" cy="283210"/>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40"/>
        <w:spacing w:after="0"/>
        <w:rPr>
          <w:sz w:val="20"/>
          <w:szCs w:val="20"/>
          <w:color w:val="auto"/>
        </w:rPr>
      </w:pPr>
      <w:r>
        <w:rPr>
          <w:rFonts w:ascii="Arial" w:cs="Arial" w:eastAsia="Arial" w:hAnsi="Arial"/>
          <w:sz w:val="13"/>
          <w:szCs w:val="13"/>
          <w:b w:val="1"/>
          <w:bCs w:val="1"/>
          <w:color w:val="1A3FD6"/>
        </w:rPr>
        <w:t>75%</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12"/>
          <w:szCs w:val="12"/>
          <w:color w:val="auto"/>
        </w:rPr>
        <w:t>Lived or Worked outside</w:t>
      </w:r>
    </w:p>
    <w:p>
      <w:pPr>
        <w:spacing w:after="0" w:line="13" w:lineRule="exact"/>
        <w:rPr>
          <w:sz w:val="20"/>
          <w:szCs w:val="20"/>
          <w:color w:val="auto"/>
        </w:rPr>
      </w:pPr>
    </w:p>
    <w:p>
      <w:pPr>
        <w:ind w:left="2040"/>
        <w:spacing w:after="0"/>
        <w:rPr>
          <w:sz w:val="20"/>
          <w:szCs w:val="20"/>
          <w:color w:val="auto"/>
        </w:rPr>
      </w:pPr>
      <w:r>
        <w:rPr>
          <w:rFonts w:ascii="Arial" w:cs="Arial" w:eastAsia="Arial" w:hAnsi="Arial"/>
          <w:sz w:val="13"/>
          <w:szCs w:val="13"/>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8880"/>
              <w:spacing w:after="0"/>
              <w:rPr>
                <w:sz w:val="20"/>
                <w:szCs w:val="20"/>
                <w:color w:val="auto"/>
              </w:rPr>
            </w:pPr>
            <w:r>
              <w:rPr>
                <w:rFonts w:ascii="Arial" w:cs="Arial" w:eastAsia="Arial" w:hAnsi="Arial"/>
                <w:sz w:val="14"/>
                <w:szCs w:val="14"/>
                <w:b w:val="1"/>
                <w:bCs w:val="1"/>
                <w:color w:val="1A3FD6"/>
              </w:rPr>
              <w:t>Proxy Summary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13</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737235</wp:posOffset>
            </wp:positionV>
            <wp:extent cx="7132320" cy="7715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PROPOSAL 1</w:t>
      </w:r>
    </w:p>
    <w:p>
      <w:pPr>
        <w:spacing w:after="0" w:line="49" w:lineRule="exact"/>
        <w:rPr>
          <w:sz w:val="20"/>
          <w:szCs w:val="20"/>
          <w:color w:val="auto"/>
        </w:rPr>
      </w:pPr>
    </w:p>
    <w:p>
      <w:pPr>
        <w:ind w:left="1320"/>
        <w:spacing w:after="0"/>
        <w:rPr>
          <w:sz w:val="20"/>
          <w:szCs w:val="20"/>
          <w:color w:val="auto"/>
        </w:rPr>
      </w:pPr>
      <w:r>
        <w:rPr>
          <w:rFonts w:ascii="Arial" w:cs="Arial" w:eastAsia="Arial" w:hAnsi="Arial"/>
          <w:sz w:val="36"/>
          <w:szCs w:val="36"/>
          <w:b w:val="1"/>
          <w:bCs w:val="1"/>
          <w:color w:val="1A3FD6"/>
        </w:rPr>
        <w:t>Election of Directors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398"/>
        </w:trPr>
        <w:tc>
          <w:tcPr>
            <w:tcW w:w="280" w:type="dxa"/>
            <w:vAlign w:val="bottom"/>
            <w:shd w:val="clear" w:color="auto" w:fill="1A3FD6"/>
          </w:tcPr>
          <w:p>
            <w:pPr>
              <w:spacing w:after="0"/>
              <w:rPr>
                <w:sz w:val="24"/>
                <w:szCs w:val="24"/>
                <w:color w:val="auto"/>
              </w:rPr>
            </w:pPr>
          </w:p>
        </w:tc>
        <w:tc>
          <w:tcPr>
            <w:tcW w:w="9760" w:type="dxa"/>
            <w:vAlign w:val="bottom"/>
            <w:shd w:val="clear" w:color="auto" w:fill="1A3FD6"/>
          </w:tcPr>
          <w:p>
            <w:pPr>
              <w:ind w:left="1040"/>
              <w:spacing w:after="0"/>
              <w:rPr>
                <w:sz w:val="20"/>
                <w:szCs w:val="20"/>
                <w:color w:val="auto"/>
              </w:rPr>
            </w:pPr>
            <w:r>
              <w:rPr>
                <w:rFonts w:ascii="Arial" w:cs="Arial" w:eastAsia="Arial" w:hAnsi="Arial"/>
                <w:sz w:val="16"/>
                <w:szCs w:val="16"/>
                <w:b w:val="1"/>
                <w:bCs w:val="1"/>
                <w:color w:val="FFFFFF"/>
              </w:rPr>
              <w:t>The Board recommends a vote FOR each director nominee.</w:t>
            </w:r>
          </w:p>
        </w:tc>
        <w:tc>
          <w:tcPr>
            <w:tcW w:w="1200" w:type="dxa"/>
            <w:vAlign w:val="bottom"/>
            <w:shd w:val="clear" w:color="auto" w:fill="1A3FD6"/>
          </w:tcPr>
          <w:p>
            <w:pPr>
              <w:ind w:left="100"/>
              <w:spacing w:after="0"/>
              <w:rPr>
                <w:sz w:val="20"/>
                <w:szCs w:val="20"/>
                <w:color w:val="auto"/>
              </w:rPr>
            </w:pPr>
            <w:r>
              <w:rPr>
                <w:rFonts w:ascii="Arial" w:cs="Arial" w:eastAsia="Arial" w:hAnsi="Arial"/>
                <w:sz w:val="16"/>
                <w:szCs w:val="16"/>
                <w:b w:val="1"/>
                <w:bCs w:val="1"/>
                <w:color w:val="FFFFFF"/>
              </w:rPr>
              <w:t>See Page 19</w:t>
            </w:r>
          </w:p>
        </w:tc>
      </w:tr>
      <w:tr>
        <w:trPr>
          <w:trHeight w:val="196"/>
        </w:trPr>
        <w:tc>
          <w:tcPr>
            <w:tcW w:w="280" w:type="dxa"/>
            <w:vAlign w:val="bottom"/>
            <w:shd w:val="clear" w:color="auto" w:fill="1A3FD6"/>
          </w:tcPr>
          <w:p>
            <w:pPr>
              <w:spacing w:after="0"/>
              <w:rPr>
                <w:sz w:val="17"/>
                <w:szCs w:val="17"/>
                <w:color w:val="auto"/>
              </w:rPr>
            </w:pPr>
          </w:p>
        </w:tc>
        <w:tc>
          <w:tcPr>
            <w:tcW w:w="9760" w:type="dxa"/>
            <w:vAlign w:val="bottom"/>
            <w:shd w:val="clear" w:color="auto" w:fill="1A3FD6"/>
          </w:tcPr>
          <w:p>
            <w:pPr>
              <w:spacing w:after="0"/>
              <w:rPr>
                <w:sz w:val="17"/>
                <w:szCs w:val="17"/>
                <w:color w:val="auto"/>
              </w:rPr>
            </w:pPr>
          </w:p>
        </w:tc>
        <w:tc>
          <w:tcPr>
            <w:tcW w:w="1200" w:type="dxa"/>
            <w:vAlign w:val="bottom"/>
            <w:shd w:val="clear" w:color="auto" w:fill="1A3FD6"/>
          </w:tcPr>
          <w:p>
            <w:pPr>
              <w:spacing w:after="0"/>
              <w:rPr>
                <w:sz w:val="17"/>
                <w:szCs w:val="17"/>
                <w:color w:val="auto"/>
              </w:rPr>
            </w:pPr>
          </w:p>
        </w:tc>
      </w:tr>
      <w:tr>
        <w:trPr>
          <w:trHeight w:val="594"/>
        </w:trPr>
        <w:tc>
          <w:tcPr>
            <w:tcW w:w="280" w:type="dxa"/>
            <w:vAlign w:val="bottom"/>
          </w:tcPr>
          <w:p>
            <w:pPr>
              <w:spacing w:after="0"/>
              <w:rPr>
                <w:sz w:val="24"/>
                <w:szCs w:val="24"/>
                <w:color w:val="auto"/>
              </w:rPr>
            </w:pPr>
          </w:p>
        </w:tc>
        <w:tc>
          <w:tcPr>
            <w:tcW w:w="9760" w:type="dxa"/>
            <w:vAlign w:val="bottom"/>
            <w:tcBorders>
              <w:bottom w:val="single" w:sz="8" w:color="1A3FD6"/>
            </w:tcBorders>
          </w:tcPr>
          <w:p>
            <w:pPr>
              <w:spacing w:after="0"/>
              <w:rPr>
                <w:sz w:val="24"/>
                <w:szCs w:val="24"/>
                <w:color w:val="auto"/>
              </w:rPr>
            </w:pPr>
          </w:p>
        </w:tc>
        <w:tc>
          <w:tcPr>
            <w:tcW w:w="1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257175</wp:posOffset>
            </wp:positionV>
            <wp:extent cx="1817370" cy="7715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17370" cy="771525"/>
                    </a:xfrm>
                    <a:prstGeom prst="rect">
                      <a:avLst/>
                    </a:prstGeom>
                    <a:noFill/>
                  </pic:spPr>
                </pic:pic>
              </a:graphicData>
            </a:graphic>
          </wp:anchor>
        </w:drawing>
      </w:r>
    </w:p>
    <w:p>
      <w:pPr>
        <w:spacing w:after="0" w:line="195" w:lineRule="exact"/>
        <w:rPr>
          <w:sz w:val="20"/>
          <w:szCs w:val="20"/>
          <w:color w:val="auto"/>
        </w:rPr>
      </w:pPr>
    </w:p>
    <w:p>
      <w:pPr>
        <w:ind w:left="7440"/>
        <w:spacing w:after="0"/>
        <w:rPr>
          <w:sz w:val="20"/>
          <w:szCs w:val="20"/>
          <w:color w:val="auto"/>
        </w:rPr>
      </w:pPr>
      <w:r>
        <w:rPr>
          <w:rFonts w:ascii="Arial" w:cs="Arial" w:eastAsia="Arial" w:hAnsi="Arial"/>
          <w:sz w:val="58"/>
          <w:szCs w:val="58"/>
          <w:b w:val="1"/>
          <w:bCs w:val="1"/>
          <w:color w:val="1A3FD6"/>
        </w:rPr>
        <w:t xml:space="preserve">6 </w:t>
      </w:r>
      <w:r>
        <w:rPr>
          <w:rFonts w:ascii="Arial" w:cs="Arial" w:eastAsia="Arial" w:hAnsi="Arial"/>
          <w:sz w:val="14"/>
          <w:szCs w:val="14"/>
          <w:color w:val="1A3FD6"/>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-233680</wp:posOffset>
            </wp:positionV>
            <wp:extent cx="3891915" cy="55632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91915" cy="5563235"/>
                    </a:xfrm>
                    <a:prstGeom prst="rect">
                      <a:avLst/>
                    </a:prstGeom>
                    <a:noFill/>
                  </pic:spPr>
                </pic:pic>
              </a:graphicData>
            </a:graphic>
          </wp:anchor>
        </w:drawing>
      </w:r>
    </w:p>
    <w:p>
      <w:pPr>
        <w:ind w:left="7920"/>
        <w:spacing w:after="0"/>
        <w:rPr>
          <w:sz w:val="20"/>
          <w:szCs w:val="20"/>
          <w:color w:val="auto"/>
        </w:rPr>
      </w:pPr>
      <w:r>
        <w:rPr>
          <w:rFonts w:ascii="Arial" w:cs="Arial" w:eastAsia="Arial" w:hAnsi="Arial"/>
          <w:sz w:val="14"/>
          <w:szCs w:val="14"/>
          <w:color w:val="1A3FD6"/>
        </w:rPr>
        <w:t>Directors</w:t>
      </w:r>
    </w:p>
    <w:p>
      <w:pPr>
        <w:spacing w:after="0" w:line="190" w:lineRule="exact"/>
        <w:rPr>
          <w:sz w:val="20"/>
          <w:szCs w:val="20"/>
          <w:color w:val="auto"/>
        </w:rPr>
      </w:pPr>
    </w:p>
    <w:p>
      <w:pPr>
        <w:ind w:left="7440"/>
        <w:spacing w:after="0"/>
        <w:rPr>
          <w:sz w:val="20"/>
          <w:szCs w:val="20"/>
          <w:color w:val="auto"/>
        </w:rPr>
      </w:pPr>
      <w:r>
        <w:rPr>
          <w:rFonts w:ascii="Arial" w:cs="Arial" w:eastAsia="Arial" w:hAnsi="Arial"/>
          <w:sz w:val="14"/>
          <w:szCs w:val="14"/>
          <w:color w:val="auto"/>
        </w:rPr>
        <w:t>appointed since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203835</wp:posOffset>
            </wp:positionV>
            <wp:extent cx="1817370" cy="49288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17370" cy="492887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7440"/>
        <w:spacing w:after="0"/>
        <w:rPr>
          <w:sz w:val="20"/>
          <w:szCs w:val="20"/>
          <w:color w:val="auto"/>
        </w:rPr>
      </w:pPr>
      <w:r>
        <w:rPr>
          <w:rFonts w:ascii="Arial" w:cs="Arial" w:eastAsia="Arial" w:hAnsi="Arial"/>
          <w:sz w:val="25"/>
          <w:szCs w:val="25"/>
          <w:b w:val="1"/>
          <w:bCs w:val="1"/>
          <w:color w:val="auto"/>
        </w:rPr>
        <w:t>Active Board</w:t>
      </w:r>
    </w:p>
    <w:p>
      <w:pPr>
        <w:spacing w:after="0" w:line="49" w:lineRule="exact"/>
        <w:rPr>
          <w:sz w:val="20"/>
          <w:szCs w:val="20"/>
          <w:color w:val="auto"/>
        </w:rPr>
      </w:pPr>
    </w:p>
    <w:p>
      <w:pPr>
        <w:ind w:left="7440"/>
        <w:spacing w:after="0"/>
        <w:rPr>
          <w:sz w:val="20"/>
          <w:szCs w:val="20"/>
          <w:color w:val="auto"/>
        </w:rPr>
      </w:pPr>
      <w:r>
        <w:rPr>
          <w:rFonts w:ascii="Arial" w:cs="Arial" w:eastAsia="Arial" w:hAnsi="Arial"/>
          <w:sz w:val="25"/>
          <w:szCs w:val="25"/>
          <w:b w:val="1"/>
          <w:bCs w:val="1"/>
          <w:color w:val="auto"/>
        </w:rPr>
        <w:t>Refreshment</w:t>
      </w:r>
    </w:p>
    <w:p>
      <w:pPr>
        <w:spacing w:after="0" w:line="115" w:lineRule="exact"/>
        <w:rPr>
          <w:sz w:val="20"/>
          <w:szCs w:val="20"/>
          <w:color w:val="auto"/>
        </w:rPr>
      </w:pPr>
    </w:p>
    <w:p>
      <w:pPr>
        <w:ind w:left="7440"/>
        <w:spacing w:after="0"/>
        <w:tabs>
          <w:tab w:leader="none" w:pos="7600" w:val="left"/>
        </w:tabs>
        <w:rPr>
          <w:sz w:val="20"/>
          <w:szCs w:val="20"/>
          <w:color w:val="auto"/>
        </w:rPr>
      </w:pPr>
      <w:r>
        <w:rPr>
          <w:rFonts w:ascii="Arial" w:cs="Arial" w:eastAsia="Arial" w:hAnsi="Arial"/>
          <w:sz w:val="16"/>
          <w:szCs w:val="16"/>
          <w:color w:val="1A3FD6"/>
        </w:rPr>
        <w:t>•</w:t>
      </w:r>
      <w:r>
        <w:rPr>
          <w:sz w:val="20"/>
          <w:szCs w:val="20"/>
          <w:color w:val="auto"/>
        </w:rPr>
        <w:tab/>
      </w:r>
      <w:r>
        <w:rPr>
          <w:rFonts w:ascii="Arial" w:cs="Arial" w:eastAsia="Arial" w:hAnsi="Arial"/>
          <w:sz w:val="14"/>
          <w:szCs w:val="14"/>
          <w:color w:val="auto"/>
        </w:rPr>
        <w:t>In 2024, we appointed Michelle</w:t>
      </w:r>
    </w:p>
    <w:p>
      <w:pPr>
        <w:spacing w:after="0" w:line="37"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Seitz, a new director with deep</w:t>
      </w:r>
    </w:p>
    <w:p>
      <w:pPr>
        <w:spacing w:after="0" w:line="29"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experience in the investment</w:t>
      </w:r>
    </w:p>
    <w:p>
      <w:pPr>
        <w:spacing w:after="0" w:line="28"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industry, and June Yang, a new</w:t>
      </w:r>
    </w:p>
    <w:p>
      <w:pPr>
        <w:spacing w:after="0" w:line="28"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director with extensive experience</w:t>
      </w:r>
    </w:p>
    <w:p>
      <w:pPr>
        <w:spacing w:after="0" w:line="27"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in the technology sector, with a</w:t>
      </w:r>
    </w:p>
    <w:p>
      <w:pPr>
        <w:spacing w:after="0" w:line="15"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focus on AI and cloud.</w:t>
      </w:r>
    </w:p>
    <w:p>
      <w:pPr>
        <w:spacing w:after="0" w:line="28" w:lineRule="exact"/>
        <w:rPr>
          <w:sz w:val="20"/>
          <w:szCs w:val="20"/>
          <w:color w:val="auto"/>
        </w:rPr>
      </w:pPr>
    </w:p>
    <w:p>
      <w:pPr>
        <w:ind w:left="7440"/>
        <w:spacing w:after="0"/>
        <w:tabs>
          <w:tab w:leader="none" w:pos="7600" w:val="left"/>
        </w:tabs>
        <w:rPr>
          <w:sz w:val="20"/>
          <w:szCs w:val="20"/>
          <w:color w:val="auto"/>
        </w:rPr>
      </w:pPr>
      <w:r>
        <w:rPr>
          <w:rFonts w:ascii="Arial" w:cs="Arial" w:eastAsia="Arial" w:hAnsi="Arial"/>
          <w:sz w:val="14"/>
          <w:szCs w:val="14"/>
          <w:color w:val="1A3FD6"/>
        </w:rPr>
        <w:t>•</w:t>
      </w:r>
      <w:r>
        <w:rPr>
          <w:rFonts w:ascii="Arial" w:cs="Arial" w:eastAsia="Arial" w:hAnsi="Arial"/>
          <w:sz w:val="14"/>
          <w:szCs w:val="14"/>
          <w:color w:val="auto"/>
        </w:rPr>
        <w:tab/>
        <w:t>In 2025, we announced the</w:t>
      </w:r>
    </w:p>
    <w:p>
      <w:pPr>
        <w:spacing w:after="0" w:line="28"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retirement of incumbent director</w:t>
      </w:r>
    </w:p>
    <w:p>
      <w:pPr>
        <w:spacing w:after="0" w:line="28"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Wayne Edmunds, effective as of</w:t>
      </w:r>
    </w:p>
    <w:p>
      <w:pPr>
        <w:spacing w:after="0" w:line="28"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the 2025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440"/>
        <w:spacing w:after="0"/>
        <w:rPr>
          <w:sz w:val="20"/>
          <w:szCs w:val="20"/>
          <w:color w:val="auto"/>
        </w:rPr>
      </w:pPr>
      <w:r>
        <w:rPr>
          <w:rFonts w:ascii="Arial" w:cs="Arial" w:eastAsia="Arial" w:hAnsi="Arial"/>
          <w:sz w:val="22"/>
          <w:szCs w:val="22"/>
          <w:b w:val="1"/>
          <w:bCs w:val="1"/>
          <w:color w:val="1A3FD6"/>
        </w:rPr>
        <w:t>Board Composition</w:t>
      </w:r>
    </w:p>
    <w:p>
      <w:pPr>
        <w:spacing w:after="0" w:line="26" w:lineRule="exact"/>
        <w:rPr>
          <w:sz w:val="20"/>
          <w:szCs w:val="20"/>
          <w:color w:val="auto"/>
        </w:rPr>
      </w:pPr>
    </w:p>
    <w:p>
      <w:pPr>
        <w:ind w:left="7440"/>
        <w:spacing w:after="0"/>
        <w:rPr>
          <w:sz w:val="20"/>
          <w:szCs w:val="20"/>
          <w:color w:val="auto"/>
        </w:rPr>
      </w:pPr>
      <w:r>
        <w:rPr>
          <w:rFonts w:ascii="Arial" w:cs="Arial" w:eastAsia="Arial" w:hAnsi="Arial"/>
          <w:sz w:val="22"/>
          <w:szCs w:val="22"/>
          <w:b w:val="1"/>
          <w:bCs w:val="1"/>
          <w:color w:val="1A3FD6"/>
        </w:rPr>
        <w:t>and Selection Process</w:t>
      </w:r>
    </w:p>
    <w:p>
      <w:pPr>
        <w:spacing w:after="0" w:line="176" w:lineRule="exact"/>
        <w:rPr>
          <w:sz w:val="20"/>
          <w:szCs w:val="20"/>
          <w:color w:val="auto"/>
        </w:rPr>
      </w:pPr>
    </w:p>
    <w:p>
      <w:pPr>
        <w:ind w:left="7440"/>
        <w:spacing w:after="0"/>
        <w:rPr>
          <w:sz w:val="20"/>
          <w:szCs w:val="20"/>
          <w:color w:val="auto"/>
        </w:rPr>
      </w:pPr>
      <w:r>
        <w:rPr>
          <w:rFonts w:ascii="Arial" w:cs="Arial" w:eastAsia="Arial" w:hAnsi="Arial"/>
          <w:sz w:val="14"/>
          <w:szCs w:val="14"/>
          <w:color w:val="auto"/>
        </w:rPr>
        <w:t>Our Board is committed to building a</w:t>
      </w:r>
    </w:p>
    <w:p>
      <w:pPr>
        <w:spacing w:after="0" w:line="29" w:lineRule="exact"/>
        <w:rPr>
          <w:sz w:val="20"/>
          <w:szCs w:val="20"/>
          <w:color w:val="auto"/>
        </w:rPr>
      </w:pPr>
    </w:p>
    <w:p>
      <w:pPr>
        <w:ind w:left="7440"/>
        <w:spacing w:after="0"/>
        <w:rPr>
          <w:sz w:val="20"/>
          <w:szCs w:val="20"/>
          <w:color w:val="auto"/>
        </w:rPr>
      </w:pPr>
      <w:r>
        <w:rPr>
          <w:rFonts w:ascii="Arial" w:cs="Arial" w:eastAsia="Arial" w:hAnsi="Arial"/>
          <w:sz w:val="14"/>
          <w:szCs w:val="14"/>
          <w:color w:val="auto"/>
        </w:rPr>
        <w:t>well-rounded membership with a</w:t>
      </w:r>
    </w:p>
    <w:p>
      <w:pPr>
        <w:spacing w:after="0" w:line="28" w:lineRule="exact"/>
        <w:rPr>
          <w:sz w:val="20"/>
          <w:szCs w:val="20"/>
          <w:color w:val="auto"/>
        </w:rPr>
      </w:pPr>
    </w:p>
    <w:p>
      <w:pPr>
        <w:ind w:left="7440"/>
        <w:spacing w:after="0"/>
        <w:rPr>
          <w:sz w:val="20"/>
          <w:szCs w:val="20"/>
          <w:color w:val="auto"/>
        </w:rPr>
      </w:pPr>
      <w:r>
        <w:rPr>
          <w:rFonts w:ascii="Arial" w:cs="Arial" w:eastAsia="Arial" w:hAnsi="Arial"/>
          <w:sz w:val="14"/>
          <w:szCs w:val="14"/>
          <w:color w:val="auto"/>
        </w:rPr>
        <w:t>broad range of skills, backgrounds</w:t>
      </w:r>
    </w:p>
    <w:p>
      <w:pPr>
        <w:spacing w:after="0" w:line="28" w:lineRule="exact"/>
        <w:rPr>
          <w:sz w:val="20"/>
          <w:szCs w:val="20"/>
          <w:color w:val="auto"/>
        </w:rPr>
      </w:pPr>
    </w:p>
    <w:p>
      <w:pPr>
        <w:ind w:left="7440"/>
        <w:spacing w:after="0"/>
        <w:rPr>
          <w:sz w:val="20"/>
          <w:szCs w:val="20"/>
          <w:color w:val="auto"/>
        </w:rPr>
      </w:pPr>
      <w:r>
        <w:rPr>
          <w:rFonts w:ascii="Arial" w:cs="Arial" w:eastAsia="Arial" w:hAnsi="Arial"/>
          <w:sz w:val="14"/>
          <w:szCs w:val="14"/>
          <w:color w:val="auto"/>
        </w:rPr>
        <w:t>and perspectives aligned with our</w:t>
      </w:r>
    </w:p>
    <w:p>
      <w:pPr>
        <w:spacing w:after="0" w:line="28" w:lineRule="exact"/>
        <w:rPr>
          <w:sz w:val="20"/>
          <w:szCs w:val="20"/>
          <w:color w:val="auto"/>
        </w:rPr>
      </w:pPr>
    </w:p>
    <w:p>
      <w:pPr>
        <w:ind w:left="7440"/>
        <w:spacing w:after="0"/>
        <w:rPr>
          <w:sz w:val="20"/>
          <w:szCs w:val="20"/>
          <w:color w:val="auto"/>
        </w:rPr>
      </w:pPr>
      <w:r>
        <w:rPr>
          <w:rFonts w:ascii="Arial" w:cs="Arial" w:eastAsia="Arial" w:hAnsi="Arial"/>
          <w:sz w:val="14"/>
          <w:szCs w:val="14"/>
          <w:color w:val="auto"/>
        </w:rPr>
        <w:t>strategic priorities and long-term</w:t>
      </w:r>
    </w:p>
    <w:p>
      <w:pPr>
        <w:spacing w:after="0" w:line="28" w:lineRule="exact"/>
        <w:rPr>
          <w:sz w:val="20"/>
          <w:szCs w:val="20"/>
          <w:color w:val="auto"/>
        </w:rPr>
      </w:pPr>
    </w:p>
    <w:p>
      <w:pPr>
        <w:ind w:left="7440"/>
        <w:spacing w:after="0"/>
        <w:rPr>
          <w:sz w:val="20"/>
          <w:szCs w:val="20"/>
          <w:color w:val="auto"/>
        </w:rPr>
      </w:pPr>
      <w:r>
        <w:rPr>
          <w:rFonts w:ascii="Arial" w:cs="Arial" w:eastAsia="Arial" w:hAnsi="Arial"/>
          <w:sz w:val="14"/>
          <w:szCs w:val="14"/>
          <w:color w:val="auto"/>
        </w:rPr>
        <w:t>growth opportunities. The</w:t>
      </w:r>
    </w:p>
    <w:p>
      <w:pPr>
        <w:spacing w:after="0" w:line="28" w:lineRule="exact"/>
        <w:rPr>
          <w:sz w:val="20"/>
          <w:szCs w:val="20"/>
          <w:color w:val="auto"/>
        </w:rPr>
      </w:pPr>
    </w:p>
    <w:p>
      <w:pPr>
        <w:ind w:left="7440"/>
        <w:spacing w:after="0"/>
        <w:rPr>
          <w:sz w:val="20"/>
          <w:szCs w:val="20"/>
          <w:color w:val="auto"/>
        </w:rPr>
      </w:pPr>
      <w:r>
        <w:rPr>
          <w:rFonts w:ascii="Arial" w:cs="Arial" w:eastAsia="Arial" w:hAnsi="Arial"/>
          <w:sz w:val="14"/>
          <w:szCs w:val="14"/>
          <w:color w:val="auto"/>
        </w:rPr>
        <w:t>Governance Committee considers</w:t>
      </w:r>
    </w:p>
    <w:p>
      <w:pPr>
        <w:spacing w:after="0" w:line="27" w:lineRule="exact"/>
        <w:rPr>
          <w:sz w:val="20"/>
          <w:szCs w:val="20"/>
          <w:color w:val="auto"/>
        </w:rPr>
      </w:pPr>
    </w:p>
    <w:p>
      <w:pPr>
        <w:ind w:left="7440"/>
        <w:spacing w:after="0"/>
        <w:rPr>
          <w:sz w:val="20"/>
          <w:szCs w:val="20"/>
          <w:color w:val="auto"/>
        </w:rPr>
      </w:pPr>
      <w:r>
        <w:rPr>
          <w:rFonts w:ascii="Arial" w:cs="Arial" w:eastAsia="Arial" w:hAnsi="Arial"/>
          <w:sz w:val="14"/>
          <w:szCs w:val="14"/>
          <w:color w:val="auto"/>
        </w:rPr>
        <w:t>these factors when identifying the</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4"/>
          <w:szCs w:val="14"/>
          <w:color w:val="auto"/>
        </w:rPr>
        <w:t>most qualified candidates for the</w:t>
      </w:r>
    </w:p>
    <w:p>
      <w:pPr>
        <w:spacing w:after="0" w:line="28" w:lineRule="exact"/>
        <w:rPr>
          <w:sz w:val="20"/>
          <w:szCs w:val="20"/>
          <w:color w:val="auto"/>
        </w:rPr>
      </w:pPr>
    </w:p>
    <w:p>
      <w:pPr>
        <w:ind w:left="7440"/>
        <w:spacing w:after="0"/>
        <w:rPr>
          <w:sz w:val="20"/>
          <w:szCs w:val="20"/>
          <w:color w:val="auto"/>
        </w:rPr>
      </w:pPr>
      <w:r>
        <w:rPr>
          <w:rFonts w:ascii="Arial" w:cs="Arial" w:eastAsia="Arial" w:hAnsi="Arial"/>
          <w:sz w:val="14"/>
          <w:szCs w:val="14"/>
          <w:color w:val="auto"/>
        </w:rPr>
        <w:t>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1518920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15" w:name="page16"/>
    <w:bookmarkEnd w:id="15"/>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14</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Engaging with our Shareholders</w:t>
      </w:r>
    </w:p>
    <w:p>
      <w:pPr>
        <w:spacing w:after="0" w:line="20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believe that engaging with our shareholders, prospective shareholders and analysts is the best way to address the issues that matter most to them. During 2024, we held over 350 meetings covering a wide range of matters. We aim to engage with our shareholders year-round through investor meetings, industry conferences and inviting shareholders to speak to the Board. Our key shareholder engagement activities for 2024 included our Corporate Responsibility Roadshow off-season engagement conducted in the fall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1A3FD6"/>
              </w:rPr>
              <w:t>Deep</w:t>
            </w:r>
          </w:p>
        </w:tc>
        <w:tc>
          <w:tcPr>
            <w:tcW w:w="11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Senior</w:t>
            </w:r>
          </w:p>
        </w:tc>
        <w:tc>
          <w:tcPr>
            <w:tcW w:w="1800" w:type="dxa"/>
            <w:vAlign w:val="bottom"/>
          </w:tcPr>
          <w:p>
            <w:pPr>
              <w:spacing w:after="0"/>
              <w:rPr>
                <w:sz w:val="16"/>
                <w:szCs w:val="16"/>
                <w:color w:val="auto"/>
              </w:rPr>
            </w:pPr>
          </w:p>
        </w:tc>
        <w:tc>
          <w:tcPr>
            <w:tcW w:w="16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Corporate</w:t>
            </w:r>
          </w:p>
        </w:tc>
        <w:tc>
          <w:tcPr>
            <w:tcW w:w="21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Human Resources</w:t>
            </w:r>
          </w:p>
        </w:tc>
        <w:tc>
          <w:tcPr>
            <w:tcW w:w="2040" w:type="dxa"/>
            <w:vAlign w:val="bottom"/>
          </w:tcPr>
          <w:p>
            <w:pPr>
              <w:ind w:left="400"/>
              <w:spacing w:after="0"/>
              <w:rPr>
                <w:sz w:val="20"/>
                <w:szCs w:val="20"/>
                <w:color w:val="auto"/>
              </w:rPr>
            </w:pPr>
            <w:r>
              <w:rPr>
                <w:rFonts w:ascii="Arial" w:cs="Arial" w:eastAsia="Arial" w:hAnsi="Arial"/>
                <w:sz w:val="14"/>
                <w:szCs w:val="14"/>
                <w:b w:val="1"/>
                <w:bCs w:val="1"/>
                <w:color w:val="auto"/>
              </w:rPr>
              <w:t>Corporate</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6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8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Investor</w:t>
            </w:r>
          </w:p>
        </w:tc>
        <w:tc>
          <w:tcPr>
            <w:tcW w:w="1640" w:type="dxa"/>
            <w:vAlign w:val="bottom"/>
            <w:vMerge w:val="continue"/>
          </w:tcPr>
          <w:p>
            <w:pPr>
              <w:spacing w:after="0"/>
              <w:rPr>
                <w:sz w:val="8"/>
                <w:szCs w:val="8"/>
                <w:color w:val="auto"/>
              </w:rPr>
            </w:pPr>
          </w:p>
        </w:tc>
        <w:tc>
          <w:tcPr>
            <w:tcW w:w="2120" w:type="dxa"/>
            <w:vAlign w:val="bottom"/>
            <w:vMerge w:val="continue"/>
          </w:tcPr>
          <w:p>
            <w:pPr>
              <w:spacing w:after="0"/>
              <w:rPr>
                <w:sz w:val="8"/>
                <w:szCs w:val="8"/>
                <w:color w:val="auto"/>
              </w:rPr>
            </w:pPr>
          </w:p>
        </w:tc>
        <w:tc>
          <w:tcPr>
            <w:tcW w:w="20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Responsibility</w:t>
            </w:r>
          </w:p>
        </w:tc>
        <w:tc>
          <w:tcPr>
            <w:tcW w:w="9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Board</w:t>
            </w:r>
          </w:p>
        </w:tc>
        <w:tc>
          <w:tcPr>
            <w:tcW w:w="0" w:type="dxa"/>
            <w:vAlign w:val="bottom"/>
          </w:tcPr>
          <w:p>
            <w:pPr>
              <w:spacing w:after="0"/>
              <w:rPr>
                <w:sz w:val="1"/>
                <w:szCs w:val="1"/>
                <w:color w:val="auto"/>
              </w:rPr>
            </w:pPr>
          </w:p>
        </w:tc>
      </w:tr>
      <w:tr>
        <w:trPr>
          <w:trHeight w:val="81"/>
        </w:trPr>
        <w:tc>
          <w:tcPr>
            <w:tcW w:w="116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21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Team, including</w:t>
            </w:r>
          </w:p>
        </w:tc>
        <w:tc>
          <w:tcPr>
            <w:tcW w:w="204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1A3FD6"/>
              </w:rPr>
              <w:t>Shareholder</w:t>
            </w:r>
          </w:p>
        </w:tc>
        <w:tc>
          <w:tcPr>
            <w:tcW w:w="11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Business</w:t>
            </w:r>
          </w:p>
        </w:tc>
        <w:tc>
          <w:tcPr>
            <w:tcW w:w="1800" w:type="dxa"/>
            <w:vAlign w:val="bottom"/>
            <w:vMerge w:val="continue"/>
          </w:tcPr>
          <w:p>
            <w:pPr>
              <w:spacing w:after="0"/>
              <w:rPr>
                <w:sz w:val="8"/>
                <w:szCs w:val="8"/>
                <w:color w:val="auto"/>
              </w:rPr>
            </w:pPr>
          </w:p>
        </w:tc>
        <w:tc>
          <w:tcPr>
            <w:tcW w:w="16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Governance</w:t>
            </w:r>
          </w:p>
        </w:tc>
        <w:tc>
          <w:tcPr>
            <w:tcW w:w="2120" w:type="dxa"/>
            <w:vAlign w:val="bottom"/>
            <w:vMerge w:val="continue"/>
          </w:tcPr>
          <w:p>
            <w:pPr>
              <w:spacing w:after="0"/>
              <w:rPr>
                <w:sz w:val="8"/>
                <w:szCs w:val="8"/>
                <w:color w:val="auto"/>
              </w:rPr>
            </w:pPr>
          </w:p>
        </w:tc>
        <w:tc>
          <w:tcPr>
            <w:tcW w:w="20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Team and Global</w:t>
            </w: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16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8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Relations Team</w:t>
            </w:r>
          </w:p>
        </w:tc>
        <w:tc>
          <w:tcPr>
            <w:tcW w:w="1640" w:type="dxa"/>
            <w:vAlign w:val="bottom"/>
            <w:vMerge w:val="continue"/>
          </w:tcPr>
          <w:p>
            <w:pPr>
              <w:spacing w:after="0"/>
              <w:rPr>
                <w:sz w:val="8"/>
                <w:szCs w:val="8"/>
                <w:color w:val="auto"/>
              </w:rPr>
            </w:pPr>
          </w:p>
        </w:tc>
        <w:tc>
          <w:tcPr>
            <w:tcW w:w="21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Talent and</w:t>
            </w:r>
          </w:p>
        </w:tc>
        <w:tc>
          <w:tcPr>
            <w:tcW w:w="2040" w:type="dxa"/>
            <w:vAlign w:val="bottom"/>
            <w:vMerge w:val="continue"/>
          </w:tcPr>
          <w:p>
            <w:pPr>
              <w:spacing w:after="0"/>
              <w:rPr>
                <w:sz w:val="8"/>
                <w:szCs w:val="8"/>
                <w:color w:val="auto"/>
              </w:rPr>
            </w:pPr>
          </w:p>
        </w:tc>
        <w:tc>
          <w:tcPr>
            <w:tcW w:w="9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Members</w:t>
            </w:r>
          </w:p>
        </w:tc>
        <w:tc>
          <w:tcPr>
            <w:tcW w:w="0" w:type="dxa"/>
            <w:vAlign w:val="bottom"/>
          </w:tcPr>
          <w:p>
            <w:pPr>
              <w:spacing w:after="0"/>
              <w:rPr>
                <w:sz w:val="1"/>
                <w:szCs w:val="1"/>
                <w:color w:val="auto"/>
              </w:rPr>
            </w:pPr>
          </w:p>
        </w:tc>
      </w:tr>
      <w:tr>
        <w:trPr>
          <w:trHeight w:val="108"/>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1A3FD6"/>
              </w:rPr>
              <w:t>Outreach Team:</w:t>
            </w:r>
          </w:p>
        </w:tc>
        <w:tc>
          <w:tcPr>
            <w:tcW w:w="11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Leaders</w:t>
            </w:r>
          </w:p>
        </w:tc>
        <w:tc>
          <w:tcPr>
            <w:tcW w:w="1800" w:type="dxa"/>
            <w:vAlign w:val="bottom"/>
            <w:vMerge w:val="continue"/>
          </w:tcPr>
          <w:p>
            <w:pPr>
              <w:spacing w:after="0"/>
              <w:rPr>
                <w:sz w:val="9"/>
                <w:szCs w:val="9"/>
                <w:color w:val="auto"/>
              </w:rPr>
            </w:pPr>
          </w:p>
        </w:tc>
        <w:tc>
          <w:tcPr>
            <w:tcW w:w="16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Legal Team</w:t>
            </w:r>
          </w:p>
        </w:tc>
        <w:tc>
          <w:tcPr>
            <w:tcW w:w="2120" w:type="dxa"/>
            <w:vAlign w:val="bottom"/>
            <w:vMerge w:val="continue"/>
          </w:tcPr>
          <w:p>
            <w:pPr>
              <w:spacing w:after="0"/>
              <w:rPr>
                <w:sz w:val="9"/>
                <w:szCs w:val="9"/>
                <w:color w:val="auto"/>
              </w:rPr>
            </w:pPr>
          </w:p>
        </w:tc>
        <w:tc>
          <w:tcPr>
            <w:tcW w:w="20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Corporate Services</w:t>
            </w: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16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21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Compensation</w:t>
            </w:r>
          </w:p>
        </w:tc>
        <w:tc>
          <w:tcPr>
            <w:tcW w:w="204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20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Team</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-401320</wp:posOffset>
            </wp:positionV>
            <wp:extent cx="13716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-401320</wp:posOffset>
            </wp:positionV>
            <wp:extent cx="137160"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-401320</wp:posOffset>
            </wp:positionV>
            <wp:extent cx="13716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-401320</wp:posOffset>
            </wp:positionV>
            <wp:extent cx="137160"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-401320</wp:posOffset>
            </wp:positionV>
            <wp:extent cx="13716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3627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362710"/>
                    </a:xfrm>
                    <a:prstGeom prst="rect">
                      <a:avLst/>
                    </a:prstGeom>
                    <a:noFill/>
                  </pic:spPr>
                </pic:pic>
              </a:graphicData>
            </a:graphic>
          </wp:anchor>
        </w:drawing>
      </w:r>
    </w:p>
    <w:p>
      <w:pPr>
        <w:sectPr>
          <w:pgSz w:w="11900" w:h="16838" w:orient="portrait"/>
          <w:cols w:equalWidth="0" w:num="1">
            <w:col w:w="11080"/>
          </w:cols>
          <w:pgMar w:left="320" w:top="292" w:right="499" w:bottom="1440" w:gutter="0" w:footer="0" w:header="0"/>
        </w:sectPr>
      </w:pP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310"/>
        </w:trPr>
        <w:tc>
          <w:tcPr>
            <w:tcW w:w="1220" w:type="dxa"/>
            <w:vAlign w:val="bottom"/>
          </w:tcPr>
          <w:p>
            <w:pPr>
              <w:spacing w:after="0"/>
              <w:rPr>
                <w:sz w:val="20"/>
                <w:szCs w:val="20"/>
                <w:color w:val="auto"/>
              </w:rPr>
            </w:pPr>
            <w:r>
              <w:rPr>
                <w:rFonts w:ascii="Arial" w:cs="Arial" w:eastAsia="Arial" w:hAnsi="Arial"/>
                <w:sz w:val="16"/>
                <w:szCs w:val="16"/>
                <w:b w:val="1"/>
                <w:bCs w:val="1"/>
                <w:color w:val="1A3FD6"/>
              </w:rPr>
              <w:t>What We</w:t>
            </w:r>
          </w:p>
        </w:tc>
        <w:tc>
          <w:tcPr>
            <w:tcW w:w="2720" w:type="dxa"/>
            <w:vAlign w:val="bottom"/>
            <w:tcBorders>
              <w:right w:val="single" w:sz="8" w:color="1A3FD6"/>
            </w:tcBorders>
          </w:tcPr>
          <w:p>
            <w:pPr>
              <w:ind w:left="220"/>
              <w:spacing w:after="0"/>
              <w:rPr>
                <w:sz w:val="20"/>
                <w:szCs w:val="20"/>
                <w:color w:val="auto"/>
              </w:rPr>
            </w:pPr>
            <w:r>
              <w:rPr>
                <w:rFonts w:ascii="Arial" w:cs="Arial" w:eastAsia="Arial" w:hAnsi="Arial"/>
                <w:sz w:val="16"/>
                <w:szCs w:val="16"/>
                <w:b w:val="1"/>
                <w:bCs w:val="1"/>
                <w:color w:val="auto"/>
              </w:rPr>
              <w:t>OUR BUSINESS</w:t>
            </w:r>
          </w:p>
        </w:tc>
        <w:tc>
          <w:tcPr>
            <w:tcW w:w="2960" w:type="dxa"/>
            <w:vAlign w:val="bottom"/>
          </w:tcPr>
          <w:p>
            <w:pPr>
              <w:ind w:left="140"/>
              <w:spacing w:after="0"/>
              <w:rPr>
                <w:sz w:val="20"/>
                <w:szCs w:val="20"/>
                <w:color w:val="auto"/>
              </w:rPr>
            </w:pPr>
            <w:r>
              <w:rPr>
                <w:rFonts w:ascii="Arial" w:cs="Arial" w:eastAsia="Arial" w:hAnsi="Arial"/>
                <w:sz w:val="16"/>
                <w:szCs w:val="16"/>
                <w:b w:val="1"/>
                <w:bCs w:val="1"/>
                <w:color w:val="auto"/>
              </w:rPr>
              <w:t>CORPORATE RESPONSIBILITY AND</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6"/>
                <w:szCs w:val="16"/>
                <w:b w:val="1"/>
                <w:bCs w:val="1"/>
                <w:color w:val="1A3FD6"/>
              </w:rPr>
              <w:t>Discussed in</w:t>
            </w:r>
          </w:p>
        </w:tc>
        <w:tc>
          <w:tcPr>
            <w:tcW w:w="2720" w:type="dxa"/>
            <w:vAlign w:val="bottom"/>
            <w:tcBorders>
              <w:right w:val="single" w:sz="8" w:color="1A3FD6"/>
            </w:tcBorders>
            <w:vMerge w:val="restart"/>
          </w:tcPr>
          <w:p>
            <w:pPr>
              <w:ind w:left="220"/>
              <w:spacing w:after="0"/>
              <w:rPr>
                <w:sz w:val="20"/>
                <w:szCs w:val="20"/>
                <w:color w:val="auto"/>
              </w:rPr>
            </w:pPr>
            <w:r>
              <w:rPr>
                <w:rFonts w:ascii="Arial" w:cs="Arial" w:eastAsia="Arial" w:hAnsi="Arial"/>
                <w:sz w:val="16"/>
                <w:szCs w:val="16"/>
                <w:color w:val="auto"/>
              </w:rPr>
              <w:t>Market Trends</w:t>
            </w:r>
          </w:p>
        </w:tc>
        <w:tc>
          <w:tcPr>
            <w:tcW w:w="2960" w:type="dxa"/>
            <w:vAlign w:val="bottom"/>
          </w:tcPr>
          <w:p>
            <w:pPr>
              <w:ind w:left="140"/>
              <w:spacing w:after="0"/>
              <w:rPr>
                <w:sz w:val="20"/>
                <w:szCs w:val="20"/>
                <w:color w:val="auto"/>
              </w:rPr>
            </w:pPr>
            <w:r>
              <w:rPr>
                <w:rFonts w:ascii="Arial" w:cs="Arial" w:eastAsia="Arial" w:hAnsi="Arial"/>
                <w:sz w:val="16"/>
                <w:szCs w:val="16"/>
                <w:b w:val="1"/>
                <w:bCs w:val="1"/>
                <w:color w:val="auto"/>
              </w:rPr>
              <w:t>CORPORATE GOVERNANCE</w:t>
            </w:r>
          </w:p>
        </w:tc>
        <w:tc>
          <w:tcPr>
            <w:tcW w:w="0" w:type="dxa"/>
            <w:vAlign w:val="bottom"/>
          </w:tcPr>
          <w:p>
            <w:pPr>
              <w:spacing w:after="0"/>
              <w:rPr>
                <w:sz w:val="1"/>
                <w:szCs w:val="1"/>
                <w:color w:val="auto"/>
              </w:rPr>
            </w:pPr>
          </w:p>
        </w:tc>
      </w:tr>
      <w:tr>
        <w:trPr>
          <w:trHeight w:val="80"/>
        </w:trPr>
        <w:tc>
          <w:tcPr>
            <w:tcW w:w="1220" w:type="dxa"/>
            <w:vAlign w:val="bottom"/>
            <w:vMerge w:val="restart"/>
          </w:tcPr>
          <w:p>
            <w:pPr>
              <w:spacing w:after="0"/>
              <w:rPr>
                <w:sz w:val="20"/>
                <w:szCs w:val="20"/>
                <w:color w:val="auto"/>
              </w:rPr>
            </w:pPr>
            <w:r>
              <w:rPr>
                <w:rFonts w:ascii="Arial" w:cs="Arial" w:eastAsia="Arial" w:hAnsi="Arial"/>
                <w:sz w:val="16"/>
                <w:szCs w:val="16"/>
                <w:b w:val="1"/>
                <w:bCs w:val="1"/>
                <w:color w:val="1A3FD6"/>
              </w:rPr>
              <w:t>2024:</w:t>
            </w:r>
          </w:p>
        </w:tc>
        <w:tc>
          <w:tcPr>
            <w:tcW w:w="2720" w:type="dxa"/>
            <w:vAlign w:val="bottom"/>
            <w:tcBorders>
              <w:right w:val="single" w:sz="8" w:color="1A3FD6"/>
            </w:tcBorders>
            <w:vMerge w:val="continue"/>
          </w:tcPr>
          <w:p>
            <w:pPr>
              <w:spacing w:after="0"/>
              <w:rPr>
                <w:sz w:val="6"/>
                <w:szCs w:val="6"/>
                <w:color w:val="auto"/>
              </w:rPr>
            </w:pPr>
          </w:p>
        </w:tc>
        <w:tc>
          <w:tcPr>
            <w:tcW w:w="2960" w:type="dxa"/>
            <w:vAlign w:val="bottom"/>
            <w:vMerge w:val="restart"/>
          </w:tcPr>
          <w:p>
            <w:pPr>
              <w:ind w:left="140"/>
              <w:spacing w:after="0"/>
              <w:rPr>
                <w:sz w:val="20"/>
                <w:szCs w:val="20"/>
                <w:color w:val="auto"/>
              </w:rPr>
            </w:pPr>
            <w:r>
              <w:rPr>
                <w:rFonts w:ascii="Arial" w:cs="Arial" w:eastAsia="Arial" w:hAnsi="Arial"/>
                <w:sz w:val="16"/>
                <w:szCs w:val="16"/>
                <w:color w:val="auto"/>
              </w:rPr>
              <w:t>Succession Planning</w:t>
            </w:r>
          </w:p>
        </w:tc>
        <w:tc>
          <w:tcPr>
            <w:tcW w:w="0" w:type="dxa"/>
            <w:vAlign w:val="bottom"/>
          </w:tcPr>
          <w:p>
            <w:pPr>
              <w:spacing w:after="0"/>
              <w:rPr>
                <w:sz w:val="1"/>
                <w:szCs w:val="1"/>
                <w:color w:val="auto"/>
              </w:rPr>
            </w:pPr>
          </w:p>
        </w:tc>
      </w:tr>
      <w:tr>
        <w:trPr>
          <w:trHeight w:val="143"/>
        </w:trPr>
        <w:tc>
          <w:tcPr>
            <w:tcW w:w="1220" w:type="dxa"/>
            <w:vAlign w:val="bottom"/>
            <w:vMerge w:val="continue"/>
          </w:tcPr>
          <w:p>
            <w:pPr>
              <w:spacing w:after="0"/>
              <w:rPr>
                <w:sz w:val="12"/>
                <w:szCs w:val="12"/>
                <w:color w:val="auto"/>
              </w:rPr>
            </w:pPr>
          </w:p>
        </w:tc>
        <w:tc>
          <w:tcPr>
            <w:tcW w:w="2720" w:type="dxa"/>
            <w:vAlign w:val="bottom"/>
            <w:tcBorders>
              <w:right w:val="single" w:sz="8" w:color="1A3FD6"/>
            </w:tcBorders>
            <w:vMerge w:val="restart"/>
          </w:tcPr>
          <w:p>
            <w:pPr>
              <w:ind w:left="220"/>
              <w:spacing w:after="0"/>
              <w:rPr>
                <w:sz w:val="20"/>
                <w:szCs w:val="20"/>
                <w:color w:val="auto"/>
              </w:rPr>
            </w:pPr>
            <w:r>
              <w:rPr>
                <w:rFonts w:ascii="Arial" w:cs="Arial" w:eastAsia="Arial" w:hAnsi="Arial"/>
                <w:sz w:val="16"/>
                <w:szCs w:val="16"/>
                <w:color w:val="auto"/>
              </w:rPr>
              <w:t>ESG and Climate Strategy</w:t>
            </w:r>
          </w:p>
        </w:tc>
        <w:tc>
          <w:tcPr>
            <w:tcW w:w="2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1220" w:type="dxa"/>
            <w:vAlign w:val="bottom"/>
          </w:tcPr>
          <w:p>
            <w:pPr>
              <w:spacing w:after="0"/>
              <w:rPr>
                <w:sz w:val="5"/>
                <w:szCs w:val="5"/>
                <w:color w:val="auto"/>
              </w:rPr>
            </w:pPr>
          </w:p>
        </w:tc>
        <w:tc>
          <w:tcPr>
            <w:tcW w:w="2720" w:type="dxa"/>
            <w:vAlign w:val="bottom"/>
            <w:tcBorders>
              <w:right w:val="single" w:sz="8" w:color="1A3FD6"/>
            </w:tcBorders>
            <w:vMerge w:val="continue"/>
          </w:tcPr>
          <w:p>
            <w:pPr>
              <w:spacing w:after="0"/>
              <w:rPr>
                <w:sz w:val="5"/>
                <w:szCs w:val="5"/>
                <w:color w:val="auto"/>
              </w:rPr>
            </w:pPr>
          </w:p>
        </w:tc>
        <w:tc>
          <w:tcPr>
            <w:tcW w:w="2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2720" w:type="dxa"/>
            <w:vAlign w:val="bottom"/>
            <w:tcBorders>
              <w:right w:val="single" w:sz="8" w:color="1A3FD6"/>
            </w:tcBorders>
            <w:vMerge w:val="continue"/>
          </w:tcPr>
          <w:p>
            <w:pPr>
              <w:spacing w:after="0"/>
              <w:rPr>
                <w:sz w:val="5"/>
                <w:szCs w:val="5"/>
                <w:color w:val="auto"/>
              </w:rPr>
            </w:pPr>
          </w:p>
        </w:tc>
        <w:tc>
          <w:tcPr>
            <w:tcW w:w="2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720" w:type="dxa"/>
            <w:vAlign w:val="bottom"/>
            <w:tcBorders>
              <w:right w:val="single" w:sz="8" w:color="1A3FD6"/>
            </w:tcBorders>
            <w:vMerge w:val="restart"/>
          </w:tcPr>
          <w:p>
            <w:pPr>
              <w:ind w:left="220"/>
              <w:spacing w:after="0"/>
              <w:rPr>
                <w:sz w:val="20"/>
                <w:szCs w:val="20"/>
                <w:color w:val="auto"/>
              </w:rPr>
            </w:pPr>
            <w:r>
              <w:rPr>
                <w:rFonts w:ascii="Arial" w:cs="Arial" w:eastAsia="Arial" w:hAnsi="Arial"/>
                <w:sz w:val="16"/>
                <w:szCs w:val="16"/>
                <w:color w:val="auto"/>
              </w:rPr>
              <w:t>Recent Acquisitions</w:t>
            </w:r>
          </w:p>
        </w:tc>
        <w:tc>
          <w:tcPr>
            <w:tcW w:w="2960" w:type="dxa"/>
            <w:vAlign w:val="bottom"/>
          </w:tcPr>
          <w:p>
            <w:pPr>
              <w:ind w:left="140"/>
              <w:spacing w:after="0"/>
              <w:rPr>
                <w:sz w:val="20"/>
                <w:szCs w:val="20"/>
                <w:color w:val="auto"/>
              </w:rPr>
            </w:pPr>
            <w:r>
              <w:rPr>
                <w:rFonts w:ascii="Arial" w:cs="Arial" w:eastAsia="Arial" w:hAnsi="Arial"/>
                <w:sz w:val="16"/>
                <w:szCs w:val="16"/>
                <w:color w:val="auto"/>
              </w:rPr>
              <w:t>Board Oversight</w:t>
            </w: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2720" w:type="dxa"/>
            <w:vAlign w:val="bottom"/>
            <w:tcBorders>
              <w:right w:val="single" w:sz="8" w:color="1A3FD6"/>
            </w:tcBorders>
            <w:vMerge w:val="continue"/>
          </w:tcPr>
          <w:p>
            <w:pPr>
              <w:spacing w:after="0"/>
              <w:rPr>
                <w:sz w:val="5"/>
                <w:szCs w:val="5"/>
                <w:color w:val="auto"/>
              </w:rPr>
            </w:pPr>
          </w:p>
        </w:tc>
        <w:tc>
          <w:tcPr>
            <w:tcW w:w="2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720" w:type="dxa"/>
            <w:vAlign w:val="bottom"/>
            <w:tcBorders>
              <w:right w:val="single" w:sz="8" w:color="1A3FD6"/>
            </w:tcBorders>
            <w:vMerge w:val="restart"/>
          </w:tcPr>
          <w:p>
            <w:pPr>
              <w:ind w:left="220"/>
              <w:spacing w:after="0"/>
              <w:rPr>
                <w:sz w:val="20"/>
                <w:szCs w:val="20"/>
                <w:color w:val="auto"/>
              </w:rPr>
            </w:pPr>
            <w:r>
              <w:rPr>
                <w:rFonts w:ascii="Arial" w:cs="Arial" w:eastAsia="Arial" w:hAnsi="Arial"/>
                <w:sz w:val="16"/>
                <w:szCs w:val="16"/>
                <w:color w:val="auto"/>
              </w:rPr>
              <w:t>Financial Performance</w:t>
            </w:r>
          </w:p>
        </w:tc>
        <w:tc>
          <w:tcPr>
            <w:tcW w:w="2960" w:type="dxa"/>
            <w:vAlign w:val="bottom"/>
          </w:tcPr>
          <w:p>
            <w:pPr>
              <w:ind w:left="140"/>
              <w:spacing w:after="0"/>
              <w:rPr>
                <w:sz w:val="20"/>
                <w:szCs w:val="20"/>
                <w:color w:val="auto"/>
              </w:rPr>
            </w:pPr>
            <w:r>
              <w:rPr>
                <w:rFonts w:ascii="Arial" w:cs="Arial" w:eastAsia="Arial" w:hAnsi="Arial"/>
                <w:sz w:val="16"/>
                <w:szCs w:val="16"/>
                <w:color w:val="auto"/>
              </w:rPr>
              <w:t>Talent Strategy</w:t>
            </w: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2720" w:type="dxa"/>
            <w:vAlign w:val="bottom"/>
            <w:tcBorders>
              <w:right w:val="single" w:sz="8" w:color="1A3FD6"/>
            </w:tcBorders>
            <w:vMerge w:val="continue"/>
          </w:tcPr>
          <w:p>
            <w:pPr>
              <w:spacing w:after="0"/>
              <w:rPr>
                <w:sz w:val="5"/>
                <w:szCs w:val="5"/>
                <w:color w:val="auto"/>
              </w:rPr>
            </w:pPr>
          </w:p>
        </w:tc>
        <w:tc>
          <w:tcPr>
            <w:tcW w:w="2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720" w:type="dxa"/>
            <w:vAlign w:val="bottom"/>
            <w:tcBorders>
              <w:right w:val="single" w:sz="8" w:color="1A3FD6"/>
            </w:tcBorders>
            <w:vMerge w:val="restart"/>
          </w:tcPr>
          <w:p>
            <w:pPr>
              <w:ind w:left="220"/>
              <w:spacing w:after="0"/>
              <w:rPr>
                <w:sz w:val="20"/>
                <w:szCs w:val="20"/>
                <w:color w:val="auto"/>
              </w:rPr>
            </w:pPr>
            <w:r>
              <w:rPr>
                <w:rFonts w:ascii="Arial" w:cs="Arial" w:eastAsia="Arial" w:hAnsi="Arial"/>
                <w:sz w:val="16"/>
                <w:szCs w:val="16"/>
                <w:color w:val="auto"/>
              </w:rPr>
              <w:t>Overall Outlook</w:t>
            </w:r>
          </w:p>
        </w:tc>
        <w:tc>
          <w:tcPr>
            <w:tcW w:w="2960" w:type="dxa"/>
            <w:vAlign w:val="bottom"/>
          </w:tcPr>
          <w:p>
            <w:pPr>
              <w:ind w:left="140"/>
              <w:spacing w:after="0"/>
              <w:rPr>
                <w:sz w:val="20"/>
                <w:szCs w:val="20"/>
                <w:color w:val="auto"/>
              </w:rPr>
            </w:pPr>
            <w:r>
              <w:rPr>
                <w:rFonts w:ascii="Arial" w:cs="Arial" w:eastAsia="Arial" w:hAnsi="Arial"/>
                <w:sz w:val="16"/>
                <w:szCs w:val="16"/>
                <w:color w:val="auto"/>
              </w:rPr>
              <w:t>Executive Compensation</w:t>
            </w: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2720" w:type="dxa"/>
            <w:vAlign w:val="bottom"/>
            <w:tcBorders>
              <w:right w:val="single" w:sz="8" w:color="1A3FD6"/>
            </w:tcBorders>
            <w:vMerge w:val="continue"/>
          </w:tcPr>
          <w:p>
            <w:pPr>
              <w:spacing w:after="0"/>
              <w:rPr>
                <w:sz w:val="5"/>
                <w:szCs w:val="5"/>
                <w:color w:val="auto"/>
              </w:rPr>
            </w:pPr>
          </w:p>
        </w:tc>
        <w:tc>
          <w:tcPr>
            <w:tcW w:w="2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720" w:type="dxa"/>
            <w:vAlign w:val="bottom"/>
            <w:tcBorders>
              <w:right w:val="single" w:sz="8" w:color="1A3FD6"/>
            </w:tcBorders>
          </w:tcPr>
          <w:p>
            <w:pPr>
              <w:spacing w:after="0"/>
              <w:rPr>
                <w:sz w:val="18"/>
                <w:szCs w:val="18"/>
                <w:color w:val="auto"/>
              </w:rPr>
            </w:pPr>
          </w:p>
        </w:tc>
        <w:tc>
          <w:tcPr>
            <w:tcW w:w="2960" w:type="dxa"/>
            <w:vAlign w:val="bottom"/>
          </w:tcPr>
          <w:p>
            <w:pPr>
              <w:ind w:left="140"/>
              <w:spacing w:after="0"/>
              <w:rPr>
                <w:sz w:val="20"/>
                <w:szCs w:val="20"/>
                <w:color w:val="auto"/>
              </w:rPr>
            </w:pPr>
            <w:r>
              <w:rPr>
                <w:rFonts w:ascii="Arial" w:cs="Arial" w:eastAsia="Arial" w:hAnsi="Arial"/>
                <w:sz w:val="16"/>
                <w:szCs w:val="16"/>
                <w:color w:val="auto"/>
              </w:rPr>
              <w:t>Sustainability Strategy</w:t>
            </w:r>
          </w:p>
        </w:tc>
        <w:tc>
          <w:tcPr>
            <w:tcW w:w="0" w:type="dxa"/>
            <w:vAlign w:val="bottom"/>
          </w:tcPr>
          <w:p>
            <w:pPr>
              <w:spacing w:after="0"/>
              <w:rPr>
                <w:sz w:val="1"/>
                <w:szCs w:val="1"/>
                <w:color w:val="auto"/>
              </w:rPr>
            </w:pPr>
          </w:p>
        </w:tc>
      </w:tr>
      <w:tr>
        <w:trPr>
          <w:trHeight w:val="110"/>
        </w:trPr>
        <w:tc>
          <w:tcPr>
            <w:tcW w:w="1220" w:type="dxa"/>
            <w:vAlign w:val="bottom"/>
          </w:tcPr>
          <w:p>
            <w:pPr>
              <w:spacing w:after="0"/>
              <w:rPr>
                <w:sz w:val="9"/>
                <w:szCs w:val="9"/>
                <w:color w:val="auto"/>
              </w:rPr>
            </w:pPr>
          </w:p>
        </w:tc>
        <w:tc>
          <w:tcPr>
            <w:tcW w:w="2720" w:type="dxa"/>
            <w:vAlign w:val="bottom"/>
            <w:tcBorders>
              <w:right w:val="single" w:sz="8" w:color="1A3FD6"/>
            </w:tcBorders>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 350</w:t>
      </w:r>
    </w:p>
    <w:p>
      <w:pPr>
        <w:spacing w:after="0" w:line="100" w:lineRule="exact"/>
        <w:rPr>
          <w:sz w:val="20"/>
          <w:szCs w:val="20"/>
          <w:color w:val="auto"/>
        </w:rPr>
      </w:pPr>
    </w:p>
    <w:p>
      <w:pPr>
        <w:ind w:right="360"/>
        <w:spacing w:after="0" w:line="292" w:lineRule="auto"/>
        <w:rPr>
          <w:sz w:val="20"/>
          <w:szCs w:val="20"/>
          <w:color w:val="auto"/>
        </w:rPr>
      </w:pPr>
      <w:r>
        <w:rPr>
          <w:rFonts w:ascii="Arial" w:cs="Arial" w:eastAsia="Arial" w:hAnsi="Arial"/>
          <w:sz w:val="16"/>
          <w:szCs w:val="16"/>
          <w:color w:val="auto"/>
        </w:rPr>
        <w:t>meetings with our shareholders, prospective shareholders and sell-side analysts, including Corporate Responsibility Roadshow</w:t>
      </w:r>
    </w:p>
    <w:p>
      <w:pPr>
        <w:spacing w:after="0" w:line="30"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b w:val="1"/>
          <w:bCs w:val="1"/>
          <w:color w:val="auto"/>
        </w:rPr>
        <w:t xml:space="preserve">~50% of our shares outstanding </w:t>
      </w:r>
      <w:r>
        <w:rPr>
          <w:rFonts w:ascii="Arial" w:cs="Arial" w:eastAsia="Arial" w:hAnsi="Arial"/>
          <w:sz w:val="16"/>
          <w:szCs w:val="16"/>
          <w:color w:val="auto"/>
        </w:rPr>
        <w:t>represented</w:t>
      </w:r>
      <w:r>
        <w:rPr>
          <w:rFonts w:ascii="Arial" w:cs="Arial" w:eastAsia="Arial" w:hAnsi="Arial"/>
          <w:sz w:val="16"/>
          <w:szCs w:val="16"/>
          <w:b w:val="1"/>
          <w:bCs w:val="1"/>
          <w:color w:val="auto"/>
        </w:rPr>
        <w:t xml:space="preserve"> </w:t>
      </w:r>
      <w:r>
        <w:rPr>
          <w:rFonts w:ascii="Arial" w:cs="Arial" w:eastAsia="Arial" w:hAnsi="Arial"/>
          <w:sz w:val="16"/>
          <w:szCs w:val="16"/>
          <w:color w:val="auto"/>
        </w:rPr>
        <w:t>across our shareholder engagement meetings in 2024</w:t>
      </w:r>
    </w:p>
    <w:p>
      <w:pPr>
        <w:spacing w:after="0" w:line="487" w:lineRule="exact"/>
        <w:rPr>
          <w:sz w:val="20"/>
          <w:szCs w:val="20"/>
          <w:color w:val="auto"/>
        </w:rPr>
      </w:pPr>
    </w:p>
    <w:p>
      <w:pPr>
        <w:sectPr>
          <w:pgSz w:w="11900" w:h="16838" w:orient="portrait"/>
          <w:cols w:equalWidth="0" w:num="2">
            <w:col w:w="6920" w:space="540"/>
            <w:col w:w="3620"/>
          </w:cols>
          <w:pgMar w:left="320" w:top="292" w:right="49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Our Year-Round Shareholder Engagement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81915</wp:posOffset>
            </wp:positionV>
            <wp:extent cx="5554980" cy="23914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5498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See “Shareholder Engagement” on page 42 for more information on our shareholder engagement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92" w:right="49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8880"/>
              <w:spacing w:after="0"/>
              <w:rPr>
                <w:sz w:val="20"/>
                <w:szCs w:val="20"/>
                <w:color w:val="auto"/>
              </w:rPr>
            </w:pPr>
            <w:r>
              <w:rPr>
                <w:rFonts w:ascii="Arial" w:cs="Arial" w:eastAsia="Arial" w:hAnsi="Arial"/>
                <w:sz w:val="14"/>
                <w:szCs w:val="14"/>
                <w:b w:val="1"/>
                <w:bCs w:val="1"/>
                <w:color w:val="1A3FD6"/>
              </w:rPr>
              <w:t>Proxy Summary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15</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r>
        <w:trPr>
          <w:trHeight w:val="479"/>
        </w:trPr>
        <w:tc>
          <w:tcPr>
            <w:tcW w:w="105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2"/>
        </w:trPr>
        <w:tc>
          <w:tcPr>
            <w:tcW w:w="10560" w:type="dxa"/>
            <w:vAlign w:val="bottom"/>
            <w:tcBorders>
              <w:right w:val="single" w:sz="8" w:color="EDF0FC"/>
            </w:tcBorders>
            <w:shd w:val="clear" w:color="auto" w:fill="EDF0FC"/>
          </w:tcPr>
          <w:p>
            <w:pPr>
              <w:spacing w:after="0"/>
              <w:rPr>
                <w:sz w:val="14"/>
                <w:szCs w:val="14"/>
                <w:color w:val="auto"/>
              </w:rPr>
            </w:pPr>
          </w:p>
        </w:tc>
        <w:tc>
          <w:tcPr>
            <w:tcW w:w="680" w:type="dxa"/>
            <w:vAlign w:val="bottom"/>
            <w:shd w:val="clear" w:color="auto" w:fill="ED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9601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101"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PROPOSAL 2</w:t>
      </w:r>
    </w:p>
    <w:p>
      <w:pPr>
        <w:spacing w:after="0" w:line="39" w:lineRule="exact"/>
        <w:rPr>
          <w:sz w:val="20"/>
          <w:szCs w:val="20"/>
          <w:color w:val="auto"/>
        </w:rPr>
      </w:pPr>
    </w:p>
    <w:p>
      <w:pPr>
        <w:ind w:left="1300" w:right="3760"/>
        <w:spacing w:after="0" w:line="300" w:lineRule="auto"/>
        <w:rPr>
          <w:sz w:val="20"/>
          <w:szCs w:val="20"/>
          <w:color w:val="auto"/>
        </w:rPr>
      </w:pPr>
      <w:r>
        <w:rPr>
          <w:rFonts w:ascii="Arial" w:cs="Arial" w:eastAsia="Arial" w:hAnsi="Arial"/>
          <w:sz w:val="35"/>
          <w:szCs w:val="35"/>
          <w:b w:val="1"/>
          <w:bCs w:val="1"/>
          <w:color w:val="1A3FD6"/>
        </w:rPr>
        <w:t>Advisory Vote to Approve Executive Compensation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8345" cy="3771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345" cy="377190"/>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398"/>
        </w:trPr>
        <w:tc>
          <w:tcPr>
            <w:tcW w:w="8260" w:type="dxa"/>
            <w:vAlign w:val="bottom"/>
            <w:shd w:val="clear" w:color="auto" w:fill="1A3FD6"/>
          </w:tcPr>
          <w:p>
            <w:pPr>
              <w:ind w:left="140"/>
              <w:spacing w:after="0"/>
              <w:rPr>
                <w:sz w:val="20"/>
                <w:szCs w:val="20"/>
                <w:color w:val="auto"/>
              </w:rPr>
            </w:pPr>
            <w:r>
              <w:rPr>
                <w:rFonts w:ascii="Arial" w:cs="Arial" w:eastAsia="Arial" w:hAnsi="Arial"/>
                <w:sz w:val="16"/>
                <w:szCs w:val="16"/>
                <w:b w:val="1"/>
                <w:bCs w:val="1"/>
                <w:color w:val="FFFFFF"/>
              </w:rPr>
              <w:t>The Board recommends a vote FOR this proposal.</w:t>
            </w:r>
          </w:p>
        </w:tc>
        <w:tc>
          <w:tcPr>
            <w:tcW w:w="1820" w:type="dxa"/>
            <w:vAlign w:val="bottom"/>
            <w:shd w:val="clear" w:color="auto" w:fill="1A3FD6"/>
          </w:tcPr>
          <w:p>
            <w:pPr>
              <w:ind w:left="720"/>
              <w:spacing w:after="0"/>
              <w:rPr>
                <w:sz w:val="20"/>
                <w:szCs w:val="20"/>
                <w:color w:val="auto"/>
              </w:rPr>
            </w:pPr>
            <w:r>
              <w:rPr>
                <w:rFonts w:ascii="Arial" w:cs="Arial" w:eastAsia="Arial" w:hAnsi="Arial"/>
                <w:sz w:val="16"/>
                <w:szCs w:val="16"/>
                <w:b w:val="1"/>
                <w:bCs w:val="1"/>
                <w:color w:val="FFFFFF"/>
              </w:rPr>
              <w:t>See Page 56</w:t>
            </w:r>
          </w:p>
        </w:tc>
      </w:tr>
      <w:tr>
        <w:trPr>
          <w:trHeight w:val="197"/>
        </w:trPr>
        <w:tc>
          <w:tcPr>
            <w:tcW w:w="8260" w:type="dxa"/>
            <w:vAlign w:val="bottom"/>
            <w:shd w:val="clear" w:color="auto" w:fill="1A3FD6"/>
          </w:tcPr>
          <w:p>
            <w:pPr>
              <w:spacing w:after="0"/>
              <w:rPr>
                <w:sz w:val="17"/>
                <w:szCs w:val="17"/>
                <w:color w:val="auto"/>
              </w:rPr>
            </w:pPr>
          </w:p>
        </w:tc>
        <w:tc>
          <w:tcPr>
            <w:tcW w:w="1820" w:type="dxa"/>
            <w:vAlign w:val="bottom"/>
            <w:shd w:val="clear" w:color="auto" w:fill="1A3FD6"/>
          </w:tcPr>
          <w:p>
            <w:pPr>
              <w:spacing w:after="0"/>
              <w:rPr>
                <w:sz w:val="17"/>
                <w:szCs w:val="17"/>
                <w:color w:val="auto"/>
              </w:rPr>
            </w:pPr>
          </w:p>
        </w:tc>
      </w:tr>
    </w:tbl>
    <w:p>
      <w:pPr>
        <w:spacing w:after="0" w:line="277" w:lineRule="exact"/>
        <w:rPr>
          <w:sz w:val="20"/>
          <w:szCs w:val="20"/>
          <w:color w:val="auto"/>
        </w:rPr>
      </w:pPr>
    </w:p>
    <w:p>
      <w:pPr>
        <w:ind w:right="240"/>
        <w:spacing w:after="0" w:line="293" w:lineRule="auto"/>
        <w:rPr>
          <w:sz w:val="20"/>
          <w:szCs w:val="20"/>
          <w:color w:val="auto"/>
        </w:rPr>
      </w:pPr>
      <w:r>
        <w:rPr>
          <w:rFonts w:ascii="Arial" w:cs="Arial" w:eastAsia="Arial" w:hAnsi="Arial"/>
          <w:sz w:val="40"/>
          <w:szCs w:val="40"/>
          <w:b w:val="1"/>
          <w:bCs w:val="1"/>
          <w:color w:val="auto"/>
        </w:rPr>
        <w:t>Aligning Executive Compensation with Company Strategy, Culture and Performance</w:t>
      </w:r>
    </w:p>
    <w:p>
      <w:pPr>
        <w:spacing w:after="0" w:line="4"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We believe our executive compensation program was integral to our successful financial performance in 2024. Our executive compensation program is designed not only to closely align the compensation and interests of our named executive officers (“NEOs”) with the interests of our shareholders, but also to reflect the economic realities of our operating environment by linking pay with performance.</w:t>
      </w:r>
    </w:p>
    <w:p>
      <w:pPr>
        <w:spacing w:after="0" w:line="57" w:lineRule="exact"/>
        <w:rPr>
          <w:sz w:val="20"/>
          <w:szCs w:val="20"/>
          <w:color w:val="auto"/>
        </w:rPr>
      </w:pPr>
    </w:p>
    <w:p>
      <w:pPr>
        <w:jc w:val="both"/>
        <w:ind w:right="260"/>
        <w:spacing w:after="0" w:line="301" w:lineRule="auto"/>
        <w:rPr>
          <w:sz w:val="20"/>
          <w:szCs w:val="20"/>
          <w:color w:val="auto"/>
        </w:rPr>
      </w:pPr>
      <w:r>
        <w:rPr>
          <w:rFonts w:ascii="Arial" w:cs="Arial" w:eastAsia="Arial" w:hAnsi="Arial"/>
          <w:sz w:val="16"/>
          <w:szCs w:val="16"/>
          <w:color w:val="auto"/>
        </w:rPr>
        <w:t>MSCI’s executive compensation program emphasizes performance-based compensation in the form of cash incentive awards under our Annual Incentive Plan (“AIP”) and equity incentive awards under our Long-Term Incentive Plan (“LTIP”) that focus respectively on the achievement of short- and long-term goals. The following table sets forth the key components of our executive compensation program in effect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20015" cy="35490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015" cy="354901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 w:type="dxa"/>
            <w:vAlign w:val="bottom"/>
            <w:shd w:val="clear" w:color="auto" w:fill="EDF0FC"/>
          </w:tcPr>
          <w:p>
            <w:pPr>
              <w:spacing w:after="0"/>
              <w:rPr>
                <w:sz w:val="14"/>
                <w:szCs w:val="14"/>
                <w:color w:val="auto"/>
              </w:rPr>
            </w:pPr>
          </w:p>
        </w:tc>
        <w:tc>
          <w:tcPr>
            <w:tcW w:w="1760" w:type="dxa"/>
            <w:vAlign w:val="bottom"/>
            <w:vMerge w:val="restart"/>
            <w:shd w:val="clear" w:color="auto" w:fill="EDF0FC"/>
          </w:tcPr>
          <w:p>
            <w:pPr>
              <w:ind w:left="20"/>
              <w:spacing w:after="0"/>
              <w:rPr>
                <w:sz w:val="20"/>
                <w:szCs w:val="20"/>
                <w:color w:val="auto"/>
              </w:rPr>
            </w:pPr>
            <w:r>
              <w:rPr>
                <w:rFonts w:ascii="Arial" w:cs="Arial" w:eastAsia="Arial" w:hAnsi="Arial"/>
                <w:sz w:val="20"/>
                <w:szCs w:val="20"/>
                <w:color w:val="1A3FD6"/>
              </w:rPr>
              <w:t>Short-Term</w:t>
            </w:r>
          </w:p>
        </w:tc>
        <w:tc>
          <w:tcPr>
            <w:tcW w:w="1260" w:type="dxa"/>
            <w:vAlign w:val="bottom"/>
            <w:shd w:val="clear" w:color="auto" w:fill="EDF0FC"/>
          </w:tcPr>
          <w:p>
            <w:pPr>
              <w:spacing w:after="0"/>
              <w:rPr>
                <w:sz w:val="14"/>
                <w:szCs w:val="14"/>
                <w:color w:val="auto"/>
              </w:rPr>
            </w:pPr>
          </w:p>
        </w:tc>
        <w:tc>
          <w:tcPr>
            <w:tcW w:w="1160" w:type="dxa"/>
            <w:vAlign w:val="bottom"/>
            <w:shd w:val="clear" w:color="auto" w:fill="EDF0FC"/>
          </w:tcPr>
          <w:p>
            <w:pPr>
              <w:spacing w:after="0"/>
              <w:rPr>
                <w:sz w:val="14"/>
                <w:szCs w:val="14"/>
                <w:color w:val="auto"/>
              </w:rPr>
            </w:pPr>
          </w:p>
        </w:tc>
        <w:tc>
          <w:tcPr>
            <w:tcW w:w="300" w:type="dxa"/>
            <w:vAlign w:val="bottom"/>
            <w:shd w:val="clear" w:color="auto" w:fill="EDF0FC"/>
          </w:tcPr>
          <w:p>
            <w:pPr>
              <w:spacing w:after="0"/>
              <w:rPr>
                <w:sz w:val="14"/>
                <w:szCs w:val="14"/>
                <w:color w:val="auto"/>
              </w:rPr>
            </w:pPr>
          </w:p>
        </w:tc>
        <w:tc>
          <w:tcPr>
            <w:tcW w:w="4080" w:type="dxa"/>
            <w:vAlign w:val="bottom"/>
            <w:gridSpan w:val="2"/>
            <w:vMerge w:val="restart"/>
            <w:shd w:val="clear" w:color="auto" w:fill="EDF0FC"/>
          </w:tcPr>
          <w:p>
            <w:pPr>
              <w:ind w:left="20"/>
              <w:spacing w:after="0"/>
              <w:rPr>
                <w:sz w:val="20"/>
                <w:szCs w:val="20"/>
                <w:color w:val="auto"/>
              </w:rPr>
            </w:pPr>
            <w:r>
              <w:rPr>
                <w:rFonts w:ascii="Arial" w:cs="Arial" w:eastAsia="Arial" w:hAnsi="Arial"/>
                <w:sz w:val="20"/>
                <w:szCs w:val="20"/>
                <w:color w:val="1A3FD6"/>
              </w:rPr>
              <w:t>Long-Term</w:t>
            </w:r>
          </w:p>
        </w:tc>
        <w:tc>
          <w:tcPr>
            <w:tcW w:w="0" w:type="dxa"/>
            <w:vAlign w:val="bottom"/>
          </w:tcPr>
          <w:p>
            <w:pPr>
              <w:spacing w:after="0"/>
              <w:rPr>
                <w:sz w:val="1"/>
                <w:szCs w:val="1"/>
                <w:color w:val="auto"/>
              </w:rPr>
            </w:pPr>
          </w:p>
        </w:tc>
      </w:tr>
      <w:tr>
        <w:trPr>
          <w:trHeight w:val="356"/>
        </w:trPr>
        <w:tc>
          <w:tcPr>
            <w:tcW w:w="200" w:type="dxa"/>
            <w:vAlign w:val="bottom"/>
          </w:tcPr>
          <w:p>
            <w:pPr>
              <w:spacing w:after="0"/>
              <w:rPr>
                <w:sz w:val="24"/>
                <w:szCs w:val="24"/>
                <w:color w:val="auto"/>
              </w:rPr>
            </w:pPr>
          </w:p>
        </w:tc>
        <w:tc>
          <w:tcPr>
            <w:tcW w:w="1760" w:type="dxa"/>
            <w:vAlign w:val="bottom"/>
            <w:vMerge w:val="continue"/>
            <w:shd w:val="clear" w:color="auto" w:fill="EDF0FC"/>
          </w:tcPr>
          <w:p>
            <w:pPr>
              <w:spacing w:after="0"/>
              <w:rPr>
                <w:sz w:val="24"/>
                <w:szCs w:val="24"/>
                <w:color w:val="auto"/>
              </w:rPr>
            </w:pPr>
          </w:p>
        </w:tc>
        <w:tc>
          <w:tcPr>
            <w:tcW w:w="1260" w:type="dxa"/>
            <w:vAlign w:val="bottom"/>
            <w:shd w:val="clear" w:color="auto" w:fill="EDF0FC"/>
          </w:tcPr>
          <w:p>
            <w:pPr>
              <w:spacing w:after="0"/>
              <w:rPr>
                <w:sz w:val="24"/>
                <w:szCs w:val="24"/>
                <w:color w:val="auto"/>
              </w:rPr>
            </w:pPr>
          </w:p>
        </w:tc>
        <w:tc>
          <w:tcPr>
            <w:tcW w:w="1160" w:type="dxa"/>
            <w:vAlign w:val="bottom"/>
            <w:shd w:val="clear" w:color="auto" w:fill="EDF0FC"/>
          </w:tcPr>
          <w:p>
            <w:pPr>
              <w:spacing w:after="0"/>
              <w:rPr>
                <w:sz w:val="24"/>
                <w:szCs w:val="24"/>
                <w:color w:val="auto"/>
              </w:rPr>
            </w:pPr>
          </w:p>
        </w:tc>
        <w:tc>
          <w:tcPr>
            <w:tcW w:w="300" w:type="dxa"/>
            <w:vAlign w:val="bottom"/>
            <w:shd w:val="clear" w:color="auto" w:fill="EDF0FC"/>
          </w:tcPr>
          <w:p>
            <w:pPr>
              <w:spacing w:after="0"/>
              <w:rPr>
                <w:sz w:val="24"/>
                <w:szCs w:val="24"/>
                <w:color w:val="auto"/>
              </w:rPr>
            </w:pPr>
          </w:p>
        </w:tc>
        <w:tc>
          <w:tcPr>
            <w:tcW w:w="4080" w:type="dxa"/>
            <w:vAlign w:val="bottom"/>
            <w:gridSpan w:val="2"/>
            <w:vMerge w:val="continue"/>
            <w:shd w:val="clear" w:color="auto" w:fill="EDF0FC"/>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0" w:type="dxa"/>
            <w:vAlign w:val="bottom"/>
          </w:tcPr>
          <w:p>
            <w:pPr>
              <w:spacing w:after="0"/>
              <w:rPr>
                <w:sz w:val="22"/>
                <w:szCs w:val="22"/>
                <w:color w:val="auto"/>
              </w:rPr>
            </w:pPr>
          </w:p>
        </w:tc>
        <w:tc>
          <w:tcPr>
            <w:tcW w:w="4480" w:type="dxa"/>
            <w:vAlign w:val="bottom"/>
            <w:gridSpan w:val="4"/>
            <w:shd w:val="clear" w:color="auto" w:fill="EDF0FC"/>
          </w:tcPr>
          <w:p>
            <w:pPr>
              <w:ind w:left="20"/>
              <w:spacing w:after="0"/>
              <w:rPr>
                <w:sz w:val="20"/>
                <w:szCs w:val="20"/>
                <w:color w:val="auto"/>
              </w:rPr>
            </w:pPr>
            <w:r>
              <w:rPr>
                <w:rFonts w:ascii="Arial" w:cs="Arial" w:eastAsia="Arial" w:hAnsi="Arial"/>
                <w:sz w:val="20"/>
                <w:szCs w:val="20"/>
                <w:color w:val="auto"/>
              </w:rPr>
              <w:t>Annual Incentive Plan Cash Bonus</w:t>
            </w:r>
          </w:p>
        </w:tc>
        <w:tc>
          <w:tcPr>
            <w:tcW w:w="4080" w:type="dxa"/>
            <w:vAlign w:val="bottom"/>
            <w:gridSpan w:val="2"/>
            <w:shd w:val="clear" w:color="auto" w:fill="EDF0FC"/>
          </w:tcPr>
          <w:p>
            <w:pPr>
              <w:ind w:left="20"/>
              <w:spacing w:after="0"/>
              <w:rPr>
                <w:sz w:val="20"/>
                <w:szCs w:val="20"/>
                <w:color w:val="auto"/>
              </w:rPr>
            </w:pPr>
            <w:r>
              <w:rPr>
                <w:rFonts w:ascii="Arial" w:cs="Arial" w:eastAsia="Arial" w:hAnsi="Arial"/>
                <w:sz w:val="20"/>
                <w:szCs w:val="20"/>
                <w:color w:val="auto"/>
              </w:rPr>
              <w:t>Equity Incentive Awards</w:t>
            </w:r>
          </w:p>
        </w:tc>
        <w:tc>
          <w:tcPr>
            <w:tcW w:w="0" w:type="dxa"/>
            <w:vAlign w:val="bottom"/>
          </w:tcPr>
          <w:p>
            <w:pPr>
              <w:spacing w:after="0"/>
              <w:rPr>
                <w:sz w:val="1"/>
                <w:szCs w:val="1"/>
                <w:color w:val="auto"/>
              </w:rPr>
            </w:pPr>
          </w:p>
        </w:tc>
      </w:tr>
      <w:tr>
        <w:trPr>
          <w:trHeight w:val="110"/>
        </w:trPr>
        <w:tc>
          <w:tcPr>
            <w:tcW w:w="200" w:type="dxa"/>
            <w:vAlign w:val="bottom"/>
          </w:tcPr>
          <w:p>
            <w:pPr>
              <w:spacing w:after="0"/>
              <w:rPr>
                <w:sz w:val="9"/>
                <w:szCs w:val="9"/>
                <w:color w:val="auto"/>
              </w:rPr>
            </w:pPr>
          </w:p>
        </w:tc>
        <w:tc>
          <w:tcPr>
            <w:tcW w:w="1760" w:type="dxa"/>
            <w:vAlign w:val="bottom"/>
            <w:tcBorders>
              <w:bottom w:val="single" w:sz="8" w:color="1A3FD6"/>
            </w:tcBorders>
            <w:shd w:val="clear" w:color="auto" w:fill="EDF0FC"/>
          </w:tcPr>
          <w:p>
            <w:pPr>
              <w:spacing w:after="0"/>
              <w:rPr>
                <w:sz w:val="9"/>
                <w:szCs w:val="9"/>
                <w:color w:val="auto"/>
              </w:rPr>
            </w:pPr>
          </w:p>
        </w:tc>
        <w:tc>
          <w:tcPr>
            <w:tcW w:w="1260" w:type="dxa"/>
            <w:vAlign w:val="bottom"/>
            <w:tcBorders>
              <w:bottom w:val="single" w:sz="8" w:color="1A3FD6"/>
            </w:tcBorders>
            <w:shd w:val="clear" w:color="auto" w:fill="EDF0FC"/>
          </w:tcPr>
          <w:p>
            <w:pPr>
              <w:spacing w:after="0"/>
              <w:rPr>
                <w:sz w:val="9"/>
                <w:szCs w:val="9"/>
                <w:color w:val="auto"/>
              </w:rPr>
            </w:pPr>
          </w:p>
        </w:tc>
        <w:tc>
          <w:tcPr>
            <w:tcW w:w="1160" w:type="dxa"/>
            <w:vAlign w:val="bottom"/>
            <w:tcBorders>
              <w:bottom w:val="single" w:sz="8" w:color="1A3FD6"/>
            </w:tcBorders>
            <w:shd w:val="clear" w:color="auto" w:fill="EDF0FC"/>
          </w:tcPr>
          <w:p>
            <w:pPr>
              <w:spacing w:after="0"/>
              <w:rPr>
                <w:sz w:val="9"/>
                <w:szCs w:val="9"/>
                <w:color w:val="auto"/>
              </w:rPr>
            </w:pPr>
          </w:p>
        </w:tc>
        <w:tc>
          <w:tcPr>
            <w:tcW w:w="300" w:type="dxa"/>
            <w:vAlign w:val="bottom"/>
            <w:tcBorders>
              <w:bottom w:val="single" w:sz="8" w:color="EDF0FC"/>
            </w:tcBorders>
            <w:shd w:val="clear" w:color="auto" w:fill="EDF0FC"/>
          </w:tcPr>
          <w:p>
            <w:pPr>
              <w:spacing w:after="0"/>
              <w:rPr>
                <w:sz w:val="9"/>
                <w:szCs w:val="9"/>
                <w:color w:val="auto"/>
              </w:rPr>
            </w:pPr>
          </w:p>
        </w:tc>
        <w:tc>
          <w:tcPr>
            <w:tcW w:w="3840" w:type="dxa"/>
            <w:vAlign w:val="bottom"/>
            <w:tcBorders>
              <w:bottom w:val="single" w:sz="8" w:color="1A3FD6"/>
            </w:tcBorders>
            <w:shd w:val="clear" w:color="auto" w:fill="EDF0FC"/>
          </w:tcPr>
          <w:p>
            <w:pPr>
              <w:spacing w:after="0"/>
              <w:rPr>
                <w:sz w:val="9"/>
                <w:szCs w:val="9"/>
                <w:color w:val="auto"/>
              </w:rPr>
            </w:pPr>
          </w:p>
        </w:tc>
        <w:tc>
          <w:tcPr>
            <w:tcW w:w="240" w:type="dxa"/>
            <w:vAlign w:val="bottom"/>
            <w:tcBorders>
              <w:bottom w:val="single" w:sz="8" w:color="EDF0FC"/>
            </w:tcBorders>
            <w:shd w:val="clear" w:color="auto" w:fill="EDF0FC"/>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1760" w:type="dxa"/>
            <w:vAlign w:val="bottom"/>
            <w:tcBorders>
              <w:top w:val="single" w:sz="8" w:color="EDF0FC"/>
            </w:tcBorders>
            <w:vMerge w:val="restart"/>
            <w:shd w:val="clear" w:color="auto" w:fill="EDF0FC"/>
          </w:tcPr>
          <w:p>
            <w:pPr>
              <w:ind w:left="20"/>
              <w:spacing w:after="0"/>
              <w:rPr>
                <w:sz w:val="20"/>
                <w:szCs w:val="20"/>
                <w:color w:val="auto"/>
              </w:rPr>
            </w:pPr>
            <w:r>
              <w:rPr>
                <w:rFonts w:ascii="Arial" w:cs="Arial" w:eastAsia="Arial" w:hAnsi="Arial"/>
                <w:sz w:val="34"/>
                <w:szCs w:val="34"/>
                <w:b w:val="1"/>
                <w:bCs w:val="1"/>
                <w:color w:val="auto"/>
              </w:rPr>
              <w:t>70%</w:t>
            </w:r>
          </w:p>
        </w:tc>
        <w:tc>
          <w:tcPr>
            <w:tcW w:w="1260" w:type="dxa"/>
            <w:vAlign w:val="bottom"/>
            <w:tcBorders>
              <w:top w:val="single" w:sz="8" w:color="EDF0FC"/>
            </w:tcBorders>
            <w:vMerge w:val="restart"/>
            <w:shd w:val="clear" w:color="auto" w:fill="EDF0FC"/>
          </w:tcPr>
          <w:p>
            <w:pPr>
              <w:ind w:left="20"/>
              <w:spacing w:after="0"/>
              <w:rPr>
                <w:sz w:val="20"/>
                <w:szCs w:val="20"/>
                <w:color w:val="auto"/>
              </w:rPr>
            </w:pPr>
            <w:r>
              <w:rPr>
                <w:rFonts w:ascii="Arial" w:cs="Arial" w:eastAsia="Arial" w:hAnsi="Arial"/>
                <w:sz w:val="34"/>
                <w:szCs w:val="34"/>
                <w:b w:val="1"/>
                <w:bCs w:val="1"/>
                <w:color w:val="auto"/>
              </w:rPr>
              <w:t>20%</w:t>
            </w:r>
          </w:p>
        </w:tc>
        <w:tc>
          <w:tcPr>
            <w:tcW w:w="1160" w:type="dxa"/>
            <w:vAlign w:val="bottom"/>
            <w:tcBorders>
              <w:top w:val="single" w:sz="8" w:color="EDF0FC"/>
            </w:tcBorders>
            <w:vMerge w:val="restart"/>
            <w:shd w:val="clear" w:color="auto" w:fill="EDF0FC"/>
          </w:tcPr>
          <w:p>
            <w:pPr>
              <w:ind w:left="20"/>
              <w:spacing w:after="0"/>
              <w:rPr>
                <w:sz w:val="20"/>
                <w:szCs w:val="20"/>
                <w:color w:val="auto"/>
              </w:rPr>
            </w:pPr>
            <w:r>
              <w:rPr>
                <w:rFonts w:ascii="Arial" w:cs="Arial" w:eastAsia="Arial" w:hAnsi="Arial"/>
                <w:sz w:val="34"/>
                <w:szCs w:val="34"/>
                <w:b w:val="1"/>
                <w:bCs w:val="1"/>
                <w:color w:val="auto"/>
              </w:rPr>
              <w:t>10%</w:t>
            </w:r>
          </w:p>
        </w:tc>
        <w:tc>
          <w:tcPr>
            <w:tcW w:w="300" w:type="dxa"/>
            <w:vAlign w:val="bottom"/>
            <w:tcBorders>
              <w:top w:val="single" w:sz="8" w:color="EDF0FC"/>
            </w:tcBorders>
            <w:shd w:val="clear" w:color="auto" w:fill="EDF0FC"/>
          </w:tcPr>
          <w:p>
            <w:pPr>
              <w:spacing w:after="0"/>
              <w:rPr>
                <w:sz w:val="19"/>
                <w:szCs w:val="19"/>
                <w:color w:val="auto"/>
              </w:rPr>
            </w:pPr>
          </w:p>
        </w:tc>
        <w:tc>
          <w:tcPr>
            <w:tcW w:w="4080" w:type="dxa"/>
            <w:vAlign w:val="bottom"/>
            <w:tcBorders>
              <w:top w:val="single" w:sz="8" w:color="EDF0FC"/>
            </w:tcBorders>
            <w:gridSpan w:val="2"/>
          </w:tcPr>
          <w:p>
            <w:pPr>
              <w:ind w:left="2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Restricted Stock Units (3-year cliff-vest)</w:t>
            </w:r>
          </w:p>
        </w:tc>
        <w:tc>
          <w:tcPr>
            <w:tcW w:w="0" w:type="dxa"/>
            <w:vAlign w:val="bottom"/>
          </w:tcPr>
          <w:p>
            <w:pPr>
              <w:spacing w:after="0"/>
              <w:rPr>
                <w:sz w:val="1"/>
                <w:szCs w:val="1"/>
                <w:color w:val="auto"/>
              </w:rPr>
            </w:pPr>
          </w:p>
        </w:tc>
      </w:tr>
      <w:tr>
        <w:trPr>
          <w:trHeight w:val="258"/>
        </w:trPr>
        <w:tc>
          <w:tcPr>
            <w:tcW w:w="200" w:type="dxa"/>
            <w:vAlign w:val="bottom"/>
          </w:tcPr>
          <w:p>
            <w:pPr>
              <w:spacing w:after="0"/>
              <w:rPr>
                <w:sz w:val="22"/>
                <w:szCs w:val="22"/>
                <w:color w:val="auto"/>
              </w:rPr>
            </w:pPr>
          </w:p>
        </w:tc>
        <w:tc>
          <w:tcPr>
            <w:tcW w:w="1760" w:type="dxa"/>
            <w:vAlign w:val="bottom"/>
            <w:vMerge w:val="continue"/>
            <w:shd w:val="clear" w:color="auto" w:fill="EDF0FC"/>
          </w:tcPr>
          <w:p>
            <w:pPr>
              <w:spacing w:after="0"/>
              <w:rPr>
                <w:sz w:val="22"/>
                <w:szCs w:val="22"/>
                <w:color w:val="auto"/>
              </w:rPr>
            </w:pPr>
          </w:p>
        </w:tc>
        <w:tc>
          <w:tcPr>
            <w:tcW w:w="1260" w:type="dxa"/>
            <w:vAlign w:val="bottom"/>
            <w:vMerge w:val="continue"/>
            <w:shd w:val="clear" w:color="auto" w:fill="EDF0FC"/>
          </w:tcPr>
          <w:p>
            <w:pPr>
              <w:spacing w:after="0"/>
              <w:rPr>
                <w:sz w:val="22"/>
                <w:szCs w:val="22"/>
                <w:color w:val="auto"/>
              </w:rPr>
            </w:pPr>
          </w:p>
        </w:tc>
        <w:tc>
          <w:tcPr>
            <w:tcW w:w="1160" w:type="dxa"/>
            <w:vAlign w:val="bottom"/>
            <w:vMerge w:val="continue"/>
            <w:shd w:val="clear" w:color="auto" w:fill="EDF0FC"/>
          </w:tcPr>
          <w:p>
            <w:pPr>
              <w:spacing w:after="0"/>
              <w:rPr>
                <w:sz w:val="22"/>
                <w:szCs w:val="22"/>
                <w:color w:val="auto"/>
              </w:rPr>
            </w:pPr>
          </w:p>
        </w:tc>
        <w:tc>
          <w:tcPr>
            <w:tcW w:w="300" w:type="dxa"/>
            <w:vAlign w:val="bottom"/>
            <w:shd w:val="clear" w:color="auto" w:fill="EDF0FC"/>
          </w:tcPr>
          <w:p>
            <w:pPr>
              <w:spacing w:after="0"/>
              <w:rPr>
                <w:sz w:val="22"/>
                <w:szCs w:val="22"/>
                <w:color w:val="auto"/>
              </w:rPr>
            </w:pPr>
          </w:p>
        </w:tc>
        <w:tc>
          <w:tcPr>
            <w:tcW w:w="4080" w:type="dxa"/>
            <w:vAlign w:val="bottom"/>
            <w:gridSpan w:val="2"/>
          </w:tcPr>
          <w:p>
            <w:pPr>
              <w:ind w:left="2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Performance Stock Units (earned based on</w:t>
            </w: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1760" w:type="dxa"/>
            <w:vAlign w:val="bottom"/>
            <w:vMerge w:val="restart"/>
            <w:shd w:val="clear" w:color="auto" w:fill="EDF0FC"/>
          </w:tcPr>
          <w:p>
            <w:pPr>
              <w:ind w:left="20"/>
              <w:spacing w:after="0"/>
              <w:rPr>
                <w:sz w:val="20"/>
                <w:szCs w:val="20"/>
                <w:color w:val="auto"/>
              </w:rPr>
            </w:pPr>
            <w:r>
              <w:rPr>
                <w:rFonts w:ascii="Arial" w:cs="Arial" w:eastAsia="Arial" w:hAnsi="Arial"/>
                <w:sz w:val="16"/>
                <w:szCs w:val="16"/>
                <w:b w:val="1"/>
                <w:bCs w:val="1"/>
                <w:color w:val="auto"/>
              </w:rPr>
              <w:t>Financial</w:t>
            </w:r>
          </w:p>
        </w:tc>
        <w:tc>
          <w:tcPr>
            <w:tcW w:w="126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auto"/>
              </w:rPr>
              <w:t>Key</w:t>
            </w:r>
          </w:p>
        </w:tc>
        <w:tc>
          <w:tcPr>
            <w:tcW w:w="116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auto"/>
              </w:rPr>
              <w:t>Sustainability</w:t>
            </w:r>
          </w:p>
        </w:tc>
        <w:tc>
          <w:tcPr>
            <w:tcW w:w="300" w:type="dxa"/>
            <w:vAlign w:val="bottom"/>
          </w:tcPr>
          <w:p>
            <w:pPr>
              <w:spacing w:after="0"/>
              <w:rPr>
                <w:sz w:val="18"/>
                <w:szCs w:val="18"/>
                <w:color w:val="auto"/>
              </w:rPr>
            </w:pPr>
          </w:p>
        </w:tc>
        <w:tc>
          <w:tcPr>
            <w:tcW w:w="4080" w:type="dxa"/>
            <w:vAlign w:val="bottom"/>
            <w:gridSpan w:val="2"/>
          </w:tcPr>
          <w:p>
            <w:pPr>
              <w:ind w:left="220"/>
              <w:spacing w:after="0"/>
              <w:rPr>
                <w:sz w:val="20"/>
                <w:szCs w:val="20"/>
                <w:color w:val="auto"/>
              </w:rPr>
            </w:pPr>
            <w:r>
              <w:rPr>
                <w:rFonts w:ascii="Arial" w:cs="Arial" w:eastAsia="Arial" w:hAnsi="Arial"/>
                <w:sz w:val="16"/>
                <w:szCs w:val="16"/>
                <w:color w:val="auto"/>
              </w:rPr>
              <w:t>absolute TSR CAGR over a 3-year performance</w:t>
            </w: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1760" w:type="dxa"/>
            <w:vAlign w:val="bottom"/>
            <w:vMerge w:val="continue"/>
            <w:shd w:val="clear" w:color="auto" w:fill="EDF0FC"/>
          </w:tcPr>
          <w:p>
            <w:pPr>
              <w:spacing w:after="0"/>
              <w:rPr>
                <w:sz w:val="10"/>
                <w:szCs w:val="10"/>
                <w:color w:val="auto"/>
              </w:rPr>
            </w:pPr>
          </w:p>
        </w:tc>
        <w:tc>
          <w:tcPr>
            <w:tcW w:w="1260" w:type="dxa"/>
            <w:vAlign w:val="bottom"/>
            <w:vMerge w:val="restart"/>
            <w:shd w:val="clear" w:color="auto" w:fill="EDF0FC"/>
          </w:tcPr>
          <w:p>
            <w:pPr>
              <w:ind w:left="20"/>
              <w:spacing w:after="0"/>
              <w:rPr>
                <w:sz w:val="20"/>
                <w:szCs w:val="20"/>
                <w:color w:val="auto"/>
              </w:rPr>
            </w:pPr>
            <w:r>
              <w:rPr>
                <w:rFonts w:ascii="Arial" w:cs="Arial" w:eastAsia="Arial" w:hAnsi="Arial"/>
                <w:sz w:val="16"/>
                <w:szCs w:val="16"/>
                <w:b w:val="1"/>
                <w:bCs w:val="1"/>
                <w:color w:val="auto"/>
              </w:rPr>
              <w:t>Performance</w:t>
            </w:r>
          </w:p>
        </w:tc>
        <w:tc>
          <w:tcPr>
            <w:tcW w:w="1160" w:type="dxa"/>
            <w:vAlign w:val="bottom"/>
            <w:vMerge w:val="restart"/>
            <w:shd w:val="clear" w:color="auto" w:fill="EDF0FC"/>
          </w:tcPr>
          <w:p>
            <w:pPr>
              <w:ind w:left="20"/>
              <w:spacing w:after="0"/>
              <w:rPr>
                <w:sz w:val="20"/>
                <w:szCs w:val="20"/>
                <w:color w:val="auto"/>
              </w:rPr>
            </w:pPr>
            <w:r>
              <w:rPr>
                <w:rFonts w:ascii="Arial" w:cs="Arial" w:eastAsia="Arial" w:hAnsi="Arial"/>
                <w:sz w:val="16"/>
                <w:szCs w:val="16"/>
                <w:b w:val="1"/>
                <w:bCs w:val="1"/>
                <w:color w:val="auto"/>
              </w:rPr>
              <w:t>Goals (for</w:t>
            </w:r>
          </w:p>
        </w:tc>
        <w:tc>
          <w:tcPr>
            <w:tcW w:w="300" w:type="dxa"/>
            <w:vAlign w:val="bottom"/>
          </w:tcPr>
          <w:p>
            <w:pPr>
              <w:spacing w:after="0"/>
              <w:rPr>
                <w:sz w:val="10"/>
                <w:szCs w:val="10"/>
                <w:color w:val="auto"/>
              </w:rPr>
            </w:pPr>
          </w:p>
        </w:tc>
        <w:tc>
          <w:tcPr>
            <w:tcW w:w="4080" w:type="dxa"/>
            <w:vAlign w:val="bottom"/>
            <w:gridSpan w:val="2"/>
            <w:vMerge w:val="restart"/>
          </w:tcPr>
          <w:p>
            <w:pPr>
              <w:ind w:left="220"/>
              <w:spacing w:after="0"/>
              <w:rPr>
                <w:sz w:val="20"/>
                <w:szCs w:val="20"/>
                <w:color w:val="auto"/>
              </w:rPr>
            </w:pPr>
            <w:r>
              <w:rPr>
                <w:rFonts w:ascii="Arial" w:cs="Arial" w:eastAsia="Arial" w:hAnsi="Arial"/>
                <w:sz w:val="16"/>
                <w:szCs w:val="16"/>
                <w:color w:val="auto"/>
              </w:rPr>
              <w:t>period) with a 1-year post-vesting mandatory</w:t>
            </w:r>
          </w:p>
        </w:tc>
        <w:tc>
          <w:tcPr>
            <w:tcW w:w="0" w:type="dxa"/>
            <w:vAlign w:val="bottom"/>
          </w:tcPr>
          <w:p>
            <w:pPr>
              <w:spacing w:after="0"/>
              <w:rPr>
                <w:sz w:val="1"/>
                <w:szCs w:val="1"/>
                <w:color w:val="auto"/>
              </w:rPr>
            </w:pPr>
          </w:p>
        </w:tc>
      </w:tr>
      <w:tr>
        <w:trPr>
          <w:trHeight w:val="94"/>
        </w:trPr>
        <w:tc>
          <w:tcPr>
            <w:tcW w:w="200" w:type="dxa"/>
            <w:vAlign w:val="bottom"/>
          </w:tcPr>
          <w:p>
            <w:pPr>
              <w:spacing w:after="0"/>
              <w:rPr>
                <w:sz w:val="8"/>
                <w:szCs w:val="8"/>
                <w:color w:val="auto"/>
              </w:rPr>
            </w:pPr>
          </w:p>
        </w:tc>
        <w:tc>
          <w:tcPr>
            <w:tcW w:w="1760" w:type="dxa"/>
            <w:vAlign w:val="bottom"/>
            <w:vMerge w:val="restart"/>
            <w:shd w:val="clear" w:color="auto" w:fill="EDF0FC"/>
          </w:tcPr>
          <w:p>
            <w:pPr>
              <w:ind w:left="20"/>
              <w:spacing w:after="0"/>
              <w:rPr>
                <w:sz w:val="20"/>
                <w:szCs w:val="20"/>
                <w:color w:val="auto"/>
              </w:rPr>
            </w:pPr>
            <w:r>
              <w:rPr>
                <w:rFonts w:ascii="Arial" w:cs="Arial" w:eastAsia="Arial" w:hAnsi="Arial"/>
                <w:sz w:val="16"/>
                <w:szCs w:val="16"/>
                <w:b w:val="1"/>
                <w:bCs w:val="1"/>
                <w:color w:val="auto"/>
              </w:rPr>
              <w:t>Performance</w:t>
            </w:r>
          </w:p>
        </w:tc>
        <w:tc>
          <w:tcPr>
            <w:tcW w:w="1260" w:type="dxa"/>
            <w:vAlign w:val="bottom"/>
            <w:vMerge w:val="continue"/>
            <w:shd w:val="clear" w:color="auto" w:fill="EDF0FC"/>
          </w:tcPr>
          <w:p>
            <w:pPr>
              <w:spacing w:after="0"/>
              <w:rPr>
                <w:sz w:val="8"/>
                <w:szCs w:val="8"/>
                <w:color w:val="auto"/>
              </w:rPr>
            </w:pPr>
          </w:p>
        </w:tc>
        <w:tc>
          <w:tcPr>
            <w:tcW w:w="1160" w:type="dxa"/>
            <w:vAlign w:val="bottom"/>
            <w:vMerge w:val="continue"/>
            <w:shd w:val="clear" w:color="auto" w:fill="EDF0FC"/>
          </w:tcPr>
          <w:p>
            <w:pPr>
              <w:spacing w:after="0"/>
              <w:rPr>
                <w:sz w:val="8"/>
                <w:szCs w:val="8"/>
                <w:color w:val="auto"/>
              </w:rPr>
            </w:pPr>
          </w:p>
        </w:tc>
        <w:tc>
          <w:tcPr>
            <w:tcW w:w="300" w:type="dxa"/>
            <w:vAlign w:val="bottom"/>
          </w:tcPr>
          <w:p>
            <w:pPr>
              <w:spacing w:after="0"/>
              <w:rPr>
                <w:sz w:val="8"/>
                <w:szCs w:val="8"/>
                <w:color w:val="auto"/>
              </w:rPr>
            </w:pPr>
          </w:p>
        </w:tc>
        <w:tc>
          <w:tcPr>
            <w:tcW w:w="4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0" w:type="dxa"/>
            <w:vAlign w:val="bottom"/>
          </w:tcPr>
          <w:p>
            <w:pPr>
              <w:spacing w:after="0"/>
              <w:rPr>
                <w:sz w:val="11"/>
                <w:szCs w:val="11"/>
                <w:color w:val="auto"/>
              </w:rPr>
            </w:pPr>
          </w:p>
        </w:tc>
        <w:tc>
          <w:tcPr>
            <w:tcW w:w="1760" w:type="dxa"/>
            <w:vAlign w:val="bottom"/>
            <w:vMerge w:val="continue"/>
            <w:shd w:val="clear" w:color="auto" w:fill="EDF0FC"/>
          </w:tcPr>
          <w:p>
            <w:pPr>
              <w:spacing w:after="0"/>
              <w:rPr>
                <w:sz w:val="11"/>
                <w:szCs w:val="11"/>
                <w:color w:val="auto"/>
              </w:rPr>
            </w:pPr>
          </w:p>
        </w:tc>
        <w:tc>
          <w:tcPr>
            <w:tcW w:w="1260" w:type="dxa"/>
            <w:vAlign w:val="bottom"/>
            <w:vMerge w:val="restart"/>
            <w:shd w:val="clear" w:color="auto" w:fill="EDF0FC"/>
          </w:tcPr>
          <w:p>
            <w:pPr>
              <w:ind w:left="20"/>
              <w:spacing w:after="0"/>
              <w:rPr>
                <w:sz w:val="20"/>
                <w:szCs w:val="20"/>
                <w:color w:val="auto"/>
              </w:rPr>
            </w:pPr>
            <w:r>
              <w:rPr>
                <w:rFonts w:ascii="Arial" w:cs="Arial" w:eastAsia="Arial" w:hAnsi="Arial"/>
                <w:sz w:val="16"/>
                <w:szCs w:val="16"/>
                <w:b w:val="1"/>
                <w:bCs w:val="1"/>
                <w:color w:val="auto"/>
              </w:rPr>
              <w:t>Indicators</w:t>
            </w:r>
          </w:p>
        </w:tc>
        <w:tc>
          <w:tcPr>
            <w:tcW w:w="1160" w:type="dxa"/>
            <w:vAlign w:val="bottom"/>
            <w:vMerge w:val="restart"/>
            <w:shd w:val="clear" w:color="auto" w:fill="EDF0FC"/>
          </w:tcPr>
          <w:p>
            <w:pPr>
              <w:ind w:left="20"/>
              <w:spacing w:after="0"/>
              <w:rPr>
                <w:sz w:val="20"/>
                <w:szCs w:val="20"/>
                <w:color w:val="auto"/>
              </w:rPr>
            </w:pPr>
            <w:r>
              <w:rPr>
                <w:rFonts w:ascii="Arial" w:cs="Arial" w:eastAsia="Arial" w:hAnsi="Arial"/>
                <w:sz w:val="16"/>
                <w:szCs w:val="16"/>
                <w:b w:val="1"/>
                <w:bCs w:val="1"/>
                <w:color w:val="auto"/>
              </w:rPr>
              <w:t>Management</w:t>
            </w:r>
          </w:p>
        </w:tc>
        <w:tc>
          <w:tcPr>
            <w:tcW w:w="300" w:type="dxa"/>
            <w:vAlign w:val="bottom"/>
          </w:tcPr>
          <w:p>
            <w:pPr>
              <w:spacing w:after="0"/>
              <w:rPr>
                <w:sz w:val="11"/>
                <w:szCs w:val="11"/>
                <w:color w:val="auto"/>
              </w:rPr>
            </w:pPr>
          </w:p>
        </w:tc>
        <w:tc>
          <w:tcPr>
            <w:tcW w:w="4080" w:type="dxa"/>
            <w:vAlign w:val="bottom"/>
            <w:gridSpan w:val="2"/>
            <w:vMerge w:val="restart"/>
          </w:tcPr>
          <w:p>
            <w:pPr>
              <w:ind w:left="220"/>
              <w:spacing w:after="0"/>
              <w:rPr>
                <w:sz w:val="20"/>
                <w:szCs w:val="20"/>
                <w:color w:val="auto"/>
              </w:rPr>
            </w:pPr>
            <w:r>
              <w:rPr>
                <w:rFonts w:ascii="Arial" w:cs="Arial" w:eastAsia="Arial" w:hAnsi="Arial"/>
                <w:sz w:val="16"/>
                <w:szCs w:val="16"/>
                <w:color w:val="auto"/>
              </w:rPr>
              <w:t>holding period</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1760" w:type="dxa"/>
            <w:vAlign w:val="bottom"/>
            <w:shd w:val="clear" w:color="auto" w:fill="EDF0FC"/>
          </w:tcPr>
          <w:p>
            <w:pPr>
              <w:spacing w:after="0"/>
              <w:rPr>
                <w:sz w:val="7"/>
                <w:szCs w:val="7"/>
                <w:color w:val="auto"/>
              </w:rPr>
            </w:pPr>
          </w:p>
        </w:tc>
        <w:tc>
          <w:tcPr>
            <w:tcW w:w="1260" w:type="dxa"/>
            <w:vAlign w:val="bottom"/>
            <w:vMerge w:val="continue"/>
            <w:shd w:val="clear" w:color="auto" w:fill="EDF0FC"/>
          </w:tcPr>
          <w:p>
            <w:pPr>
              <w:spacing w:after="0"/>
              <w:rPr>
                <w:sz w:val="7"/>
                <w:szCs w:val="7"/>
                <w:color w:val="auto"/>
              </w:rPr>
            </w:pPr>
          </w:p>
        </w:tc>
        <w:tc>
          <w:tcPr>
            <w:tcW w:w="1160" w:type="dxa"/>
            <w:vAlign w:val="bottom"/>
            <w:vMerge w:val="continue"/>
            <w:shd w:val="clear" w:color="auto" w:fill="EDF0FC"/>
          </w:tcPr>
          <w:p>
            <w:pPr>
              <w:spacing w:after="0"/>
              <w:rPr>
                <w:sz w:val="7"/>
                <w:szCs w:val="7"/>
                <w:color w:val="auto"/>
              </w:rPr>
            </w:pPr>
          </w:p>
        </w:tc>
        <w:tc>
          <w:tcPr>
            <w:tcW w:w="300" w:type="dxa"/>
            <w:vAlign w:val="bottom"/>
          </w:tcPr>
          <w:p>
            <w:pPr>
              <w:spacing w:after="0"/>
              <w:rPr>
                <w:sz w:val="7"/>
                <w:szCs w:val="7"/>
                <w:color w:val="auto"/>
              </w:rPr>
            </w:pPr>
          </w:p>
        </w:tc>
        <w:tc>
          <w:tcPr>
            <w:tcW w:w="4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200" w:type="dxa"/>
            <w:vAlign w:val="bottom"/>
          </w:tcPr>
          <w:p>
            <w:pPr>
              <w:spacing w:after="0"/>
              <w:rPr>
                <w:sz w:val="23"/>
                <w:szCs w:val="23"/>
                <w:color w:val="auto"/>
              </w:rPr>
            </w:pPr>
          </w:p>
        </w:tc>
        <w:tc>
          <w:tcPr>
            <w:tcW w:w="1760" w:type="dxa"/>
            <w:vAlign w:val="bottom"/>
            <w:shd w:val="clear" w:color="auto" w:fill="EDF0FC"/>
          </w:tcPr>
          <w:p>
            <w:pPr>
              <w:spacing w:after="0"/>
              <w:rPr>
                <w:sz w:val="23"/>
                <w:szCs w:val="23"/>
                <w:color w:val="auto"/>
              </w:rPr>
            </w:pPr>
          </w:p>
        </w:tc>
        <w:tc>
          <w:tcPr>
            <w:tcW w:w="1260" w:type="dxa"/>
            <w:vAlign w:val="bottom"/>
            <w:shd w:val="clear" w:color="auto" w:fill="EDF0FC"/>
          </w:tcPr>
          <w:p>
            <w:pPr>
              <w:spacing w:after="0"/>
              <w:rPr>
                <w:sz w:val="23"/>
                <w:szCs w:val="23"/>
                <w:color w:val="auto"/>
              </w:rPr>
            </w:pPr>
          </w:p>
        </w:tc>
        <w:tc>
          <w:tcPr>
            <w:tcW w:w="116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auto"/>
              </w:rPr>
              <w:t>Committee)</w:t>
            </w:r>
          </w:p>
        </w:tc>
        <w:tc>
          <w:tcPr>
            <w:tcW w:w="300" w:type="dxa"/>
            <w:vAlign w:val="bottom"/>
          </w:tcPr>
          <w:p>
            <w:pPr>
              <w:spacing w:after="0"/>
              <w:rPr>
                <w:sz w:val="23"/>
                <w:szCs w:val="23"/>
                <w:color w:val="auto"/>
              </w:rPr>
            </w:pPr>
          </w:p>
        </w:tc>
        <w:tc>
          <w:tcPr>
            <w:tcW w:w="4080" w:type="dxa"/>
            <w:vAlign w:val="bottom"/>
            <w:gridSpan w:val="2"/>
          </w:tcPr>
          <w:p>
            <w:pPr>
              <w:ind w:left="2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Performance Stock Options (earned based 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-890905</wp:posOffset>
            </wp:positionV>
            <wp:extent cx="5434965" cy="29743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34965" cy="2974340"/>
                    </a:xfrm>
                    <a:prstGeom prst="rect">
                      <a:avLst/>
                    </a:prstGeom>
                    <a:noFill/>
                  </pic:spPr>
                </pic:pic>
              </a:graphicData>
            </a:graphic>
          </wp:anchor>
        </w:drawing>
      </w:r>
    </w:p>
    <w:p>
      <w:pPr>
        <w:ind w:left="4900"/>
        <w:spacing w:after="0"/>
        <w:rPr>
          <w:sz w:val="20"/>
          <w:szCs w:val="20"/>
          <w:color w:val="auto"/>
        </w:rPr>
      </w:pPr>
      <w:r>
        <w:rPr>
          <w:rFonts w:ascii="Arial" w:cs="Arial" w:eastAsia="Arial" w:hAnsi="Arial"/>
          <w:sz w:val="16"/>
          <w:szCs w:val="16"/>
          <w:color w:val="auto"/>
        </w:rPr>
        <w:t>cumulative revenue and cumulative adjusted EPS</w:t>
      </w:r>
    </w:p>
    <w:p>
      <w:pPr>
        <w:spacing w:after="0" w:line="17"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over a 3-year performance period)</w:t>
      </w:r>
    </w:p>
    <w:p>
      <w:pPr>
        <w:sectPr>
          <w:pgSz w:w="11900" w:h="16838" w:orient="portrait"/>
          <w:cols w:equalWidth="0" w:num="1">
            <w:col w:w="11240"/>
          </w:cols>
          <w:pgMar w:left="320" w:top="167"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Aligns NEOs’ interests with stakeholders’ interests by:</w:t>
      </w:r>
    </w:p>
    <w:p>
      <w:pPr>
        <w:spacing w:after="0" w:line="140" w:lineRule="exact"/>
        <w:rPr>
          <w:sz w:val="20"/>
          <w:szCs w:val="20"/>
          <w:color w:val="auto"/>
        </w:rPr>
      </w:pPr>
    </w:p>
    <w:p>
      <w:pPr>
        <w:ind w:left="400" w:right="320" w:hanging="185"/>
        <w:spacing w:after="0" w:line="292" w:lineRule="auto"/>
        <w:tabs>
          <w:tab w:leader="none" w:pos="397" w:val="left"/>
        </w:tabs>
        <w:numPr>
          <w:ilvl w:val="0"/>
          <w:numId w:val="16"/>
        </w:numPr>
        <w:rPr>
          <w:rFonts w:ascii="Arial" w:cs="Arial" w:eastAsia="Arial" w:hAnsi="Arial"/>
          <w:sz w:val="16"/>
          <w:szCs w:val="16"/>
          <w:color w:val="1A3FD6"/>
        </w:rPr>
      </w:pPr>
      <w:r>
        <w:rPr>
          <w:rFonts w:ascii="Arial" w:cs="Arial" w:eastAsia="Arial" w:hAnsi="Arial"/>
          <w:sz w:val="16"/>
          <w:szCs w:val="16"/>
          <w:color w:val="auto"/>
        </w:rPr>
        <w:t>Rewarding performance for achievement of strategic goals, which are designed to position the Company competitively</w:t>
      </w:r>
    </w:p>
    <w:p>
      <w:pPr>
        <w:spacing w:after="0" w:line="16" w:lineRule="exact"/>
        <w:rPr>
          <w:rFonts w:ascii="Arial" w:cs="Arial" w:eastAsia="Arial" w:hAnsi="Arial"/>
          <w:sz w:val="16"/>
          <w:szCs w:val="16"/>
          <w:color w:val="1A3FD6"/>
        </w:rPr>
      </w:pPr>
    </w:p>
    <w:p>
      <w:pPr>
        <w:ind w:left="400" w:right="1200" w:hanging="185"/>
        <w:spacing w:after="0" w:line="304" w:lineRule="auto"/>
        <w:tabs>
          <w:tab w:leader="none" w:pos="397" w:val="left"/>
        </w:tabs>
        <w:numPr>
          <w:ilvl w:val="0"/>
          <w:numId w:val="16"/>
        </w:numPr>
        <w:rPr>
          <w:rFonts w:ascii="Arial" w:cs="Arial" w:eastAsia="Arial" w:hAnsi="Arial"/>
          <w:sz w:val="16"/>
          <w:szCs w:val="16"/>
          <w:color w:val="1A3FD6"/>
        </w:rPr>
      </w:pPr>
      <w:r>
        <w:rPr>
          <w:rFonts w:ascii="Arial" w:cs="Arial" w:eastAsia="Arial" w:hAnsi="Arial"/>
          <w:sz w:val="16"/>
          <w:szCs w:val="16"/>
          <w:color w:val="auto"/>
        </w:rPr>
        <w:t>Promoting strong financial results and shareholder value</w:t>
      </w:r>
    </w:p>
    <w:p>
      <w:pPr>
        <w:spacing w:after="0" w:line="6" w:lineRule="exact"/>
        <w:rPr>
          <w:rFonts w:ascii="Arial" w:cs="Arial" w:eastAsia="Arial" w:hAnsi="Arial"/>
          <w:sz w:val="16"/>
          <w:szCs w:val="16"/>
          <w:color w:val="1A3FD6"/>
        </w:rPr>
      </w:pPr>
    </w:p>
    <w:p>
      <w:pPr>
        <w:ind w:left="400" w:hanging="185"/>
        <w:spacing w:after="0" w:line="292" w:lineRule="auto"/>
        <w:tabs>
          <w:tab w:leader="none" w:pos="397" w:val="left"/>
        </w:tabs>
        <w:numPr>
          <w:ilvl w:val="0"/>
          <w:numId w:val="16"/>
        </w:numPr>
        <w:rPr>
          <w:rFonts w:ascii="Arial" w:cs="Arial" w:eastAsia="Arial" w:hAnsi="Arial"/>
          <w:sz w:val="16"/>
          <w:szCs w:val="16"/>
          <w:color w:val="1A3FD6"/>
        </w:rPr>
      </w:pPr>
      <w:r>
        <w:rPr>
          <w:rFonts w:ascii="Arial" w:cs="Arial" w:eastAsia="Arial" w:hAnsi="Arial"/>
          <w:sz w:val="16"/>
          <w:szCs w:val="16"/>
          <w:color w:val="auto"/>
        </w:rPr>
        <w:t>Incentivizing a corporate culture that drives innovation, employee engagement and sustainable business outcomes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ind w:left="3" w:right="3040"/>
        <w:spacing w:after="0" w:line="308" w:lineRule="auto"/>
        <w:rPr>
          <w:sz w:val="20"/>
          <w:szCs w:val="20"/>
          <w:color w:val="auto"/>
        </w:rPr>
      </w:pPr>
      <w:r>
        <w:rPr>
          <w:rFonts w:ascii="Arial" w:cs="Arial" w:eastAsia="Arial" w:hAnsi="Arial"/>
          <w:sz w:val="16"/>
          <w:szCs w:val="16"/>
          <w:color w:val="auto"/>
        </w:rPr>
        <w:t>Further aligns NEOs’ interests with stakeholders’ interests by:</w:t>
      </w:r>
    </w:p>
    <w:p>
      <w:pPr>
        <w:ind w:left="203" w:right="3340" w:hanging="203"/>
        <w:spacing w:after="0" w:line="289" w:lineRule="auto"/>
        <w:tabs>
          <w:tab w:leader="none" w:pos="200" w:val="left"/>
        </w:tabs>
        <w:numPr>
          <w:ilvl w:val="0"/>
          <w:numId w:val="17"/>
        </w:numPr>
        <w:rPr>
          <w:rFonts w:ascii="Arial" w:cs="Arial" w:eastAsia="Arial" w:hAnsi="Arial"/>
          <w:sz w:val="16"/>
          <w:szCs w:val="16"/>
          <w:color w:val="1A3FD6"/>
        </w:rPr>
      </w:pPr>
      <w:r>
        <w:rPr>
          <w:rFonts w:ascii="Arial" w:cs="Arial" w:eastAsia="Arial" w:hAnsi="Arial"/>
          <w:sz w:val="16"/>
          <w:szCs w:val="16"/>
          <w:color w:val="auto"/>
        </w:rPr>
        <w:t>Promoting an “owner-operator” mindset among senior leaders with rigorous share ownership guidelines and additional share retention requirements</w:t>
      </w:r>
    </w:p>
    <w:p>
      <w:pPr>
        <w:spacing w:after="0" w:line="18" w:lineRule="exact"/>
        <w:rPr>
          <w:rFonts w:ascii="Arial" w:cs="Arial" w:eastAsia="Arial" w:hAnsi="Arial"/>
          <w:sz w:val="16"/>
          <w:szCs w:val="16"/>
          <w:color w:val="1A3FD6"/>
        </w:rPr>
      </w:pPr>
    </w:p>
    <w:p>
      <w:pPr>
        <w:ind w:left="203" w:right="2900" w:hanging="203"/>
        <w:spacing w:after="0" w:line="289" w:lineRule="auto"/>
        <w:tabs>
          <w:tab w:leader="none" w:pos="200" w:val="left"/>
        </w:tabs>
        <w:numPr>
          <w:ilvl w:val="0"/>
          <w:numId w:val="17"/>
        </w:numPr>
        <w:rPr>
          <w:rFonts w:ascii="Arial" w:cs="Arial" w:eastAsia="Arial" w:hAnsi="Arial"/>
          <w:sz w:val="16"/>
          <w:szCs w:val="16"/>
          <w:color w:val="1A3FD6"/>
        </w:rPr>
      </w:pPr>
      <w:r>
        <w:rPr>
          <w:rFonts w:ascii="Arial" w:cs="Arial" w:eastAsia="Arial" w:hAnsi="Arial"/>
          <w:sz w:val="16"/>
          <w:szCs w:val="16"/>
          <w:color w:val="auto"/>
        </w:rPr>
        <w:t>Linking a substantial portion of long-term compensation to the achievement of operational results (revenue and adjusted EPS) and shareholder value creation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1002030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320" w:space="377"/>
            <w:col w:w="6543"/>
          </w:cols>
          <w:pgMar w:left="320" w:top="167" w:right="339" w:bottom="1440" w:gutter="0" w:footer="0" w:header="0"/>
          <w:type w:val="continuous"/>
        </w:sectPr>
      </w:pPr>
    </w:p>
    <w:bookmarkStart w:id="17" w:name="page18"/>
    <w:bookmarkEnd w:id="17"/>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16</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2024 Pay Mix</w:t>
      </w:r>
    </w:p>
    <w:p>
      <w:pPr>
        <w:spacing w:after="0" w:line="246"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20"/>
          <w:szCs w:val="20"/>
          <w:color w:val="1A3FD6"/>
        </w:rPr>
        <w:t>2024 Annualized CEO</w:t>
      </w:r>
      <w:r>
        <w:rPr>
          <w:sz w:val="20"/>
          <w:szCs w:val="20"/>
          <w:color w:val="auto"/>
        </w:rPr>
        <w:tab/>
      </w:r>
      <w:r>
        <w:rPr>
          <w:rFonts w:ascii="Arial" w:cs="Arial" w:eastAsia="Arial" w:hAnsi="Arial"/>
          <w:sz w:val="19"/>
          <w:szCs w:val="19"/>
          <w:color w:val="1A3FD6"/>
        </w:rPr>
        <w:t>2024 Average Annualized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054850" cy="18948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54850" cy="1894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In 2024, our CEO received over 90% of his compensation in the form of “at-risk” variable compensation under the AIP and LTIP (on average, over 85% in the case of our other NEOs).</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Annual Incentive Plan</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2024 AIP for members of our Management Committee, including our NEOs, closely aligned the interests of our NEOs with those of our shareholders by emphasizing a formulaic approach to determining annual cash incentive awards, which, through 2024, were based on the achievement of specified financial criteria aligned with our Board-approved Operating Plan (70% of the target annual cash bonus under the AIP), individual key performance indicators (“KPIs”) (20% of the target annual cash bonus under the AIP), and sustainability goals (“Sustainability Goals”) (10% of the target annual cash bonus under the AIP). The Compensation Committee regularly assesses the components and metrics used in the AIP and the weighting of those components, in addition to taking into account shareholder feedback.</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about the AIP program, please see the discussion on page 69 of this Proxy Statement.</w:t>
      </w:r>
    </w:p>
    <w:p>
      <w:pPr>
        <w:spacing w:after="0" w:line="120"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Long-Term Incentive Plan</w:t>
      </w:r>
    </w:p>
    <w:p>
      <w:pPr>
        <w:spacing w:after="0" w:line="18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LTIP prioritizes sustained, long-term shareholder value creation and facilitates an “owner-operator” mindset among our senior executives. Since 2022, the award mix under our LTIP for our NEOs has been comprised of restricted stock units (“RSUs”), performance stock units (“PSUs”) and performance stock options (“PSOs”), the mix of which varies based on position. Consistent with our past practice, our CEO and our President and COO were granted 100% of their LTIP awards in 2024 in the form of PSUs and PSOs tied to performance metrics and were not granted any time-based RSUs.</w:t>
      </w:r>
    </w:p>
    <w:p>
      <w:pPr>
        <w:spacing w:after="0" w:line="72" w:lineRule="exact"/>
        <w:rPr>
          <w:sz w:val="20"/>
          <w:szCs w:val="20"/>
          <w:color w:val="auto"/>
        </w:rPr>
      </w:pPr>
    </w:p>
    <w:p>
      <w:pPr>
        <w:ind w:right="340"/>
        <w:spacing w:after="0" w:line="292" w:lineRule="auto"/>
        <w:rPr>
          <w:sz w:val="20"/>
          <w:szCs w:val="20"/>
          <w:color w:val="auto"/>
        </w:rPr>
      </w:pPr>
      <w:r>
        <w:rPr>
          <w:rFonts w:ascii="Arial" w:cs="Arial" w:eastAsia="Arial" w:hAnsi="Arial"/>
          <w:sz w:val="16"/>
          <w:szCs w:val="16"/>
          <w:color w:val="auto"/>
        </w:rPr>
        <w:t>In 2024, the Compensation Committee, based on feedback received from shareholders, lowered the PSUs maximum payout cap from 300% to 200% of target. Accordingly, the PSUs granted to our NEOs in 2024 reflect the right to receive between 0% and 200% of the target number of shares based on achievement of the absolute total shareholder return compound annual growth rate (“TSR CAGR”) performance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2" w:right="3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8880"/>
              <w:spacing w:after="0"/>
              <w:rPr>
                <w:sz w:val="20"/>
                <w:szCs w:val="20"/>
                <w:color w:val="auto"/>
              </w:rPr>
            </w:pPr>
            <w:r>
              <w:rPr>
                <w:rFonts w:ascii="Arial" w:cs="Arial" w:eastAsia="Arial" w:hAnsi="Arial"/>
                <w:sz w:val="14"/>
                <w:szCs w:val="14"/>
                <w:b w:val="1"/>
                <w:bCs w:val="1"/>
                <w:color w:val="1A3FD6"/>
              </w:rPr>
              <w:t>Proxy Summary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17</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LTIP comprises a mix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shd w:val="clear" w:color="auto" w:fill="0626A9"/>
          </w:tcPr>
          <w:p>
            <w:pPr>
              <w:spacing w:after="0"/>
              <w:rPr>
                <w:sz w:val="14"/>
                <w:szCs w:val="14"/>
                <w:color w:val="auto"/>
              </w:rPr>
            </w:pPr>
          </w:p>
        </w:tc>
        <w:tc>
          <w:tcPr>
            <w:tcW w:w="10420" w:type="dxa"/>
            <w:vAlign w:val="bottom"/>
            <w:shd w:val="clear" w:color="auto" w:fill="0626A9"/>
          </w:tcPr>
          <w:p>
            <w:pPr>
              <w:spacing w:after="0"/>
              <w:rPr>
                <w:sz w:val="14"/>
                <w:szCs w:val="14"/>
                <w:color w:val="auto"/>
              </w:rPr>
            </w:pPr>
          </w:p>
        </w:tc>
      </w:tr>
      <w:tr>
        <w:trPr>
          <w:trHeight w:val="330"/>
        </w:trPr>
        <w:tc>
          <w:tcPr>
            <w:tcW w:w="820" w:type="dxa"/>
            <w:vAlign w:val="bottom"/>
            <w:shd w:val="clear" w:color="auto" w:fill="0626A9"/>
          </w:tcPr>
          <w:p>
            <w:pPr>
              <w:ind w:left="200"/>
              <w:spacing w:after="0"/>
              <w:rPr>
                <w:sz w:val="20"/>
                <w:szCs w:val="20"/>
                <w:color w:val="auto"/>
              </w:rPr>
            </w:pPr>
            <w:r>
              <w:rPr>
                <w:rFonts w:ascii="Arial" w:cs="Arial" w:eastAsia="Arial" w:hAnsi="Arial"/>
                <w:sz w:val="16"/>
                <w:szCs w:val="16"/>
                <w:b w:val="1"/>
                <w:bCs w:val="1"/>
                <w:color w:val="FFFFFF"/>
              </w:rPr>
              <w:t>RSUs</w:t>
            </w:r>
          </w:p>
        </w:tc>
        <w:tc>
          <w:tcPr>
            <w:tcW w:w="10420" w:type="dxa"/>
            <w:vAlign w:val="bottom"/>
          </w:tcPr>
          <w:p>
            <w:pPr>
              <w:ind w:left="14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Annual grant of RSUs to our NEOs (other than our CEO and our President and COO) that cliff-vest at the end of a three-year service period.</w:t>
            </w:r>
          </w:p>
        </w:tc>
      </w:tr>
      <w:tr>
        <w:trPr>
          <w:trHeight w:val="183"/>
        </w:trPr>
        <w:tc>
          <w:tcPr>
            <w:tcW w:w="820" w:type="dxa"/>
            <w:vAlign w:val="bottom"/>
            <w:shd w:val="clear" w:color="auto" w:fill="0626A9"/>
          </w:tcPr>
          <w:p>
            <w:pPr>
              <w:spacing w:after="0"/>
              <w:rPr>
                <w:sz w:val="15"/>
                <w:szCs w:val="15"/>
                <w:color w:val="auto"/>
              </w:rPr>
            </w:pPr>
          </w:p>
        </w:tc>
        <w:tc>
          <w:tcPr>
            <w:tcW w:w="10420" w:type="dxa"/>
            <w:vAlign w:val="bottom"/>
          </w:tcPr>
          <w:p>
            <w:pPr>
              <w:spacing w:after="0"/>
              <w:rPr>
                <w:sz w:val="15"/>
                <w:szCs w:val="15"/>
                <w:color w:val="auto"/>
              </w:rPr>
            </w:pPr>
          </w:p>
        </w:tc>
      </w:tr>
      <w:tr>
        <w:trPr>
          <w:trHeight w:val="162"/>
        </w:trPr>
        <w:tc>
          <w:tcPr>
            <w:tcW w:w="820" w:type="dxa"/>
            <w:vAlign w:val="bottom"/>
            <w:shd w:val="clear" w:color="auto" w:fill="445CBE"/>
          </w:tcPr>
          <w:p>
            <w:pPr>
              <w:spacing w:after="0"/>
              <w:rPr>
                <w:sz w:val="14"/>
                <w:szCs w:val="14"/>
                <w:color w:val="auto"/>
              </w:rPr>
            </w:pPr>
          </w:p>
        </w:tc>
        <w:tc>
          <w:tcPr>
            <w:tcW w:w="10420" w:type="dxa"/>
            <w:vAlign w:val="bottom"/>
            <w:shd w:val="clear" w:color="auto" w:fill="445CBE"/>
          </w:tcPr>
          <w:p>
            <w:pPr>
              <w:spacing w:after="0"/>
              <w:rPr>
                <w:sz w:val="14"/>
                <w:szCs w:val="14"/>
                <w:color w:val="auto"/>
              </w:rPr>
            </w:pPr>
          </w:p>
        </w:tc>
      </w:tr>
      <w:tr>
        <w:trPr>
          <w:trHeight w:val="330"/>
        </w:trPr>
        <w:tc>
          <w:tcPr>
            <w:tcW w:w="820" w:type="dxa"/>
            <w:vAlign w:val="bottom"/>
            <w:shd w:val="clear" w:color="auto" w:fill="445CBE"/>
          </w:tcPr>
          <w:p>
            <w:pPr>
              <w:ind w:left="200"/>
              <w:spacing w:after="0"/>
              <w:rPr>
                <w:sz w:val="20"/>
                <w:szCs w:val="20"/>
                <w:color w:val="auto"/>
              </w:rPr>
            </w:pPr>
            <w:r>
              <w:rPr>
                <w:rFonts w:ascii="Arial" w:cs="Arial" w:eastAsia="Arial" w:hAnsi="Arial"/>
                <w:sz w:val="16"/>
                <w:szCs w:val="16"/>
                <w:b w:val="1"/>
                <w:bCs w:val="1"/>
                <w:color w:val="FFFFFF"/>
              </w:rPr>
              <w:t>PSUs</w:t>
            </w:r>
          </w:p>
        </w:tc>
        <w:tc>
          <w:tcPr>
            <w:tcW w:w="10420" w:type="dxa"/>
            <w:vAlign w:val="bottom"/>
          </w:tcPr>
          <w:p>
            <w:pPr>
              <w:ind w:left="14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Annual grant of PSUs which cover a cumulative three-year performance period.</w:t>
            </w:r>
          </w:p>
        </w:tc>
      </w:tr>
      <w:tr>
        <w:trPr>
          <w:trHeight w:val="248"/>
        </w:trPr>
        <w:tc>
          <w:tcPr>
            <w:tcW w:w="820" w:type="dxa"/>
            <w:vAlign w:val="bottom"/>
            <w:shd w:val="clear" w:color="auto" w:fill="445CBE"/>
          </w:tcPr>
          <w:p>
            <w:pPr>
              <w:spacing w:after="0"/>
              <w:rPr>
                <w:sz w:val="21"/>
                <w:szCs w:val="21"/>
                <w:color w:val="auto"/>
              </w:rPr>
            </w:pPr>
          </w:p>
        </w:tc>
        <w:tc>
          <w:tcPr>
            <w:tcW w:w="10420" w:type="dxa"/>
            <w:vAlign w:val="bottom"/>
          </w:tcPr>
          <w:p>
            <w:pPr>
              <w:ind w:left="14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The PSUs are eligible to vest between 0% and 200% for PSU grants, based on the achievement of an absolute TSR CAGR performance</w:t>
            </w:r>
          </w:p>
        </w:tc>
      </w:tr>
      <w:tr>
        <w:trPr>
          <w:trHeight w:val="216"/>
        </w:trPr>
        <w:tc>
          <w:tcPr>
            <w:tcW w:w="820" w:type="dxa"/>
            <w:vAlign w:val="bottom"/>
            <w:shd w:val="clear" w:color="auto" w:fill="445CBE"/>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6"/>
                <w:szCs w:val="16"/>
                <w:color w:val="auto"/>
              </w:rPr>
              <w:t>metric.</w:t>
            </w:r>
          </w:p>
        </w:tc>
      </w:tr>
      <w:tr>
        <w:trPr>
          <w:trHeight w:val="257"/>
        </w:trPr>
        <w:tc>
          <w:tcPr>
            <w:tcW w:w="820" w:type="dxa"/>
            <w:vAlign w:val="bottom"/>
            <w:shd w:val="clear" w:color="auto" w:fill="445CBE"/>
          </w:tcPr>
          <w:p>
            <w:pPr>
              <w:spacing w:after="0"/>
              <w:rPr>
                <w:sz w:val="22"/>
                <w:szCs w:val="22"/>
                <w:color w:val="auto"/>
              </w:rPr>
            </w:pPr>
          </w:p>
        </w:tc>
        <w:tc>
          <w:tcPr>
            <w:tcW w:w="10420" w:type="dxa"/>
            <w:vAlign w:val="bottom"/>
          </w:tcPr>
          <w:p>
            <w:pPr>
              <w:ind w:left="14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The PSUs include a one-year post-vest mandatory holding period.</w:t>
            </w:r>
          </w:p>
        </w:tc>
      </w:tr>
      <w:tr>
        <w:trPr>
          <w:trHeight w:val="191"/>
        </w:trPr>
        <w:tc>
          <w:tcPr>
            <w:tcW w:w="820" w:type="dxa"/>
            <w:vAlign w:val="bottom"/>
            <w:shd w:val="clear" w:color="auto" w:fill="445CBE"/>
          </w:tcPr>
          <w:p>
            <w:pPr>
              <w:spacing w:after="0"/>
              <w:rPr>
                <w:sz w:val="16"/>
                <w:szCs w:val="16"/>
                <w:color w:val="auto"/>
              </w:rPr>
            </w:pPr>
          </w:p>
        </w:tc>
        <w:tc>
          <w:tcPr>
            <w:tcW w:w="10420" w:type="dxa"/>
            <w:vAlign w:val="bottom"/>
          </w:tcPr>
          <w:p>
            <w:pPr>
              <w:spacing w:after="0"/>
              <w:rPr>
                <w:sz w:val="16"/>
                <w:szCs w:val="16"/>
                <w:color w:val="auto"/>
              </w:rPr>
            </w:pPr>
          </w:p>
        </w:tc>
      </w:tr>
      <w:tr>
        <w:trPr>
          <w:trHeight w:val="162"/>
        </w:trPr>
        <w:tc>
          <w:tcPr>
            <w:tcW w:w="820" w:type="dxa"/>
            <w:vAlign w:val="bottom"/>
            <w:shd w:val="clear" w:color="auto" w:fill="8292D4"/>
          </w:tcPr>
          <w:p>
            <w:pPr>
              <w:spacing w:after="0"/>
              <w:rPr>
                <w:sz w:val="14"/>
                <w:szCs w:val="14"/>
                <w:color w:val="auto"/>
              </w:rPr>
            </w:pPr>
          </w:p>
        </w:tc>
        <w:tc>
          <w:tcPr>
            <w:tcW w:w="10420" w:type="dxa"/>
            <w:vAlign w:val="bottom"/>
            <w:shd w:val="clear" w:color="auto" w:fill="8292D4"/>
          </w:tcPr>
          <w:p>
            <w:pPr>
              <w:spacing w:after="0"/>
              <w:rPr>
                <w:sz w:val="14"/>
                <w:szCs w:val="14"/>
                <w:color w:val="auto"/>
              </w:rPr>
            </w:pPr>
          </w:p>
        </w:tc>
      </w:tr>
      <w:tr>
        <w:trPr>
          <w:trHeight w:val="330"/>
        </w:trPr>
        <w:tc>
          <w:tcPr>
            <w:tcW w:w="820" w:type="dxa"/>
            <w:vAlign w:val="bottom"/>
            <w:shd w:val="clear" w:color="auto" w:fill="8292D4"/>
          </w:tcPr>
          <w:p>
            <w:pPr>
              <w:ind w:left="200"/>
              <w:spacing w:after="0"/>
              <w:rPr>
                <w:sz w:val="20"/>
                <w:szCs w:val="20"/>
                <w:color w:val="auto"/>
              </w:rPr>
            </w:pPr>
            <w:r>
              <w:rPr>
                <w:rFonts w:ascii="Arial" w:cs="Arial" w:eastAsia="Arial" w:hAnsi="Arial"/>
                <w:sz w:val="16"/>
                <w:szCs w:val="16"/>
                <w:b w:val="1"/>
                <w:bCs w:val="1"/>
                <w:color w:val="FFFFFF"/>
              </w:rPr>
              <w:t>PSOs</w:t>
            </w:r>
          </w:p>
        </w:tc>
        <w:tc>
          <w:tcPr>
            <w:tcW w:w="10420" w:type="dxa"/>
            <w:vAlign w:val="bottom"/>
          </w:tcPr>
          <w:p>
            <w:pPr>
              <w:ind w:left="14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Annual grant of PSOs which cover a cumulative three-year performance period.</w:t>
            </w:r>
          </w:p>
        </w:tc>
      </w:tr>
      <w:tr>
        <w:trPr>
          <w:trHeight w:val="248"/>
        </w:trPr>
        <w:tc>
          <w:tcPr>
            <w:tcW w:w="820" w:type="dxa"/>
            <w:vAlign w:val="bottom"/>
            <w:shd w:val="clear" w:color="auto" w:fill="8292D4"/>
          </w:tcPr>
          <w:p>
            <w:pPr>
              <w:spacing w:after="0"/>
              <w:rPr>
                <w:sz w:val="21"/>
                <w:szCs w:val="21"/>
                <w:color w:val="auto"/>
              </w:rPr>
            </w:pPr>
          </w:p>
        </w:tc>
        <w:tc>
          <w:tcPr>
            <w:tcW w:w="10420" w:type="dxa"/>
            <w:vAlign w:val="bottom"/>
          </w:tcPr>
          <w:p>
            <w:pPr>
              <w:ind w:left="14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The PSOs are eligible to vest between 0% and 200% based on the combined level of achievement of (i) a cumulative revenue performance</w:t>
            </w:r>
          </w:p>
        </w:tc>
      </w:tr>
      <w:tr>
        <w:trPr>
          <w:trHeight w:val="216"/>
        </w:trPr>
        <w:tc>
          <w:tcPr>
            <w:tcW w:w="820" w:type="dxa"/>
            <w:vAlign w:val="bottom"/>
            <w:shd w:val="clear" w:color="auto" w:fill="8292D4"/>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6"/>
                <w:szCs w:val="16"/>
                <w:color w:val="auto"/>
              </w:rPr>
              <w:t>goal and (ii) a cumulative adjusted EPS performance goal (each weighted equally).</w:t>
            </w:r>
          </w:p>
        </w:tc>
      </w:tr>
      <w:tr>
        <w:trPr>
          <w:trHeight w:val="257"/>
        </w:trPr>
        <w:tc>
          <w:tcPr>
            <w:tcW w:w="820" w:type="dxa"/>
            <w:vAlign w:val="bottom"/>
            <w:shd w:val="clear" w:color="auto" w:fill="8292D4"/>
          </w:tcPr>
          <w:p>
            <w:pPr>
              <w:spacing w:after="0"/>
              <w:rPr>
                <w:sz w:val="22"/>
                <w:szCs w:val="22"/>
                <w:color w:val="auto"/>
              </w:rPr>
            </w:pPr>
          </w:p>
        </w:tc>
        <w:tc>
          <w:tcPr>
            <w:tcW w:w="10420" w:type="dxa"/>
            <w:vAlign w:val="bottom"/>
          </w:tcPr>
          <w:p>
            <w:pPr>
              <w:ind w:left="14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Share price of MSCI common stock must exceed exercise price for a participant to realize value.</w:t>
            </w:r>
          </w:p>
        </w:tc>
      </w:tr>
      <w:tr>
        <w:trPr>
          <w:trHeight w:val="191"/>
        </w:trPr>
        <w:tc>
          <w:tcPr>
            <w:tcW w:w="820" w:type="dxa"/>
            <w:vAlign w:val="bottom"/>
            <w:shd w:val="clear" w:color="auto" w:fill="8292D4"/>
          </w:tcPr>
          <w:p>
            <w:pPr>
              <w:spacing w:after="0"/>
              <w:rPr>
                <w:sz w:val="16"/>
                <w:szCs w:val="16"/>
                <w:color w:val="auto"/>
              </w:rPr>
            </w:pPr>
          </w:p>
        </w:tc>
        <w:tc>
          <w:tcPr>
            <w:tcW w:w="10420" w:type="dxa"/>
            <w:vAlign w:val="bottom"/>
          </w:tcPr>
          <w:p>
            <w:pPr>
              <w:spacing w:after="0"/>
              <w:rPr>
                <w:sz w:val="16"/>
                <w:szCs w:val="16"/>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about the LTIP, please see the discussion beginning on page 74 of this Proxy Statement.</w:t>
      </w:r>
    </w:p>
    <w:p>
      <w:pPr>
        <w:spacing w:after="0" w:line="80"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Engagement with Shareholders</w:t>
      </w:r>
    </w:p>
    <w:p>
      <w:pPr>
        <w:spacing w:after="0" w:line="159" w:lineRule="exact"/>
        <w:rPr>
          <w:sz w:val="20"/>
          <w:szCs w:val="20"/>
          <w:color w:val="auto"/>
        </w:rPr>
      </w:pPr>
    </w:p>
    <w:p>
      <w:pPr>
        <w:ind w:right="400"/>
        <w:spacing w:after="0" w:line="292" w:lineRule="auto"/>
        <w:rPr>
          <w:sz w:val="20"/>
          <w:szCs w:val="20"/>
          <w:color w:val="auto"/>
        </w:rPr>
      </w:pPr>
      <w:r>
        <w:rPr>
          <w:rFonts w:ascii="Arial" w:cs="Arial" w:eastAsia="Arial" w:hAnsi="Arial"/>
          <w:sz w:val="16"/>
          <w:szCs w:val="16"/>
          <w:color w:val="auto"/>
        </w:rPr>
        <w:t>We believe in proactive, ongoing engagement with our shareholders regarding our executive compensation to better understand their viewpoints. In our 2024 off-season Corporate Responsibility Roadshow, we met with shareholders representing approximately 27.8% of our outstanding shares as of September 30, 2024 to discuss our corporate responsibility practices, including our executive compensation program.</w:t>
      </w:r>
    </w:p>
    <w:p>
      <w:pPr>
        <w:spacing w:after="0" w:line="30"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In response to shareholder feedback, we have made several enhancements in recent years to strengthen alignment with market best practices. Beginning in 2024, we lowered the PSU payout maximum from 300% to 200% and amended our stock ownership guidelines to exclude unexercised options and unvested performance awards from the minimum ownership calculation. These updates build on prior changes, including strengthened stock ownership requirements, the introduction of PSOs tied to financial and operational metrics, and a shift to three-year cliff-vesting for RSUs, reinforcing our owner-operator culture and pay-for-performance alignment.</w:t>
      </w:r>
    </w:p>
    <w:p>
      <w:pPr>
        <w:spacing w:after="0" w:line="40" w:lineRule="exact"/>
        <w:rPr>
          <w:sz w:val="20"/>
          <w:szCs w:val="20"/>
          <w:color w:val="auto"/>
        </w:rPr>
      </w:pPr>
    </w:p>
    <w:p>
      <w:pPr>
        <w:ind w:right="760"/>
        <w:spacing w:after="0" w:line="292" w:lineRule="auto"/>
        <w:rPr>
          <w:sz w:val="20"/>
          <w:szCs w:val="20"/>
          <w:color w:val="auto"/>
        </w:rPr>
      </w:pPr>
      <w:r>
        <w:rPr>
          <w:rFonts w:ascii="Arial" w:cs="Arial" w:eastAsia="Arial" w:hAnsi="Arial"/>
          <w:sz w:val="16"/>
          <w:szCs w:val="16"/>
          <w:color w:val="auto"/>
        </w:rPr>
        <w:t>In recent years, our shareholders have expressed support for our executive compensation program, including at our 2024 annual meeting at which approximately 97.3% of the votes cast approved our “Say on Pay” advisory proposal. As indicated in the chart below, this represents the seventh consecutive year of “Say on Pay” approval of 96% or higher.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20"/>
          <w:szCs w:val="20"/>
          <w:color w:val="1A3FD6"/>
        </w:rPr>
        <w:t>High Approval for the Last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73660</wp:posOffset>
            </wp:positionV>
            <wp:extent cx="3463290" cy="18345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6329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280"/>
        <w:spacing w:after="0"/>
        <w:rPr>
          <w:sz w:val="20"/>
          <w:szCs w:val="20"/>
          <w:color w:val="auto"/>
        </w:rPr>
      </w:pPr>
      <w:r>
        <w:rPr>
          <w:rFonts w:ascii="Arial" w:cs="Arial" w:eastAsia="Arial" w:hAnsi="Arial"/>
          <w:sz w:val="12"/>
          <w:szCs w:val="12"/>
          <w:b w:val="1"/>
          <w:bCs w:val="1"/>
          <w:color w:val="1A3FD6"/>
        </w:rPr>
        <w:t xml:space="preserve">¢  </w:t>
      </w:r>
      <w:r>
        <w:rPr>
          <w:rFonts w:ascii="Arial" w:cs="Arial" w:eastAsia="Arial" w:hAnsi="Arial"/>
          <w:sz w:val="14"/>
          <w:szCs w:val="14"/>
          <w:color w:val="000000"/>
        </w:rPr>
        <w:t xml:space="preserve">MSCI     </w:t>
      </w:r>
      <w:r>
        <w:rPr>
          <w:sz w:val="1"/>
          <w:szCs w:val="1"/>
          <w:color w:val="auto"/>
        </w:rPr>
        <w:drawing>
          <wp:inline distT="0" distB="0" distL="0" distR="0">
            <wp:extent cx="163195" cy="6032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3195" cy="60325"/>
                    </a:xfrm>
                    <a:prstGeom prst="rect">
                      <a:avLst/>
                    </a:prstGeom>
                    <a:noFill/>
                    <a:ln>
                      <a:noFill/>
                    </a:ln>
                  </pic:spPr>
                </pic:pic>
              </a:graphicData>
            </a:graphic>
          </wp:inline>
        </w:drawing>
      </w:r>
      <w:r>
        <w:rPr>
          <w:rFonts w:ascii="Arial" w:cs="Arial" w:eastAsia="Arial" w:hAnsi="Arial"/>
          <w:sz w:val="14"/>
          <w:szCs w:val="14"/>
          <w:color w:val="auto"/>
        </w:rPr>
        <w:t xml:space="preserve">   S&amp;P 500 Average</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To read more about shareholder feedback relating to our Executive Compensation program, see the discussion on page 65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19" w:name="page20"/>
    <w:bookmarkEnd w:id="19"/>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18</w:t>
      </w:r>
      <w:r>
        <w:rPr>
          <w:sz w:val="20"/>
          <w:szCs w:val="20"/>
          <w:color w:val="auto"/>
        </w:rPr>
        <w:tab/>
      </w:r>
      <w:r>
        <w:rPr>
          <w:rFonts w:ascii="Arial" w:cs="Arial" w:eastAsia="Arial" w:hAnsi="Arial"/>
          <w:sz w:val="14"/>
          <w:szCs w:val="14"/>
          <w:b w:val="1"/>
          <w:bCs w:val="1"/>
          <w:color w:val="1A3FD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9601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PROPOSAL 3</w:t>
      </w:r>
    </w:p>
    <w:p>
      <w:pPr>
        <w:spacing w:after="0" w:line="39" w:lineRule="exact"/>
        <w:rPr>
          <w:sz w:val="20"/>
          <w:szCs w:val="20"/>
          <w:color w:val="auto"/>
        </w:rPr>
      </w:pPr>
    </w:p>
    <w:p>
      <w:pPr>
        <w:ind w:left="1300" w:right="3020"/>
        <w:spacing w:after="0" w:line="291" w:lineRule="auto"/>
        <w:rPr>
          <w:sz w:val="20"/>
          <w:szCs w:val="20"/>
          <w:color w:val="auto"/>
        </w:rPr>
      </w:pPr>
      <w:r>
        <w:rPr>
          <w:rFonts w:ascii="Arial" w:cs="Arial" w:eastAsia="Arial" w:hAnsi="Arial"/>
          <w:sz w:val="36"/>
          <w:szCs w:val="36"/>
          <w:b w:val="1"/>
          <w:bCs w:val="1"/>
          <w:color w:val="1A3FD6"/>
        </w:rPr>
        <w:t>Approval of the MSCI Inc. 2025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8345" cy="3771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345" cy="377190"/>
                    </a:xfrm>
                    <a:prstGeom prst="rect">
                      <a:avLst/>
                    </a:prstGeom>
                    <a:noFill/>
                  </pic:spPr>
                </pic:pic>
              </a:graphicData>
            </a:graphic>
          </wp:anchor>
        </w:drawing>
      </w:r>
    </w:p>
    <w:tbl>
      <w:tblPr>
        <w:tblLayout w:type="fixed"/>
        <w:tblInd w:w="1160" w:type="dxa"/>
        <w:tblCellMar>
          <w:top w:w="0" w:type="dxa"/>
          <w:left w:w="0" w:type="dxa"/>
          <w:bottom w:w="0" w:type="dxa"/>
          <w:right w:w="0" w:type="dxa"/>
        </w:tblCellMar>
      </w:tblPr>
      <w:tr>
        <w:trPr>
          <w:trHeight w:val="398"/>
        </w:trPr>
        <w:tc>
          <w:tcPr>
            <w:tcW w:w="7840" w:type="dxa"/>
            <w:vAlign w:val="bottom"/>
            <w:shd w:val="clear" w:color="auto" w:fill="1A3FD6"/>
          </w:tcPr>
          <w:p>
            <w:pPr>
              <w:ind w:left="140"/>
              <w:spacing w:after="0"/>
              <w:rPr>
                <w:sz w:val="20"/>
                <w:szCs w:val="20"/>
                <w:color w:val="auto"/>
              </w:rPr>
            </w:pPr>
            <w:r>
              <w:rPr>
                <w:rFonts w:ascii="Arial" w:cs="Arial" w:eastAsia="Arial" w:hAnsi="Arial"/>
                <w:sz w:val="16"/>
                <w:szCs w:val="16"/>
                <w:b w:val="1"/>
                <w:bCs w:val="1"/>
                <w:color w:val="FFFFFF"/>
              </w:rPr>
              <w:t>The Board recommends a vote FOR this proposal.</w:t>
            </w:r>
          </w:p>
        </w:tc>
        <w:tc>
          <w:tcPr>
            <w:tcW w:w="2240" w:type="dxa"/>
            <w:vAlign w:val="bottom"/>
            <w:shd w:val="clear" w:color="auto" w:fill="1A3FD6"/>
          </w:tcPr>
          <w:p>
            <w:pPr>
              <w:ind w:left="1140"/>
              <w:spacing w:after="0"/>
              <w:rPr>
                <w:sz w:val="20"/>
                <w:szCs w:val="20"/>
                <w:color w:val="auto"/>
              </w:rPr>
            </w:pPr>
            <w:r>
              <w:rPr>
                <w:rFonts w:ascii="Arial" w:cs="Arial" w:eastAsia="Arial" w:hAnsi="Arial"/>
                <w:sz w:val="16"/>
                <w:szCs w:val="16"/>
                <w:b w:val="1"/>
                <w:bCs w:val="1"/>
                <w:color w:val="FFFFFF"/>
              </w:rPr>
              <w:t>See Page 98</w:t>
            </w:r>
          </w:p>
        </w:tc>
      </w:tr>
      <w:tr>
        <w:trPr>
          <w:trHeight w:val="196"/>
        </w:trPr>
        <w:tc>
          <w:tcPr>
            <w:tcW w:w="7840" w:type="dxa"/>
            <w:vAlign w:val="bottom"/>
            <w:shd w:val="clear" w:color="auto" w:fill="1A3FD6"/>
          </w:tcPr>
          <w:p>
            <w:pPr>
              <w:spacing w:after="0"/>
              <w:rPr>
                <w:sz w:val="17"/>
                <w:szCs w:val="17"/>
                <w:color w:val="auto"/>
              </w:rPr>
            </w:pPr>
          </w:p>
        </w:tc>
        <w:tc>
          <w:tcPr>
            <w:tcW w:w="2240" w:type="dxa"/>
            <w:vAlign w:val="bottom"/>
            <w:shd w:val="clear" w:color="auto" w:fill="1A3FD6"/>
          </w:tcPr>
          <w:p>
            <w:pPr>
              <w:spacing w:after="0"/>
              <w:rPr>
                <w:sz w:val="17"/>
                <w:szCs w:val="17"/>
                <w:color w:val="auto"/>
              </w:rPr>
            </w:pPr>
          </w:p>
        </w:tc>
      </w:tr>
    </w:tbl>
    <w:p>
      <w:pPr>
        <w:spacing w:after="0" w:line="14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MSCI Inc. 2025 Omnibus Incentive Plan (the “2025 Plan”) is intended to replace the Company’s existing equity compensation plan—the MSCI Inc. 2016 Omnibus Incentive Plan, and the Company’s existing non-employee director compensation plan–the MSCI Inc. 2016 Non-Employee Directors Compensation Plan, which were both approved by our shareholders at our 2016 annual meeting of shareholders and are scheduled to expire by their terms in April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028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02870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PROPOSAL 4</w:t>
      </w:r>
    </w:p>
    <w:p>
      <w:pPr>
        <w:spacing w:after="0" w:line="39" w:lineRule="exact"/>
        <w:rPr>
          <w:sz w:val="20"/>
          <w:szCs w:val="20"/>
          <w:color w:val="auto"/>
        </w:rPr>
      </w:pPr>
    </w:p>
    <w:p>
      <w:pPr>
        <w:ind w:left="1320"/>
        <w:spacing w:after="0"/>
        <w:rPr>
          <w:sz w:val="20"/>
          <w:szCs w:val="20"/>
          <w:color w:val="auto"/>
        </w:rPr>
      </w:pPr>
      <w:r>
        <w:rPr>
          <w:rFonts w:ascii="Arial" w:cs="Arial" w:eastAsia="Arial" w:hAnsi="Arial"/>
          <w:sz w:val="36"/>
          <w:szCs w:val="36"/>
          <w:b w:val="1"/>
          <w:bCs w:val="1"/>
          <w:color w:val="1A3FD6"/>
        </w:rPr>
        <w:t>Ratification of the Appointment</w:t>
      </w:r>
    </w:p>
    <w:p>
      <w:pPr>
        <w:spacing w:after="0" w:line="51" w:lineRule="exact"/>
        <w:rPr>
          <w:sz w:val="20"/>
          <w:szCs w:val="20"/>
          <w:color w:val="auto"/>
        </w:rPr>
      </w:pPr>
    </w:p>
    <w:p>
      <w:pPr>
        <w:ind w:left="1320"/>
        <w:spacing w:after="0"/>
        <w:rPr>
          <w:sz w:val="20"/>
          <w:szCs w:val="20"/>
          <w:color w:val="auto"/>
        </w:rPr>
      </w:pPr>
      <w:r>
        <w:rPr>
          <w:rFonts w:ascii="Arial" w:cs="Arial" w:eastAsia="Arial" w:hAnsi="Arial"/>
          <w:sz w:val="36"/>
          <w:szCs w:val="36"/>
          <w:b w:val="1"/>
          <w:bCs w:val="1"/>
          <w:color w:val="1A3FD6"/>
        </w:rPr>
        <w:t>of MSCI’s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37235" cy="3771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7235" cy="377190"/>
                    </a:xfrm>
                    <a:prstGeom prst="rect">
                      <a:avLst/>
                    </a:prstGeom>
                    <a:noFill/>
                  </pic:spPr>
                </pic:pic>
              </a:graphicData>
            </a:graphic>
          </wp:anchor>
        </w:drawing>
      </w:r>
    </w:p>
    <w:p>
      <w:pPr>
        <w:spacing w:after="0" w:line="216" w:lineRule="exact"/>
        <w:rPr>
          <w:sz w:val="20"/>
          <w:szCs w:val="20"/>
          <w:color w:val="auto"/>
        </w:rPr>
      </w:pPr>
    </w:p>
    <w:tbl>
      <w:tblPr>
        <w:tblLayout w:type="fixed"/>
        <w:tblInd w:w="1160" w:type="dxa"/>
        <w:tblCellMar>
          <w:top w:w="0" w:type="dxa"/>
          <w:left w:w="0" w:type="dxa"/>
          <w:bottom w:w="0" w:type="dxa"/>
          <w:right w:w="0" w:type="dxa"/>
        </w:tblCellMar>
      </w:tblPr>
      <w:tr>
        <w:trPr>
          <w:trHeight w:val="398"/>
        </w:trPr>
        <w:tc>
          <w:tcPr>
            <w:tcW w:w="8060" w:type="dxa"/>
            <w:vAlign w:val="bottom"/>
            <w:shd w:val="clear" w:color="auto" w:fill="1A3FD6"/>
          </w:tcPr>
          <w:p>
            <w:pPr>
              <w:ind w:left="160"/>
              <w:spacing w:after="0"/>
              <w:rPr>
                <w:sz w:val="20"/>
                <w:szCs w:val="20"/>
                <w:color w:val="auto"/>
              </w:rPr>
            </w:pPr>
            <w:r>
              <w:rPr>
                <w:rFonts w:ascii="Arial" w:cs="Arial" w:eastAsia="Arial" w:hAnsi="Arial"/>
                <w:sz w:val="16"/>
                <w:szCs w:val="16"/>
                <w:b w:val="1"/>
                <w:bCs w:val="1"/>
                <w:color w:val="FFFFFF"/>
              </w:rPr>
              <w:t>The Board recommends a vote FOR this proposal.</w:t>
            </w:r>
          </w:p>
        </w:tc>
        <w:tc>
          <w:tcPr>
            <w:tcW w:w="2020" w:type="dxa"/>
            <w:vAlign w:val="bottom"/>
            <w:shd w:val="clear" w:color="auto" w:fill="1A3FD6"/>
          </w:tcPr>
          <w:p>
            <w:pPr>
              <w:ind w:left="840"/>
              <w:spacing w:after="0"/>
              <w:rPr>
                <w:sz w:val="20"/>
                <w:szCs w:val="20"/>
                <w:color w:val="auto"/>
              </w:rPr>
            </w:pPr>
            <w:r>
              <w:rPr>
                <w:rFonts w:ascii="Arial" w:cs="Arial" w:eastAsia="Arial" w:hAnsi="Arial"/>
                <w:sz w:val="16"/>
                <w:szCs w:val="16"/>
                <w:b w:val="1"/>
                <w:bCs w:val="1"/>
                <w:color w:val="FFFFFF"/>
              </w:rPr>
              <w:t>See Page 112</w:t>
            </w:r>
          </w:p>
        </w:tc>
      </w:tr>
      <w:tr>
        <w:trPr>
          <w:trHeight w:val="197"/>
        </w:trPr>
        <w:tc>
          <w:tcPr>
            <w:tcW w:w="8060" w:type="dxa"/>
            <w:vAlign w:val="bottom"/>
            <w:shd w:val="clear" w:color="auto" w:fill="1A3FD6"/>
          </w:tcPr>
          <w:p>
            <w:pPr>
              <w:spacing w:after="0"/>
              <w:rPr>
                <w:sz w:val="17"/>
                <w:szCs w:val="17"/>
                <w:color w:val="auto"/>
              </w:rPr>
            </w:pPr>
          </w:p>
        </w:tc>
        <w:tc>
          <w:tcPr>
            <w:tcW w:w="2020" w:type="dxa"/>
            <w:vAlign w:val="bottom"/>
            <w:shd w:val="clear" w:color="auto" w:fill="1A3FD6"/>
          </w:tcPr>
          <w:p>
            <w:pPr>
              <w:spacing w:after="0"/>
              <w:rPr>
                <w:sz w:val="17"/>
                <w:szCs w:val="17"/>
                <w:color w:val="auto"/>
              </w:rPr>
            </w:pPr>
          </w:p>
        </w:tc>
      </w:tr>
    </w:tbl>
    <w:p>
      <w:pPr>
        <w:spacing w:after="0" w:line="18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Audit and Risk Committee periodically reviews the engagement of the independent auditor to assess, among other things, the skills, experience, service levels and costs associated with conducting the annual audit of the Company’s financial statements. PwC has served as our independent auditor since March 2014. The Audit Committee believes PwC’s tenure since 2014 enhances audit quality, providing deep institutional knowledge, operational expertise and efficiencies that support reliable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719455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7480"/>
              <w:spacing w:after="0"/>
              <w:rPr>
                <w:sz w:val="20"/>
                <w:szCs w:val="20"/>
                <w:color w:val="auto"/>
              </w:rPr>
            </w:pPr>
            <w:r>
              <w:rPr>
                <w:rFonts w:ascii="Arial" w:cs="Arial" w:eastAsia="Arial" w:hAnsi="Arial"/>
                <w:sz w:val="14"/>
                <w:szCs w:val="14"/>
                <w:b w:val="1"/>
                <w:bCs w:val="1"/>
                <w:color w:val="1A3FD6"/>
              </w:rPr>
              <w:t>Proposal No. 1: Election of Directors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19</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r>
        <w:trPr>
          <w:trHeight w:val="439"/>
        </w:trPr>
        <w:tc>
          <w:tcPr>
            <w:tcW w:w="105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2"/>
        </w:trPr>
        <w:tc>
          <w:tcPr>
            <w:tcW w:w="10560" w:type="dxa"/>
            <w:vAlign w:val="bottom"/>
            <w:tcBorders>
              <w:right w:val="single" w:sz="8" w:color="EDF0FC"/>
            </w:tcBorders>
            <w:shd w:val="clear" w:color="auto" w:fill="EDF0FC"/>
          </w:tcPr>
          <w:p>
            <w:pPr>
              <w:spacing w:after="0"/>
              <w:rPr>
                <w:sz w:val="14"/>
                <w:szCs w:val="14"/>
                <w:color w:val="auto"/>
              </w:rPr>
            </w:pPr>
          </w:p>
        </w:tc>
        <w:tc>
          <w:tcPr>
            <w:tcW w:w="680" w:type="dxa"/>
            <w:vAlign w:val="bottom"/>
            <w:shd w:val="clear" w:color="auto" w:fill="ED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14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14705"/>
                    </a:xfrm>
                    <a:prstGeom prst="rect">
                      <a:avLst/>
                    </a:prstGeom>
                    <a:noFill/>
                  </pic:spPr>
                </pic:pic>
              </a:graphicData>
            </a:graphic>
          </wp:anchor>
        </w:drawing>
      </w:r>
    </w:p>
    <w:p>
      <w:pPr>
        <w:spacing w:after="0" w:line="101"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PROPOSAL NO. 1</w:t>
      </w:r>
    </w:p>
    <w:p>
      <w:pPr>
        <w:spacing w:after="0" w:line="103" w:lineRule="exact"/>
        <w:rPr>
          <w:sz w:val="20"/>
          <w:szCs w:val="20"/>
          <w:color w:val="auto"/>
        </w:rPr>
      </w:pPr>
    </w:p>
    <w:p>
      <w:pPr>
        <w:ind w:left="1180"/>
        <w:spacing w:after="0"/>
        <w:rPr>
          <w:sz w:val="20"/>
          <w:szCs w:val="20"/>
          <w:color w:val="auto"/>
        </w:rPr>
      </w:pPr>
      <w:r>
        <w:rPr>
          <w:rFonts w:ascii="Arial" w:cs="Arial" w:eastAsia="Arial" w:hAnsi="Arial"/>
          <w:sz w:val="36"/>
          <w:szCs w:val="36"/>
          <w:b w:val="1"/>
          <w:bCs w:val="1"/>
          <w:color w:val="1A3FD6"/>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436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spacing w:after="0" w:line="346" w:lineRule="exact"/>
        <w:rPr>
          <w:sz w:val="20"/>
          <w:szCs w:val="20"/>
          <w:color w:val="auto"/>
        </w:rPr>
      </w:pPr>
    </w:p>
    <w:p>
      <w:pPr>
        <w:ind w:left="1760"/>
        <w:spacing w:after="0"/>
        <w:rPr>
          <w:sz w:val="20"/>
          <w:szCs w:val="20"/>
          <w:color w:val="auto"/>
        </w:rPr>
      </w:pPr>
      <w:r>
        <w:rPr>
          <w:rFonts w:ascii="Arial" w:cs="Arial" w:eastAsia="Arial" w:hAnsi="Arial"/>
          <w:sz w:val="16"/>
          <w:szCs w:val="16"/>
          <w:color w:val="FFFFFF"/>
        </w:rPr>
        <w:t xml:space="preserve">Our Board recommends that you vote </w:t>
      </w:r>
      <w:r>
        <w:rPr>
          <w:rFonts w:ascii="Arial" w:cs="Arial" w:eastAsia="Arial" w:hAnsi="Arial"/>
          <w:sz w:val="16"/>
          <w:szCs w:val="16"/>
          <w:b w:val="1"/>
          <w:bCs w:val="1"/>
          <w:color w:val="FFFFFF"/>
        </w:rPr>
        <w:t>“FOR”</w:t>
      </w:r>
      <w:r>
        <w:rPr>
          <w:rFonts w:ascii="Arial" w:cs="Arial" w:eastAsia="Arial" w:hAnsi="Arial"/>
          <w:sz w:val="16"/>
          <w:szCs w:val="16"/>
          <w:color w:val="FFFFFF"/>
        </w:rPr>
        <w:t xml:space="preserve"> the election of all 12 nominees named below.</w:t>
      </w:r>
    </w:p>
    <w:p>
      <w:pPr>
        <w:spacing w:after="0" w:line="140" w:lineRule="exact"/>
        <w:rPr>
          <w:sz w:val="20"/>
          <w:szCs w:val="20"/>
          <w:color w:val="auto"/>
        </w:rPr>
      </w:pPr>
    </w:p>
    <w:p>
      <w:pPr>
        <w:ind w:left="1760"/>
        <w:spacing w:after="0"/>
        <w:rPr>
          <w:sz w:val="20"/>
          <w:szCs w:val="20"/>
          <w:color w:val="auto"/>
        </w:rPr>
      </w:pPr>
      <w:r>
        <w:rPr>
          <w:rFonts w:ascii="Arial" w:cs="Arial" w:eastAsia="Arial" w:hAnsi="Arial"/>
          <w:sz w:val="16"/>
          <w:szCs w:val="16"/>
          <w:color w:val="FFFFFF"/>
        </w:rPr>
        <w:t xml:space="preserve">Proxies solicited by our Board will be voted </w:t>
      </w:r>
      <w:r>
        <w:rPr>
          <w:rFonts w:ascii="Arial" w:cs="Arial" w:eastAsia="Arial" w:hAnsi="Arial"/>
          <w:sz w:val="16"/>
          <w:szCs w:val="16"/>
          <w:b w:val="1"/>
          <w:bCs w:val="1"/>
          <w:color w:val="FFFFFF"/>
        </w:rPr>
        <w:t>“FOR”</w:t>
      </w:r>
      <w:r>
        <w:rPr>
          <w:rFonts w:ascii="Arial" w:cs="Arial" w:eastAsia="Arial" w:hAnsi="Arial"/>
          <w:sz w:val="16"/>
          <w:szCs w:val="16"/>
          <w:color w:val="FFFFFF"/>
        </w:rPr>
        <w:t xml:space="preserve"> these nominees unless otherwise instructed.</w:t>
      </w:r>
    </w:p>
    <w:p>
      <w:pPr>
        <w:spacing w:after="0" w:line="200" w:lineRule="exact"/>
        <w:rPr>
          <w:sz w:val="20"/>
          <w:szCs w:val="20"/>
          <w:color w:val="auto"/>
        </w:rPr>
      </w:pPr>
    </w:p>
    <w:p>
      <w:pPr>
        <w:spacing w:after="0" w:line="210" w:lineRule="exact"/>
        <w:rPr>
          <w:sz w:val="20"/>
          <w:szCs w:val="20"/>
          <w:color w:val="auto"/>
        </w:rPr>
      </w:pPr>
    </w:p>
    <w:p>
      <w:pPr>
        <w:ind w:left="200" w:right="220"/>
        <w:spacing w:after="0" w:line="279" w:lineRule="auto"/>
        <w:rPr>
          <w:sz w:val="20"/>
          <w:szCs w:val="20"/>
          <w:color w:val="auto"/>
        </w:rPr>
      </w:pPr>
      <w:r>
        <w:rPr>
          <w:rFonts w:ascii="Arial" w:cs="Arial" w:eastAsia="Arial" w:hAnsi="Arial"/>
          <w:sz w:val="16"/>
          <w:szCs w:val="16"/>
          <w:color w:val="auto"/>
        </w:rPr>
        <w:t>Our Board currently has 13 directors. Each director stands for election at each annual meeting of shareholders and holds office until his or her successor has been duly elected and qualified or the director’s earlier retirement, resignation, death or removal. Wayne Edmunds will not be standing for re-election at the 2025 Annual Meeting and will be retiring from our Board, effective April 22, 2025. In connection with his retirement, the size of the Board will be decreased to 12 directors. All of the nominees presented beginning on page 22 of this Proxy Statement are directors of MSCI as of March 12, 2025. All directors, other than Mmes. Seitz and Yang, were elected at the 2024 annual meeting of shareholders. The Board believes that each of the nominees brings strong skills and experience to the Board, giving the Board, as a group, the appropriate skills needed to exercise its oversight responsibilities and advise management with respect to the Company’s strategy, risks and opportunities.</w:t>
      </w:r>
    </w:p>
    <w:p>
      <w:pPr>
        <w:spacing w:after="0" w:line="82" w:lineRule="exact"/>
        <w:rPr>
          <w:sz w:val="20"/>
          <w:szCs w:val="20"/>
          <w:color w:val="auto"/>
        </w:rPr>
      </w:pPr>
    </w:p>
    <w:p>
      <w:pPr>
        <w:ind w:left="200" w:right="420"/>
        <w:spacing w:after="0" w:line="292" w:lineRule="auto"/>
        <w:rPr>
          <w:sz w:val="20"/>
          <w:szCs w:val="20"/>
          <w:color w:val="auto"/>
        </w:rPr>
      </w:pPr>
      <w:r>
        <w:rPr>
          <w:rFonts w:ascii="Arial" w:cs="Arial" w:eastAsia="Arial" w:hAnsi="Arial"/>
          <w:sz w:val="16"/>
          <w:szCs w:val="16"/>
          <w:color w:val="auto"/>
        </w:rPr>
        <w:t>Each nominee has indicated that he or she is willing and able to serve if elected. We do not anticipate that any nominee will be unable or unwilling to stand for election, but if that happens, your proxy vote will be cast for another person nominated by the Board, or the Board may elect to reduce its size.</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1A3FD6"/>
        </w:rPr>
        <w:t>VOTE REQUIRED AND RECOMMENDATION</w:t>
      </w:r>
    </w:p>
    <w:p>
      <w:pPr>
        <w:spacing w:after="0" w:line="113" w:lineRule="exact"/>
        <w:rPr>
          <w:sz w:val="20"/>
          <w:szCs w:val="20"/>
          <w:color w:val="auto"/>
        </w:rPr>
      </w:pPr>
    </w:p>
    <w:p>
      <w:pPr>
        <w:ind w:left="200" w:right="260"/>
        <w:spacing w:after="0" w:line="289" w:lineRule="auto"/>
        <w:rPr>
          <w:sz w:val="20"/>
          <w:szCs w:val="20"/>
          <w:color w:val="auto"/>
        </w:rPr>
      </w:pPr>
      <w:r>
        <w:rPr>
          <w:rFonts w:ascii="Arial" w:cs="Arial" w:eastAsia="Arial" w:hAnsi="Arial"/>
          <w:sz w:val="16"/>
          <w:szCs w:val="16"/>
          <w:color w:val="auto"/>
        </w:rPr>
        <w:t>The affirmative vote of a majority of the votes cast with respect to each director’s election at our 2025 Annual Meeting, at which a quorum is present, is required to approve Proposal No. 1. Abstentions and broker non-votes shall not be treated as votes cast. For additional information on the consequences for directors who do not receive a majority of votes cast, please refer to “What happens if a director does not receive a majority of the votes required for his or her re-election?” in 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719455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21" w:name="page22"/>
    <w:bookmarkEnd w:id="21"/>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20</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Director Core Competencies and Demographics</w:t>
      </w:r>
    </w:p>
    <w:p>
      <w:pPr>
        <w:spacing w:after="0" w:line="186" w:lineRule="exact"/>
        <w:rPr>
          <w:sz w:val="20"/>
          <w:szCs w:val="20"/>
          <w:color w:val="auto"/>
        </w:rPr>
      </w:pPr>
    </w:p>
    <w:p>
      <w:pPr>
        <w:jc w:val="both"/>
        <w:ind w:right="180"/>
        <w:spacing w:after="0" w:line="283" w:lineRule="auto"/>
        <w:rPr>
          <w:sz w:val="20"/>
          <w:szCs w:val="20"/>
          <w:color w:val="auto"/>
        </w:rPr>
      </w:pPr>
      <w:r>
        <w:rPr>
          <w:rFonts w:ascii="Arial" w:cs="Arial" w:eastAsia="Arial" w:hAnsi="Arial"/>
          <w:sz w:val="14"/>
          <w:szCs w:val="14"/>
          <w:color w:val="auto"/>
        </w:rPr>
        <w:t>The following tables provide an overview of the skills, experiences, and attributes of our director nominees that the Board considers most relevant to its oversight of MSCI’s strategy, risks, and opportunities. Effective oversight requires a Board with a broad range of skills, backgrounds and perspectives to ensure robust discussion, independent thinking, strong governance and informed decision-making.</w:t>
      </w:r>
    </w:p>
    <w:p>
      <w:pPr>
        <w:spacing w:after="0" w:line="65"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The below list of director competencies focus on those that the Governance Committee believes are most relevant to the current needs of the Board. Additional detail on each director nominee’s experiences and qualifications follows their biographies beginning on page 22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182880</wp:posOffset>
            </wp:positionV>
            <wp:extent cx="325755" cy="3257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30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EXECUTIVE LEADERSHIP</w:t>
      </w:r>
    </w:p>
    <w:p>
      <w:pPr>
        <w:spacing w:after="0" w:line="42" w:lineRule="exact"/>
        <w:rPr>
          <w:sz w:val="20"/>
          <w:szCs w:val="20"/>
          <w:color w:val="auto"/>
        </w:rPr>
      </w:pPr>
    </w:p>
    <w:p>
      <w:pPr>
        <w:ind w:left="20" w:right="920"/>
        <w:spacing w:after="0" w:line="302" w:lineRule="auto"/>
        <w:rPr>
          <w:sz w:val="20"/>
          <w:szCs w:val="20"/>
          <w:color w:val="auto"/>
        </w:rPr>
      </w:pPr>
      <w:r>
        <w:rPr>
          <w:rFonts w:ascii="Arial" w:cs="Arial" w:eastAsia="Arial" w:hAnsi="Arial"/>
          <w:sz w:val="13"/>
          <w:szCs w:val="13"/>
          <w:color w:val="auto"/>
        </w:rPr>
        <w:t>Directors who have served as CEOs, COOs or other senior executives possess critical experience setting and executing strategic priorities across complex organizations, which are necessary skills to help support our growth and the creation of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6261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626110"/>
                    </a:xfrm>
                    <a:prstGeom prst="rect">
                      <a:avLst/>
                    </a:prstGeom>
                    <a:noFill/>
                  </pic:spPr>
                </pic:pic>
              </a:graphicData>
            </a:graphic>
          </wp:anchor>
        </w:drawing>
      </w:r>
    </w:p>
    <w:p>
      <w:pPr>
        <w:spacing w:after="0" w:line="31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INVESTMENT INDUSTRY EXPERIENCE</w:t>
      </w:r>
    </w:p>
    <w:p>
      <w:pPr>
        <w:spacing w:after="0" w:line="42" w:lineRule="exact"/>
        <w:rPr>
          <w:sz w:val="20"/>
          <w:szCs w:val="20"/>
          <w:color w:val="auto"/>
        </w:rPr>
      </w:pPr>
    </w:p>
    <w:p>
      <w:pPr>
        <w:ind w:left="20" w:right="1200"/>
        <w:spacing w:after="0" w:line="295" w:lineRule="auto"/>
        <w:rPr>
          <w:sz w:val="20"/>
          <w:szCs w:val="20"/>
          <w:color w:val="auto"/>
        </w:rPr>
      </w:pPr>
      <w:r>
        <w:rPr>
          <w:rFonts w:ascii="Arial" w:cs="Arial" w:eastAsia="Arial" w:hAnsi="Arial"/>
          <w:sz w:val="13"/>
          <w:szCs w:val="13"/>
          <w:color w:val="auto"/>
        </w:rPr>
        <w:t>Directors with expertise in the investment industry have a deep understanding of our key clients (e.g., asset owners, asset managers, financial intermediaries, wealth managers, private assets investment professionals and corporates) and the use-cases for our product offerings, which provides us with valuable market and client insights.</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GLOBAL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-67945</wp:posOffset>
            </wp:positionV>
            <wp:extent cx="325755" cy="3257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22" w:lineRule="exact"/>
        <w:rPr>
          <w:sz w:val="20"/>
          <w:szCs w:val="20"/>
          <w:color w:val="auto"/>
        </w:rPr>
      </w:pPr>
    </w:p>
    <w:p>
      <w:pPr>
        <w:ind w:left="20" w:right="1040"/>
        <w:spacing w:after="0" w:line="281" w:lineRule="auto"/>
        <w:rPr>
          <w:sz w:val="20"/>
          <w:szCs w:val="20"/>
          <w:color w:val="auto"/>
        </w:rPr>
      </w:pPr>
      <w:r>
        <w:rPr>
          <w:rFonts w:ascii="Arial" w:cs="Arial" w:eastAsia="Arial" w:hAnsi="Arial"/>
          <w:sz w:val="13"/>
          <w:szCs w:val="13"/>
          <w:color w:val="auto"/>
        </w:rPr>
        <w:t>As a company with significant global operations, with businesses tied to the global capital markets and with global client and employee bases, we value directors on the MSCI Board with a global perspective who have worked outside of the United States or who have other substantial management or operational experience with international teams or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6261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626110"/>
                    </a:xfrm>
                    <a:prstGeom prst="rect">
                      <a:avLst/>
                    </a:prstGeom>
                    <a:noFill/>
                  </pic:spPr>
                </pic:pic>
              </a:graphicData>
            </a:graphic>
          </wp:anchor>
        </w:drawing>
      </w:r>
    </w:p>
    <w:p>
      <w:pPr>
        <w:spacing w:after="0" w:line="3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REGULATORY, GOVERNMENT AND PUBLIC POLICY ENGAGEMENT</w:t>
      </w:r>
    </w:p>
    <w:p>
      <w:pPr>
        <w:spacing w:after="0" w:line="42" w:lineRule="exact"/>
        <w:rPr>
          <w:sz w:val="20"/>
          <w:szCs w:val="20"/>
          <w:color w:val="auto"/>
        </w:rPr>
      </w:pPr>
    </w:p>
    <w:p>
      <w:pPr>
        <w:ind w:left="20" w:right="1280"/>
        <w:spacing w:after="0" w:line="302" w:lineRule="auto"/>
        <w:rPr>
          <w:sz w:val="20"/>
          <w:szCs w:val="20"/>
          <w:color w:val="auto"/>
        </w:rPr>
      </w:pPr>
      <w:r>
        <w:rPr>
          <w:rFonts w:ascii="Arial" w:cs="Arial" w:eastAsia="Arial" w:hAnsi="Arial"/>
          <w:sz w:val="13"/>
          <w:szCs w:val="13"/>
          <w:color w:val="auto"/>
        </w:rPr>
        <w:t>Directors who have significantly interacted with, or who have served as, government officials, regulators or policymakers, provide important guidance and insight on managing complex regulatory and public policy issues affecting MSCI around the world.</w:t>
      </w:r>
    </w:p>
    <w:p>
      <w:pPr>
        <w:spacing w:after="0" w:line="33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CORPORATE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-67945</wp:posOffset>
            </wp:positionV>
            <wp:extent cx="325755" cy="3257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22" w:lineRule="exact"/>
        <w:rPr>
          <w:sz w:val="20"/>
          <w:szCs w:val="20"/>
          <w:color w:val="auto"/>
        </w:rPr>
      </w:pPr>
    </w:p>
    <w:p>
      <w:pPr>
        <w:ind w:left="20" w:right="1020"/>
        <w:spacing w:after="0" w:line="281" w:lineRule="auto"/>
        <w:rPr>
          <w:sz w:val="20"/>
          <w:szCs w:val="20"/>
          <w:color w:val="auto"/>
        </w:rPr>
      </w:pPr>
      <w:r>
        <w:rPr>
          <w:rFonts w:ascii="Arial" w:cs="Arial" w:eastAsia="Arial" w:hAnsi="Arial"/>
          <w:sz w:val="13"/>
          <w:szCs w:val="13"/>
          <w:color w:val="auto"/>
        </w:rPr>
        <w:t>Directors with relevant experience identifying, assessing and executing corporate development opportunities provide insight to us as we define priorities to expand our business through mergers, partnerships and acquisitions. We believe expertise in these areas allows our Board to oversee our corporate opportunities and our efforts to grow our business and maximize return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6254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625475"/>
                    </a:xfrm>
                    <a:prstGeom prst="rect">
                      <a:avLst/>
                    </a:prstGeom>
                    <a:noFill/>
                  </pic:spPr>
                </pic:pic>
              </a:graphicData>
            </a:graphic>
          </wp:anchor>
        </w:drawing>
      </w:r>
    </w:p>
    <w:p>
      <w:pPr>
        <w:spacing w:after="0" w:line="24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FINANCIAL REPORTING AND CAPITAL ALLOCATION</w:t>
      </w:r>
    </w:p>
    <w:p>
      <w:pPr>
        <w:spacing w:after="0" w:line="42" w:lineRule="exact"/>
        <w:rPr>
          <w:sz w:val="20"/>
          <w:szCs w:val="20"/>
          <w:color w:val="auto"/>
        </w:rPr>
      </w:pPr>
    </w:p>
    <w:p>
      <w:pPr>
        <w:ind w:left="20" w:right="920"/>
        <w:spacing w:after="0" w:line="281" w:lineRule="auto"/>
        <w:rPr>
          <w:sz w:val="20"/>
          <w:szCs w:val="20"/>
          <w:color w:val="auto"/>
        </w:rPr>
      </w:pPr>
      <w:r>
        <w:rPr>
          <w:rFonts w:ascii="Arial" w:cs="Arial" w:eastAsia="Arial" w:hAnsi="Arial"/>
          <w:sz w:val="13"/>
          <w:szCs w:val="13"/>
          <w:color w:val="auto"/>
        </w:rPr>
        <w:t>We utilize a variety of financial targets and metrics, and an understanding of accounting, financial planning, financial reporting and financial controls structures is critical to how we measure our performance and report to our investors. Additionally, we value directors who have significant experience with corporate financing activities and equity and debt markets to support appropriate oversight of our capital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197485</wp:posOffset>
            </wp:positionV>
            <wp:extent cx="325755" cy="3257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3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CORPORATE/ENTERPRISE RISK MANAGEMENT</w:t>
      </w:r>
    </w:p>
    <w:p>
      <w:pPr>
        <w:spacing w:after="0" w:line="42" w:lineRule="exact"/>
        <w:rPr>
          <w:sz w:val="20"/>
          <w:szCs w:val="20"/>
          <w:color w:val="auto"/>
        </w:rPr>
      </w:pPr>
    </w:p>
    <w:p>
      <w:pPr>
        <w:ind w:left="20" w:right="1380"/>
        <w:spacing w:after="0" w:line="302" w:lineRule="auto"/>
        <w:rPr>
          <w:sz w:val="20"/>
          <w:szCs w:val="20"/>
          <w:color w:val="auto"/>
        </w:rPr>
      </w:pPr>
      <w:r>
        <w:rPr>
          <w:rFonts w:ascii="Arial" w:cs="Arial" w:eastAsia="Arial" w:hAnsi="Arial"/>
          <w:sz w:val="13"/>
          <w:szCs w:val="13"/>
          <w:color w:val="auto"/>
        </w:rPr>
        <w:t>In light of the Board’s role overseeing corporate/enterprise risk management and understanding the most significant risks facing MSCI, including strategic, market, operational, financial, legal, regulatory and reputational risks, we seek directors with experience in corporate/enterprise risk management and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6254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625475"/>
                    </a:xfrm>
                    <a:prstGeom prst="rect">
                      <a:avLst/>
                    </a:prstGeom>
                    <a:noFill/>
                  </pic:spPr>
                </pic:pic>
              </a:graphicData>
            </a:graphic>
          </wp:anchor>
        </w:drawing>
      </w:r>
    </w:p>
    <w:p>
      <w:pPr>
        <w:spacing w:after="0" w:line="31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CLIENT RELATIONS, MARKETING AND BRAND DEVELOPMENT</w:t>
      </w:r>
    </w:p>
    <w:p>
      <w:pPr>
        <w:spacing w:after="0" w:line="42" w:lineRule="exact"/>
        <w:rPr>
          <w:sz w:val="20"/>
          <w:szCs w:val="20"/>
          <w:color w:val="auto"/>
        </w:rPr>
      </w:pPr>
    </w:p>
    <w:p>
      <w:pPr>
        <w:ind w:left="20" w:right="920"/>
        <w:spacing w:after="0" w:line="281" w:lineRule="auto"/>
        <w:rPr>
          <w:sz w:val="20"/>
          <w:szCs w:val="20"/>
          <w:color w:val="auto"/>
        </w:rPr>
      </w:pPr>
      <w:r>
        <w:rPr>
          <w:rFonts w:ascii="Arial" w:cs="Arial" w:eastAsia="Arial" w:hAnsi="Arial"/>
          <w:sz w:val="13"/>
          <w:szCs w:val="13"/>
          <w:color w:val="auto"/>
        </w:rPr>
        <w:t>Client-centricity is essential for us to understand and support our clients’ needs. In addition, marketing and brand development are increasingly important to growing our client relationships and footprint. Experience in these areas contributes to the Board’s understanding of changing market conditions and trends and helps us better deploy our innovative tools and solutions to our clients.</w:t>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DIGITAL, DATA AND CYBERSECURITY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-67945</wp:posOffset>
            </wp:positionV>
            <wp:extent cx="325755" cy="3257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22" w:lineRule="exact"/>
        <w:rPr>
          <w:sz w:val="20"/>
          <w:szCs w:val="20"/>
          <w:color w:val="auto"/>
        </w:rPr>
      </w:pPr>
    </w:p>
    <w:p>
      <w:pPr>
        <w:ind w:left="20" w:right="1100"/>
        <w:spacing w:after="0" w:line="281" w:lineRule="auto"/>
        <w:rPr>
          <w:sz w:val="20"/>
          <w:szCs w:val="20"/>
          <w:color w:val="auto"/>
        </w:rPr>
      </w:pPr>
      <w:r>
        <w:rPr>
          <w:rFonts w:ascii="Arial" w:cs="Arial" w:eastAsia="Arial" w:hAnsi="Arial"/>
          <w:sz w:val="13"/>
          <w:szCs w:val="13"/>
          <w:color w:val="auto"/>
        </w:rPr>
        <w:t>Directors with expertise in current relevant technology and data issues, including cybersecurity, digital transformation, data security and privacy, big data and analytics, enterprise software and emerging technologies, provide important insights and oversight with respect to the use of technology to optimize and secure our operations, drive efficiencies and product development, and deliver our solutions more effectively to our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6254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625475"/>
                    </a:xfrm>
                    <a:prstGeom prst="rect">
                      <a:avLst/>
                    </a:prstGeom>
                    <a:noFill/>
                  </pic:spPr>
                </pic:pic>
              </a:graphicData>
            </a:graphic>
          </wp:anchor>
        </w:drawing>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SUSTAINABILITY AND CLIMATE PRACTICES</w:t>
      </w:r>
    </w:p>
    <w:p>
      <w:pPr>
        <w:spacing w:after="0" w:line="42" w:lineRule="exact"/>
        <w:rPr>
          <w:sz w:val="20"/>
          <w:szCs w:val="20"/>
          <w:color w:val="auto"/>
        </w:rPr>
      </w:pPr>
    </w:p>
    <w:p>
      <w:pPr>
        <w:jc w:val="both"/>
        <w:ind w:left="20" w:right="1140"/>
        <w:spacing w:after="0" w:line="278" w:lineRule="auto"/>
        <w:rPr>
          <w:sz w:val="20"/>
          <w:szCs w:val="20"/>
          <w:color w:val="auto"/>
        </w:rPr>
      </w:pPr>
      <w:r>
        <w:rPr>
          <w:rFonts w:ascii="Arial" w:cs="Arial" w:eastAsia="Arial" w:hAnsi="Arial"/>
          <w:sz w:val="13"/>
          <w:szCs w:val="13"/>
          <w:color w:val="auto"/>
        </w:rPr>
        <w:t>Experience with sustainability or climate practices, goals, tools and strategies used by investors helps us support the needs of our clients, as we enable their efforts to integrate financially material sustainability and climate considerations into their investment processes. Additionally, experience with corporate sustainability or climate practices, including initiatives such as setting carbon reduction targets or talent strategies, contributes to the Board’s oversight of MSCI’s corporate practices in these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6665595</wp:posOffset>
            </wp:positionH>
            <wp:positionV relativeFrom="paragraph">
              <wp:posOffset>252730</wp:posOffset>
            </wp:positionV>
            <wp:extent cx="325755" cy="3257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HUMAN CAPITAL MANAGEMENT</w:t>
      </w:r>
    </w:p>
    <w:p>
      <w:pPr>
        <w:spacing w:after="0" w:line="42" w:lineRule="exact"/>
        <w:rPr>
          <w:sz w:val="20"/>
          <w:szCs w:val="20"/>
          <w:color w:val="auto"/>
        </w:rPr>
      </w:pPr>
    </w:p>
    <w:p>
      <w:pPr>
        <w:ind w:left="20" w:right="1300"/>
        <w:spacing w:after="0" w:line="302" w:lineRule="auto"/>
        <w:rPr>
          <w:sz w:val="20"/>
          <w:szCs w:val="20"/>
          <w:color w:val="auto"/>
        </w:rPr>
      </w:pPr>
      <w:r>
        <w:rPr>
          <w:rFonts w:ascii="Arial" w:cs="Arial" w:eastAsia="Arial" w:hAnsi="Arial"/>
          <w:sz w:val="13"/>
          <w:szCs w:val="13"/>
          <w:color w:val="auto"/>
        </w:rPr>
        <w:t>MSCI is committed to maintaining a performance culture and a high level of employee engagement. Experience in talent management (attraction, development and retention), executive compensation, succession planning and culture are important areas of Board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862330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292" w:right="5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7480"/>
              <w:spacing w:after="0"/>
              <w:rPr>
                <w:sz w:val="20"/>
                <w:szCs w:val="20"/>
                <w:color w:val="auto"/>
              </w:rPr>
            </w:pPr>
            <w:r>
              <w:rPr>
                <w:rFonts w:ascii="Arial" w:cs="Arial" w:eastAsia="Arial" w:hAnsi="Arial"/>
                <w:sz w:val="14"/>
                <w:szCs w:val="14"/>
                <w:b w:val="1"/>
                <w:bCs w:val="1"/>
                <w:color w:val="1A3FD6"/>
              </w:rPr>
              <w:t>Proposal No. 1: Election of Directors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21</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505460</wp:posOffset>
            </wp:positionV>
            <wp:extent cx="85725" cy="2057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20574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299720</wp:posOffset>
            </wp:positionV>
            <wp:extent cx="85725" cy="411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41148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394335</wp:posOffset>
            </wp:positionV>
            <wp:extent cx="85725" cy="3175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31750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454025</wp:posOffset>
            </wp:positionV>
            <wp:extent cx="85725" cy="2571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25717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497205</wp:posOffset>
            </wp:positionV>
            <wp:extent cx="85725" cy="2146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21463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419735</wp:posOffset>
            </wp:positionV>
            <wp:extent cx="85725" cy="291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29146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445770</wp:posOffset>
            </wp:positionV>
            <wp:extent cx="85725" cy="2660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26606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514350</wp:posOffset>
            </wp:positionV>
            <wp:extent cx="102870" cy="1974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19748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480060</wp:posOffset>
            </wp:positionV>
            <wp:extent cx="85725" cy="2317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23177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445770</wp:posOffset>
            </wp:positionV>
            <wp:extent cx="85725" cy="2660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26606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454025</wp:posOffset>
            </wp:positionV>
            <wp:extent cx="85725" cy="2571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25717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514350</wp:posOffset>
            </wp:positionV>
            <wp:extent cx="102870" cy="1974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Director Core Competencies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80" w:type="dxa"/>
            <w:vAlign w:val="bottom"/>
            <w:gridSpan w:val="3"/>
          </w:tcPr>
          <w:p>
            <w:pPr>
              <w:ind w:left="20"/>
              <w:spacing w:after="0"/>
              <w:rPr>
                <w:sz w:val="20"/>
                <w:szCs w:val="20"/>
                <w:color w:val="auto"/>
              </w:rPr>
            </w:pPr>
            <w:r>
              <w:rPr>
                <w:rFonts w:ascii="Arial" w:cs="Arial" w:eastAsia="Arial" w:hAnsi="Arial"/>
                <w:sz w:val="16"/>
                <w:szCs w:val="16"/>
                <w:color w:val="auto"/>
              </w:rPr>
              <w:t>Executive Leadership</w:t>
            </w:r>
          </w:p>
        </w:tc>
        <w:tc>
          <w:tcPr>
            <w:tcW w:w="2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20" w:type="dxa"/>
            <w:vAlign w:val="bottom"/>
            <w:gridSpan w:val="8"/>
            <w:vMerge w:val="restart"/>
          </w:tcPr>
          <w:p>
            <w:pPr>
              <w:jc w:val="right"/>
              <w:ind w:right="59"/>
              <w:spacing w:after="0"/>
              <w:rPr>
                <w:sz w:val="20"/>
                <w:szCs w:val="20"/>
                <w:color w:val="auto"/>
              </w:rPr>
            </w:pPr>
            <w:r>
              <w:rPr>
                <w:rFonts w:ascii="Webdings" w:cs="Webdings" w:eastAsia="Webdings" w:hAnsi="Webdings"/>
                <w:sz w:val="11"/>
                <w:szCs w:val="11"/>
                <w:b w:val="1"/>
                <w:bCs w:val="1"/>
                <w:color w:val="0626A9"/>
              </w:rPr>
              <w:t>nnnnnnnn</w:t>
            </w:r>
          </w:p>
        </w:tc>
        <w:tc>
          <w:tcPr>
            <w:tcW w:w="420" w:type="dxa"/>
            <w:vAlign w:val="bottom"/>
          </w:tcPr>
          <w:p>
            <w:pPr>
              <w:spacing w:after="0"/>
              <w:rPr>
                <w:sz w:val="16"/>
                <w:szCs w:val="16"/>
                <w:color w:val="auto"/>
              </w:rPr>
            </w:pPr>
          </w:p>
        </w:tc>
        <w:tc>
          <w:tcPr>
            <w:tcW w:w="1280" w:type="dxa"/>
            <w:vAlign w:val="bottom"/>
            <w:gridSpan w:val="4"/>
            <w:vMerge w:val="restart"/>
          </w:tcPr>
          <w:p>
            <w:pPr>
              <w:ind w:left="180"/>
              <w:spacing w:after="0"/>
              <w:rPr>
                <w:sz w:val="20"/>
                <w:szCs w:val="20"/>
                <w:color w:val="auto"/>
              </w:rPr>
            </w:pPr>
            <w:r>
              <w:rPr>
                <w:rFonts w:ascii="Webdings" w:cs="Webdings" w:eastAsia="Webdings" w:hAnsi="Webdings"/>
                <w:sz w:val="11"/>
                <w:szCs w:val="11"/>
                <w:b w:val="1"/>
                <w:bCs w:val="1"/>
                <w:color w:val="0626A9"/>
                <w:w w:val="90"/>
              </w:rPr>
              <w:t>nnn</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20" w:type="dxa"/>
            <w:vAlign w:val="bottom"/>
            <w:gridSpan w:val="8"/>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980" w:type="dxa"/>
            <w:vAlign w:val="bottom"/>
            <w:gridSpan w:val="3"/>
            <w:shd w:val="clear" w:color="auto" w:fill="EDF0FC"/>
          </w:tcPr>
          <w:p>
            <w:pPr>
              <w:ind w:left="20"/>
              <w:spacing w:after="0" w:line="148" w:lineRule="exact"/>
              <w:rPr>
                <w:sz w:val="20"/>
                <w:szCs w:val="20"/>
                <w:color w:val="auto"/>
              </w:rPr>
            </w:pPr>
            <w:r>
              <w:rPr>
                <w:rFonts w:ascii="Arial" w:cs="Arial" w:eastAsia="Arial" w:hAnsi="Arial"/>
                <w:sz w:val="16"/>
                <w:szCs w:val="16"/>
                <w:color w:val="auto"/>
              </w:rPr>
              <w:t>Investment Industry Expertise</w:t>
            </w:r>
          </w:p>
        </w:tc>
        <w:tc>
          <w:tcPr>
            <w:tcW w:w="2680" w:type="dxa"/>
            <w:vAlign w:val="bottom"/>
            <w:shd w:val="clear" w:color="auto" w:fill="EDF0FC"/>
          </w:tcPr>
          <w:p>
            <w:pPr>
              <w:spacing w:after="0"/>
              <w:rPr>
                <w:sz w:val="12"/>
                <w:szCs w:val="12"/>
                <w:color w:val="auto"/>
              </w:rPr>
            </w:pPr>
          </w:p>
        </w:tc>
        <w:tc>
          <w:tcPr>
            <w:tcW w:w="260" w:type="dxa"/>
            <w:vAlign w:val="bottom"/>
            <w:shd w:val="clear" w:color="auto" w:fill="EDF0FC"/>
          </w:tcPr>
          <w:p>
            <w:pPr>
              <w:spacing w:after="0"/>
              <w:rPr>
                <w:sz w:val="12"/>
                <w:szCs w:val="12"/>
                <w:color w:val="auto"/>
              </w:rPr>
            </w:pPr>
          </w:p>
        </w:tc>
        <w:tc>
          <w:tcPr>
            <w:tcW w:w="680" w:type="dxa"/>
            <w:vAlign w:val="bottom"/>
            <w:shd w:val="clear" w:color="auto" w:fill="EDF0FC"/>
          </w:tcPr>
          <w:p>
            <w:pPr>
              <w:spacing w:after="0"/>
              <w:rPr>
                <w:sz w:val="12"/>
                <w:szCs w:val="12"/>
                <w:color w:val="auto"/>
              </w:rPr>
            </w:pPr>
          </w:p>
        </w:tc>
        <w:tc>
          <w:tcPr>
            <w:tcW w:w="420" w:type="dxa"/>
            <w:vAlign w:val="bottom"/>
            <w:vMerge w:val="restart"/>
            <w:shd w:val="clear" w:color="auto" w:fill="EDF0FC"/>
          </w:tcPr>
          <w:p>
            <w:pPr>
              <w:ind w:left="200"/>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shd w:val="clear" w:color="auto" w:fill="EDF0FC"/>
          </w:tcPr>
          <w:p>
            <w:pPr>
              <w:spacing w:after="0"/>
              <w:rPr>
                <w:sz w:val="12"/>
                <w:szCs w:val="12"/>
                <w:color w:val="auto"/>
              </w:rPr>
            </w:pPr>
          </w:p>
        </w:tc>
        <w:tc>
          <w:tcPr>
            <w:tcW w:w="420" w:type="dxa"/>
            <w:vAlign w:val="bottom"/>
            <w:vMerge w:val="restart"/>
            <w:shd w:val="clear" w:color="auto" w:fill="EDF0FC"/>
          </w:tcPr>
          <w:p>
            <w:pPr>
              <w:ind w:left="180"/>
              <w:spacing w:after="0"/>
              <w:rPr>
                <w:sz w:val="20"/>
                <w:szCs w:val="20"/>
                <w:color w:val="auto"/>
              </w:rPr>
            </w:pPr>
            <w:r>
              <w:rPr>
                <w:rFonts w:ascii="Webdings" w:cs="Webdings" w:eastAsia="Webdings" w:hAnsi="Webdings"/>
                <w:sz w:val="11"/>
                <w:szCs w:val="11"/>
                <w:b w:val="1"/>
                <w:bCs w:val="1"/>
                <w:color w:val="0626A9"/>
              </w:rPr>
              <w:t>n</w:t>
            </w:r>
          </w:p>
        </w:tc>
        <w:tc>
          <w:tcPr>
            <w:tcW w:w="340" w:type="dxa"/>
            <w:vAlign w:val="bottom"/>
            <w:vMerge w:val="restart"/>
            <w:shd w:val="clear" w:color="auto" w:fill="EDF0FC"/>
          </w:tcPr>
          <w:p>
            <w:pPr>
              <w:jc w:val="right"/>
              <w:spacing w:after="0"/>
              <w:rPr>
                <w:sz w:val="20"/>
                <w:szCs w:val="20"/>
                <w:color w:val="auto"/>
              </w:rPr>
            </w:pPr>
            <w:r>
              <w:rPr>
                <w:rFonts w:ascii="Webdings" w:cs="Webdings" w:eastAsia="Webdings" w:hAnsi="Webdings"/>
                <w:sz w:val="11"/>
                <w:szCs w:val="11"/>
                <w:b w:val="1"/>
                <w:bCs w:val="1"/>
                <w:color w:val="0626A9"/>
              </w:rPr>
              <w:t>n</w:t>
            </w:r>
          </w:p>
        </w:tc>
        <w:tc>
          <w:tcPr>
            <w:tcW w:w="480" w:type="dxa"/>
            <w:vAlign w:val="bottom"/>
            <w:vMerge w:val="restart"/>
            <w:shd w:val="clear" w:color="auto" w:fill="EDF0FC"/>
          </w:tcPr>
          <w:p>
            <w:pPr>
              <w:jc w:val="center"/>
              <w:ind w:left="99"/>
              <w:spacing w:after="0"/>
              <w:rPr>
                <w:sz w:val="20"/>
                <w:szCs w:val="20"/>
                <w:color w:val="auto"/>
              </w:rPr>
            </w:pPr>
            <w:r>
              <w:rPr>
                <w:rFonts w:ascii="Webdings" w:cs="Webdings" w:eastAsia="Webdings" w:hAnsi="Webdings"/>
                <w:sz w:val="11"/>
                <w:szCs w:val="11"/>
                <w:b w:val="1"/>
                <w:bCs w:val="1"/>
                <w:color w:val="0626A9"/>
              </w:rPr>
              <w:t>n</w:t>
            </w:r>
          </w:p>
        </w:tc>
        <w:tc>
          <w:tcPr>
            <w:tcW w:w="440" w:type="dxa"/>
            <w:vAlign w:val="bottom"/>
            <w:vMerge w:val="restart"/>
            <w:shd w:val="clear" w:color="auto" w:fill="EDF0FC"/>
          </w:tcPr>
          <w:p>
            <w:pPr>
              <w:jc w:val="center"/>
              <w:ind w:left="16"/>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vMerge w:val="restart"/>
            <w:shd w:val="clear" w:color="auto" w:fill="EDF0FC"/>
          </w:tcPr>
          <w:p>
            <w:pPr>
              <w:jc w:val="right"/>
              <w:ind w:right="59"/>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vMerge w:val="restart"/>
            <w:shd w:val="clear" w:color="auto" w:fill="EDF0FC"/>
          </w:tcPr>
          <w:p>
            <w:pPr>
              <w:ind w:left="180"/>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shd w:val="clear" w:color="auto" w:fill="EDF0FC"/>
          </w:tcPr>
          <w:p>
            <w:pPr>
              <w:spacing w:after="0"/>
              <w:rPr>
                <w:sz w:val="12"/>
                <w:szCs w:val="12"/>
                <w:color w:val="auto"/>
              </w:rPr>
            </w:pPr>
          </w:p>
        </w:tc>
        <w:tc>
          <w:tcPr>
            <w:tcW w:w="500" w:type="dxa"/>
            <w:vAlign w:val="bottom"/>
            <w:vMerge w:val="restart"/>
            <w:shd w:val="clear" w:color="auto" w:fill="EDF0FC"/>
          </w:tcPr>
          <w:p>
            <w:pPr>
              <w:ind w:left="180"/>
              <w:spacing w:after="0"/>
              <w:rPr>
                <w:sz w:val="20"/>
                <w:szCs w:val="20"/>
                <w:color w:val="auto"/>
              </w:rPr>
            </w:pPr>
            <w:r>
              <w:rPr>
                <w:rFonts w:ascii="Webdings" w:cs="Webdings" w:eastAsia="Webdings" w:hAnsi="Webdings"/>
                <w:sz w:val="11"/>
                <w:szCs w:val="11"/>
                <w:b w:val="1"/>
                <w:bCs w:val="1"/>
                <w:color w:val="0626A9"/>
              </w:rPr>
              <w:t>n</w:t>
            </w:r>
          </w:p>
        </w:tc>
        <w:tc>
          <w:tcPr>
            <w:tcW w:w="340" w:type="dxa"/>
            <w:vAlign w:val="bottom"/>
            <w:shd w:val="clear" w:color="auto" w:fill="EDF0FC"/>
          </w:tcPr>
          <w:p>
            <w:pPr>
              <w:spacing w:after="0"/>
              <w:rPr>
                <w:sz w:val="12"/>
                <w:szCs w:val="12"/>
                <w:color w:val="auto"/>
              </w:rPr>
            </w:pPr>
          </w:p>
        </w:tc>
        <w:tc>
          <w:tcPr>
            <w:tcW w:w="20" w:type="dxa"/>
            <w:vAlign w:val="bottom"/>
            <w:shd w:val="clear" w:color="auto" w:fill="ED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EDF0FC"/>
          </w:tcPr>
          <w:p>
            <w:pPr>
              <w:spacing w:after="0" w:line="20" w:lineRule="exact"/>
              <w:rPr>
                <w:sz w:val="1"/>
                <w:szCs w:val="1"/>
                <w:color w:val="auto"/>
              </w:rPr>
            </w:pPr>
          </w:p>
        </w:tc>
        <w:tc>
          <w:tcPr>
            <w:tcW w:w="260" w:type="dxa"/>
            <w:vAlign w:val="bottom"/>
            <w:shd w:val="clear" w:color="auto" w:fill="EDF0FC"/>
          </w:tcPr>
          <w:p>
            <w:pPr>
              <w:spacing w:after="0" w:line="20" w:lineRule="exact"/>
              <w:rPr>
                <w:sz w:val="1"/>
                <w:szCs w:val="1"/>
                <w:color w:val="auto"/>
              </w:rPr>
            </w:pPr>
          </w:p>
        </w:tc>
        <w:tc>
          <w:tcPr>
            <w:tcW w:w="20" w:type="dxa"/>
            <w:vAlign w:val="bottom"/>
            <w:shd w:val="clear" w:color="auto" w:fill="EDF0FC"/>
          </w:tcPr>
          <w:p>
            <w:pPr>
              <w:spacing w:after="0" w:line="20" w:lineRule="exact"/>
              <w:rPr>
                <w:sz w:val="1"/>
                <w:szCs w:val="1"/>
                <w:color w:val="auto"/>
              </w:rPr>
            </w:pPr>
          </w:p>
        </w:tc>
        <w:tc>
          <w:tcPr>
            <w:tcW w:w="2680" w:type="dxa"/>
            <w:vAlign w:val="bottom"/>
            <w:shd w:val="clear" w:color="auto" w:fill="EDF0FC"/>
          </w:tcPr>
          <w:p>
            <w:pPr>
              <w:spacing w:after="0" w:line="20" w:lineRule="exact"/>
              <w:rPr>
                <w:sz w:val="1"/>
                <w:szCs w:val="1"/>
                <w:color w:val="auto"/>
              </w:rPr>
            </w:pPr>
          </w:p>
        </w:tc>
        <w:tc>
          <w:tcPr>
            <w:tcW w:w="260" w:type="dxa"/>
            <w:vAlign w:val="bottom"/>
            <w:shd w:val="clear" w:color="auto" w:fill="EDF0FC"/>
          </w:tcPr>
          <w:p>
            <w:pPr>
              <w:spacing w:after="0" w:line="20" w:lineRule="exact"/>
              <w:rPr>
                <w:sz w:val="1"/>
                <w:szCs w:val="1"/>
                <w:color w:val="auto"/>
              </w:rPr>
            </w:pPr>
          </w:p>
        </w:tc>
        <w:tc>
          <w:tcPr>
            <w:tcW w:w="680" w:type="dxa"/>
            <w:vAlign w:val="bottom"/>
            <w:shd w:val="clear" w:color="auto" w:fill="EDF0FC"/>
          </w:tcPr>
          <w:p>
            <w:pPr>
              <w:spacing w:after="0" w:line="20" w:lineRule="exact"/>
              <w:rPr>
                <w:sz w:val="1"/>
                <w:szCs w:val="1"/>
                <w:color w:val="auto"/>
              </w:rPr>
            </w:pPr>
          </w:p>
        </w:tc>
        <w:tc>
          <w:tcPr>
            <w:tcW w:w="420" w:type="dxa"/>
            <w:vAlign w:val="bottom"/>
            <w:vMerge w:val="continue"/>
            <w:shd w:val="clear" w:color="auto" w:fill="EDF0FC"/>
          </w:tcPr>
          <w:p>
            <w:pPr>
              <w:spacing w:after="0" w:line="20" w:lineRule="exact"/>
              <w:rPr>
                <w:sz w:val="1"/>
                <w:szCs w:val="1"/>
                <w:color w:val="auto"/>
              </w:rPr>
            </w:pPr>
          </w:p>
        </w:tc>
        <w:tc>
          <w:tcPr>
            <w:tcW w:w="420" w:type="dxa"/>
            <w:vAlign w:val="bottom"/>
            <w:shd w:val="clear" w:color="auto" w:fill="EDF0FC"/>
          </w:tcPr>
          <w:p>
            <w:pPr>
              <w:spacing w:after="0" w:line="20" w:lineRule="exact"/>
              <w:rPr>
                <w:sz w:val="1"/>
                <w:szCs w:val="1"/>
                <w:color w:val="auto"/>
              </w:rPr>
            </w:pPr>
          </w:p>
        </w:tc>
        <w:tc>
          <w:tcPr>
            <w:tcW w:w="420" w:type="dxa"/>
            <w:vAlign w:val="bottom"/>
            <w:vMerge w:val="continue"/>
            <w:shd w:val="clear" w:color="auto" w:fill="EDF0FC"/>
          </w:tcPr>
          <w:p>
            <w:pPr>
              <w:spacing w:after="0" w:line="20" w:lineRule="exact"/>
              <w:rPr>
                <w:sz w:val="1"/>
                <w:szCs w:val="1"/>
                <w:color w:val="auto"/>
              </w:rPr>
            </w:pPr>
          </w:p>
        </w:tc>
        <w:tc>
          <w:tcPr>
            <w:tcW w:w="340" w:type="dxa"/>
            <w:vAlign w:val="bottom"/>
            <w:vMerge w:val="continue"/>
            <w:shd w:val="clear" w:color="auto" w:fill="EDF0FC"/>
          </w:tcPr>
          <w:p>
            <w:pPr>
              <w:spacing w:after="0" w:line="20" w:lineRule="exact"/>
              <w:rPr>
                <w:sz w:val="1"/>
                <w:szCs w:val="1"/>
                <w:color w:val="auto"/>
              </w:rPr>
            </w:pPr>
          </w:p>
        </w:tc>
        <w:tc>
          <w:tcPr>
            <w:tcW w:w="480" w:type="dxa"/>
            <w:vAlign w:val="bottom"/>
            <w:vMerge w:val="continue"/>
            <w:shd w:val="clear" w:color="auto" w:fill="EDF0FC"/>
          </w:tcPr>
          <w:p>
            <w:pPr>
              <w:spacing w:after="0" w:line="20" w:lineRule="exact"/>
              <w:rPr>
                <w:sz w:val="1"/>
                <w:szCs w:val="1"/>
                <w:color w:val="auto"/>
              </w:rPr>
            </w:pPr>
          </w:p>
        </w:tc>
        <w:tc>
          <w:tcPr>
            <w:tcW w:w="440" w:type="dxa"/>
            <w:vAlign w:val="bottom"/>
            <w:vMerge w:val="continue"/>
            <w:shd w:val="clear" w:color="auto" w:fill="EDF0FC"/>
          </w:tcPr>
          <w:p>
            <w:pPr>
              <w:spacing w:after="0" w:line="20" w:lineRule="exact"/>
              <w:rPr>
                <w:sz w:val="1"/>
                <w:szCs w:val="1"/>
                <w:color w:val="auto"/>
              </w:rPr>
            </w:pPr>
          </w:p>
        </w:tc>
        <w:tc>
          <w:tcPr>
            <w:tcW w:w="420" w:type="dxa"/>
            <w:vAlign w:val="bottom"/>
            <w:vMerge w:val="continue"/>
            <w:shd w:val="clear" w:color="auto" w:fill="EDF0FC"/>
          </w:tcPr>
          <w:p>
            <w:pPr>
              <w:spacing w:after="0" w:line="20" w:lineRule="exact"/>
              <w:rPr>
                <w:sz w:val="1"/>
                <w:szCs w:val="1"/>
                <w:color w:val="auto"/>
              </w:rPr>
            </w:pPr>
          </w:p>
        </w:tc>
        <w:tc>
          <w:tcPr>
            <w:tcW w:w="420" w:type="dxa"/>
            <w:vAlign w:val="bottom"/>
            <w:vMerge w:val="continue"/>
            <w:shd w:val="clear" w:color="auto" w:fill="EDF0FC"/>
          </w:tcPr>
          <w:p>
            <w:pPr>
              <w:spacing w:after="0" w:line="20" w:lineRule="exact"/>
              <w:rPr>
                <w:sz w:val="1"/>
                <w:szCs w:val="1"/>
                <w:color w:val="auto"/>
              </w:rPr>
            </w:pPr>
          </w:p>
        </w:tc>
        <w:tc>
          <w:tcPr>
            <w:tcW w:w="420" w:type="dxa"/>
            <w:vAlign w:val="bottom"/>
            <w:shd w:val="clear" w:color="auto" w:fill="EDF0FC"/>
          </w:tcPr>
          <w:p>
            <w:pPr>
              <w:spacing w:after="0" w:line="20" w:lineRule="exact"/>
              <w:rPr>
                <w:sz w:val="1"/>
                <w:szCs w:val="1"/>
                <w:color w:val="auto"/>
              </w:rPr>
            </w:pPr>
          </w:p>
        </w:tc>
        <w:tc>
          <w:tcPr>
            <w:tcW w:w="500" w:type="dxa"/>
            <w:vAlign w:val="bottom"/>
            <w:vMerge w:val="continue"/>
            <w:shd w:val="clear" w:color="auto" w:fill="EDF0FC"/>
          </w:tcPr>
          <w:p>
            <w:pPr>
              <w:spacing w:after="0" w:line="20" w:lineRule="exact"/>
              <w:rPr>
                <w:sz w:val="1"/>
                <w:szCs w:val="1"/>
                <w:color w:val="auto"/>
              </w:rPr>
            </w:pPr>
          </w:p>
        </w:tc>
        <w:tc>
          <w:tcPr>
            <w:tcW w:w="340" w:type="dxa"/>
            <w:vAlign w:val="bottom"/>
            <w:shd w:val="clear" w:color="auto" w:fill="EDF0FC"/>
          </w:tcPr>
          <w:p>
            <w:pPr>
              <w:spacing w:after="0" w:line="20" w:lineRule="exact"/>
              <w:rPr>
                <w:sz w:val="1"/>
                <w:szCs w:val="1"/>
                <w:color w:val="auto"/>
              </w:rPr>
            </w:pPr>
          </w:p>
        </w:tc>
        <w:tc>
          <w:tcPr>
            <w:tcW w:w="20" w:type="dxa"/>
            <w:vAlign w:val="bottom"/>
            <w:shd w:val="clear" w:color="auto" w:fill="ED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700" w:type="dxa"/>
            <w:vAlign w:val="bottom"/>
            <w:shd w:val="clear" w:color="auto" w:fill="EDF0FC"/>
          </w:tcPr>
          <w:p>
            <w:pPr>
              <w:spacing w:after="0"/>
              <w:rPr>
                <w:sz w:val="6"/>
                <w:szCs w:val="6"/>
                <w:color w:val="auto"/>
              </w:rPr>
            </w:pPr>
          </w:p>
        </w:tc>
        <w:tc>
          <w:tcPr>
            <w:tcW w:w="260" w:type="dxa"/>
            <w:vAlign w:val="bottom"/>
            <w:shd w:val="clear" w:color="auto" w:fill="EDF0FC"/>
          </w:tcPr>
          <w:p>
            <w:pPr>
              <w:spacing w:after="0"/>
              <w:rPr>
                <w:sz w:val="6"/>
                <w:szCs w:val="6"/>
                <w:color w:val="auto"/>
              </w:rPr>
            </w:pPr>
          </w:p>
        </w:tc>
        <w:tc>
          <w:tcPr>
            <w:tcW w:w="20" w:type="dxa"/>
            <w:vAlign w:val="bottom"/>
            <w:shd w:val="clear" w:color="auto" w:fill="EDF0FC"/>
          </w:tcPr>
          <w:p>
            <w:pPr>
              <w:spacing w:after="0"/>
              <w:rPr>
                <w:sz w:val="6"/>
                <w:szCs w:val="6"/>
                <w:color w:val="auto"/>
              </w:rPr>
            </w:pPr>
          </w:p>
        </w:tc>
        <w:tc>
          <w:tcPr>
            <w:tcW w:w="2680" w:type="dxa"/>
            <w:vAlign w:val="bottom"/>
            <w:shd w:val="clear" w:color="auto" w:fill="EDF0FC"/>
          </w:tcPr>
          <w:p>
            <w:pPr>
              <w:spacing w:after="0"/>
              <w:rPr>
                <w:sz w:val="6"/>
                <w:szCs w:val="6"/>
                <w:color w:val="auto"/>
              </w:rPr>
            </w:pPr>
          </w:p>
        </w:tc>
        <w:tc>
          <w:tcPr>
            <w:tcW w:w="260" w:type="dxa"/>
            <w:vAlign w:val="bottom"/>
            <w:shd w:val="clear" w:color="auto" w:fill="EDF0FC"/>
          </w:tcPr>
          <w:p>
            <w:pPr>
              <w:spacing w:after="0"/>
              <w:rPr>
                <w:sz w:val="6"/>
                <w:szCs w:val="6"/>
                <w:color w:val="auto"/>
              </w:rPr>
            </w:pPr>
          </w:p>
        </w:tc>
        <w:tc>
          <w:tcPr>
            <w:tcW w:w="68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340" w:type="dxa"/>
            <w:vAlign w:val="bottom"/>
            <w:shd w:val="clear" w:color="auto" w:fill="EDF0FC"/>
          </w:tcPr>
          <w:p>
            <w:pPr>
              <w:spacing w:after="0"/>
              <w:rPr>
                <w:sz w:val="6"/>
                <w:szCs w:val="6"/>
                <w:color w:val="auto"/>
              </w:rPr>
            </w:pPr>
          </w:p>
        </w:tc>
        <w:tc>
          <w:tcPr>
            <w:tcW w:w="480" w:type="dxa"/>
            <w:vAlign w:val="bottom"/>
            <w:shd w:val="clear" w:color="auto" w:fill="EDF0FC"/>
          </w:tcPr>
          <w:p>
            <w:pPr>
              <w:spacing w:after="0"/>
              <w:rPr>
                <w:sz w:val="6"/>
                <w:szCs w:val="6"/>
                <w:color w:val="auto"/>
              </w:rPr>
            </w:pPr>
          </w:p>
        </w:tc>
        <w:tc>
          <w:tcPr>
            <w:tcW w:w="44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500" w:type="dxa"/>
            <w:vAlign w:val="bottom"/>
            <w:shd w:val="clear" w:color="auto" w:fill="EDF0FC"/>
          </w:tcPr>
          <w:p>
            <w:pPr>
              <w:spacing w:after="0"/>
              <w:rPr>
                <w:sz w:val="6"/>
                <w:szCs w:val="6"/>
                <w:color w:val="auto"/>
              </w:rPr>
            </w:pPr>
          </w:p>
        </w:tc>
        <w:tc>
          <w:tcPr>
            <w:tcW w:w="340" w:type="dxa"/>
            <w:vAlign w:val="bottom"/>
            <w:shd w:val="clear" w:color="auto" w:fill="EDF0FC"/>
          </w:tcPr>
          <w:p>
            <w:pPr>
              <w:spacing w:after="0"/>
              <w:rPr>
                <w:sz w:val="6"/>
                <w:szCs w:val="6"/>
                <w:color w:val="auto"/>
              </w:rPr>
            </w:pPr>
          </w:p>
        </w:tc>
        <w:tc>
          <w:tcPr>
            <w:tcW w:w="20" w:type="dxa"/>
            <w:vAlign w:val="bottom"/>
            <w:shd w:val="clear" w:color="auto" w:fill="EDF0FC"/>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980" w:type="dxa"/>
            <w:vAlign w:val="bottom"/>
            <w:gridSpan w:val="3"/>
          </w:tcPr>
          <w:p>
            <w:pPr>
              <w:ind w:left="20"/>
              <w:spacing w:after="0" w:line="148" w:lineRule="exact"/>
              <w:rPr>
                <w:sz w:val="20"/>
                <w:szCs w:val="20"/>
                <w:color w:val="auto"/>
              </w:rPr>
            </w:pPr>
            <w:r>
              <w:rPr>
                <w:rFonts w:ascii="Arial" w:cs="Arial" w:eastAsia="Arial" w:hAnsi="Arial"/>
                <w:sz w:val="16"/>
                <w:szCs w:val="16"/>
                <w:color w:val="auto"/>
              </w:rPr>
              <w:t>Global Perspective</w:t>
            </w:r>
          </w:p>
        </w:tc>
        <w:tc>
          <w:tcPr>
            <w:tcW w:w="2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restart"/>
          </w:tcPr>
          <w:p>
            <w:pPr>
              <w:jc w:val="center"/>
              <w:ind w:left="301"/>
              <w:spacing w:after="0"/>
              <w:rPr>
                <w:sz w:val="20"/>
                <w:szCs w:val="20"/>
                <w:color w:val="auto"/>
              </w:rPr>
            </w:pPr>
            <w:r>
              <w:rPr>
                <w:rFonts w:ascii="Webdings" w:cs="Webdings" w:eastAsia="Webdings" w:hAnsi="Webdings"/>
                <w:sz w:val="11"/>
                <w:szCs w:val="11"/>
                <w:b w:val="1"/>
                <w:bCs w:val="1"/>
                <w:color w:val="0626A9"/>
                <w:w w:val="90"/>
              </w:rPr>
              <w:t>n</w:t>
            </w:r>
          </w:p>
        </w:tc>
        <w:tc>
          <w:tcPr>
            <w:tcW w:w="420" w:type="dxa"/>
            <w:vAlign w:val="bottom"/>
            <w:vMerge w:val="restart"/>
          </w:tcPr>
          <w:p>
            <w:pPr>
              <w:ind w:left="200"/>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vMerge w:val="restart"/>
          </w:tcPr>
          <w:p>
            <w:pPr>
              <w:ind w:left="200"/>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Webdings" w:cs="Webdings" w:eastAsia="Webdings" w:hAnsi="Webdings"/>
                <w:sz w:val="11"/>
                <w:szCs w:val="11"/>
                <w:b w:val="1"/>
                <w:bCs w:val="1"/>
                <w:color w:val="0626A9"/>
              </w:rPr>
              <w:t>n</w:t>
            </w:r>
          </w:p>
        </w:tc>
        <w:tc>
          <w:tcPr>
            <w:tcW w:w="480" w:type="dxa"/>
            <w:vAlign w:val="bottom"/>
            <w:vMerge w:val="restart"/>
          </w:tcPr>
          <w:p>
            <w:pPr>
              <w:jc w:val="center"/>
              <w:ind w:left="99"/>
              <w:spacing w:after="0"/>
              <w:rPr>
                <w:sz w:val="20"/>
                <w:szCs w:val="20"/>
                <w:color w:val="auto"/>
              </w:rPr>
            </w:pPr>
            <w:r>
              <w:rPr>
                <w:rFonts w:ascii="Webdings" w:cs="Webdings" w:eastAsia="Webdings" w:hAnsi="Webdings"/>
                <w:sz w:val="11"/>
                <w:szCs w:val="11"/>
                <w:b w:val="1"/>
                <w:bCs w:val="1"/>
                <w:color w:val="0626A9"/>
              </w:rPr>
              <w:t>n</w:t>
            </w:r>
          </w:p>
        </w:tc>
        <w:tc>
          <w:tcPr>
            <w:tcW w:w="440" w:type="dxa"/>
            <w:vAlign w:val="bottom"/>
            <w:vMerge w:val="restart"/>
          </w:tcPr>
          <w:p>
            <w:pPr>
              <w:jc w:val="center"/>
              <w:ind w:left="16"/>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vMerge w:val="restart"/>
          </w:tcPr>
          <w:p>
            <w:pPr>
              <w:jc w:val="right"/>
              <w:ind w:right="59"/>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vMerge w:val="restart"/>
          </w:tcPr>
          <w:p>
            <w:pPr>
              <w:ind w:left="180"/>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vMerge w:val="restart"/>
          </w:tcPr>
          <w:p>
            <w:pPr>
              <w:ind w:left="180"/>
              <w:spacing w:after="0"/>
              <w:rPr>
                <w:sz w:val="20"/>
                <w:szCs w:val="20"/>
                <w:color w:val="auto"/>
              </w:rPr>
            </w:pPr>
            <w:r>
              <w:rPr>
                <w:rFonts w:ascii="Webdings" w:cs="Webdings" w:eastAsia="Webdings" w:hAnsi="Webdings"/>
                <w:sz w:val="11"/>
                <w:szCs w:val="11"/>
                <w:b w:val="1"/>
                <w:bCs w:val="1"/>
                <w:color w:val="0626A9"/>
              </w:rPr>
              <w:t>n</w:t>
            </w:r>
          </w:p>
        </w:tc>
        <w:tc>
          <w:tcPr>
            <w:tcW w:w="500" w:type="dxa"/>
            <w:vAlign w:val="bottom"/>
          </w:tcPr>
          <w:p>
            <w:pPr>
              <w:spacing w:after="0"/>
              <w:rPr>
                <w:sz w:val="12"/>
                <w:szCs w:val="12"/>
                <w:color w:val="auto"/>
              </w:rPr>
            </w:pPr>
          </w:p>
        </w:tc>
        <w:tc>
          <w:tcPr>
            <w:tcW w:w="360" w:type="dxa"/>
            <w:vAlign w:val="bottom"/>
            <w:gridSpan w:val="2"/>
            <w:vMerge w:val="restart"/>
          </w:tcPr>
          <w:p>
            <w:pPr>
              <w:ind w:left="100"/>
              <w:spacing w:after="0"/>
              <w:rPr>
                <w:sz w:val="20"/>
                <w:szCs w:val="20"/>
                <w:color w:val="auto"/>
              </w:rPr>
            </w:pPr>
            <w:r>
              <w:rPr>
                <w:rFonts w:ascii="Webdings" w:cs="Webdings" w:eastAsia="Webdings" w:hAnsi="Webdings"/>
                <w:sz w:val="11"/>
                <w:szCs w:val="11"/>
                <w:b w:val="1"/>
                <w:bCs w:val="1"/>
                <w:color w:val="0626A9"/>
              </w:rPr>
              <w:t>n</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700" w:type="dxa"/>
            <w:vAlign w:val="bottom"/>
            <w:gridSpan w:val="2"/>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5660" w:type="dxa"/>
            <w:vAlign w:val="bottom"/>
            <w:gridSpan w:val="4"/>
            <w:shd w:val="clear" w:color="auto" w:fill="EDF0FC"/>
          </w:tcPr>
          <w:p>
            <w:pPr>
              <w:ind w:left="20"/>
              <w:spacing w:after="0" w:line="148" w:lineRule="exact"/>
              <w:rPr>
                <w:sz w:val="20"/>
                <w:szCs w:val="20"/>
                <w:color w:val="auto"/>
              </w:rPr>
            </w:pPr>
            <w:r>
              <w:rPr>
                <w:rFonts w:ascii="Arial" w:cs="Arial" w:eastAsia="Arial" w:hAnsi="Arial"/>
                <w:sz w:val="16"/>
                <w:szCs w:val="16"/>
                <w:color w:val="auto"/>
              </w:rPr>
              <w:t>Regulatory, Government and Public Policy Engagement</w:t>
            </w:r>
          </w:p>
        </w:tc>
        <w:tc>
          <w:tcPr>
            <w:tcW w:w="260" w:type="dxa"/>
            <w:vAlign w:val="bottom"/>
            <w:shd w:val="clear" w:color="auto" w:fill="EDF0FC"/>
          </w:tcPr>
          <w:p>
            <w:pPr>
              <w:spacing w:after="0"/>
              <w:rPr>
                <w:sz w:val="12"/>
                <w:szCs w:val="12"/>
                <w:color w:val="auto"/>
              </w:rPr>
            </w:pPr>
          </w:p>
        </w:tc>
        <w:tc>
          <w:tcPr>
            <w:tcW w:w="680" w:type="dxa"/>
            <w:vAlign w:val="bottom"/>
            <w:shd w:val="clear" w:color="auto" w:fill="EDF0FC"/>
          </w:tcPr>
          <w:p>
            <w:pPr>
              <w:spacing w:after="0"/>
              <w:rPr>
                <w:sz w:val="12"/>
                <w:szCs w:val="12"/>
                <w:color w:val="auto"/>
              </w:rPr>
            </w:pPr>
          </w:p>
        </w:tc>
        <w:tc>
          <w:tcPr>
            <w:tcW w:w="420" w:type="dxa"/>
            <w:vAlign w:val="bottom"/>
            <w:vMerge w:val="restart"/>
            <w:shd w:val="clear" w:color="auto" w:fill="EDF0FC"/>
          </w:tcPr>
          <w:p>
            <w:pPr>
              <w:ind w:left="200"/>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shd w:val="clear" w:color="auto" w:fill="EDF0FC"/>
          </w:tcPr>
          <w:p>
            <w:pPr>
              <w:spacing w:after="0"/>
              <w:rPr>
                <w:sz w:val="12"/>
                <w:szCs w:val="12"/>
                <w:color w:val="auto"/>
              </w:rPr>
            </w:pPr>
          </w:p>
        </w:tc>
        <w:tc>
          <w:tcPr>
            <w:tcW w:w="420" w:type="dxa"/>
            <w:vAlign w:val="bottom"/>
            <w:shd w:val="clear" w:color="auto" w:fill="EDF0FC"/>
          </w:tcPr>
          <w:p>
            <w:pPr>
              <w:spacing w:after="0"/>
              <w:rPr>
                <w:sz w:val="12"/>
                <w:szCs w:val="12"/>
                <w:color w:val="auto"/>
              </w:rPr>
            </w:pPr>
          </w:p>
        </w:tc>
        <w:tc>
          <w:tcPr>
            <w:tcW w:w="340" w:type="dxa"/>
            <w:vAlign w:val="bottom"/>
            <w:vMerge w:val="restart"/>
            <w:shd w:val="clear" w:color="auto" w:fill="EDF0FC"/>
          </w:tcPr>
          <w:p>
            <w:pPr>
              <w:jc w:val="right"/>
              <w:spacing w:after="0"/>
              <w:rPr>
                <w:sz w:val="20"/>
                <w:szCs w:val="20"/>
                <w:color w:val="auto"/>
              </w:rPr>
            </w:pPr>
            <w:r>
              <w:rPr>
                <w:rFonts w:ascii="Webdings" w:cs="Webdings" w:eastAsia="Webdings" w:hAnsi="Webdings"/>
                <w:sz w:val="11"/>
                <w:szCs w:val="11"/>
                <w:b w:val="1"/>
                <w:bCs w:val="1"/>
                <w:color w:val="0626A9"/>
              </w:rPr>
              <w:t>n</w:t>
            </w:r>
          </w:p>
        </w:tc>
        <w:tc>
          <w:tcPr>
            <w:tcW w:w="480" w:type="dxa"/>
            <w:vAlign w:val="bottom"/>
            <w:shd w:val="clear" w:color="auto" w:fill="EDF0FC"/>
          </w:tcPr>
          <w:p>
            <w:pPr>
              <w:spacing w:after="0"/>
              <w:rPr>
                <w:sz w:val="12"/>
                <w:szCs w:val="12"/>
                <w:color w:val="auto"/>
              </w:rPr>
            </w:pPr>
          </w:p>
        </w:tc>
        <w:tc>
          <w:tcPr>
            <w:tcW w:w="440" w:type="dxa"/>
            <w:vAlign w:val="bottom"/>
            <w:shd w:val="clear" w:color="auto" w:fill="EDF0FC"/>
          </w:tcPr>
          <w:p>
            <w:pPr>
              <w:spacing w:after="0"/>
              <w:rPr>
                <w:sz w:val="12"/>
                <w:szCs w:val="12"/>
                <w:color w:val="auto"/>
              </w:rPr>
            </w:pPr>
          </w:p>
        </w:tc>
        <w:tc>
          <w:tcPr>
            <w:tcW w:w="420" w:type="dxa"/>
            <w:vAlign w:val="bottom"/>
            <w:vMerge w:val="restart"/>
            <w:shd w:val="clear" w:color="auto" w:fill="EDF0FC"/>
          </w:tcPr>
          <w:p>
            <w:pPr>
              <w:jc w:val="right"/>
              <w:ind w:right="59"/>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shd w:val="clear" w:color="auto" w:fill="EDF0FC"/>
          </w:tcPr>
          <w:p>
            <w:pPr>
              <w:spacing w:after="0"/>
              <w:rPr>
                <w:sz w:val="12"/>
                <w:szCs w:val="12"/>
                <w:color w:val="auto"/>
              </w:rPr>
            </w:pPr>
          </w:p>
        </w:tc>
        <w:tc>
          <w:tcPr>
            <w:tcW w:w="420" w:type="dxa"/>
            <w:vAlign w:val="bottom"/>
            <w:shd w:val="clear" w:color="auto" w:fill="EDF0FC"/>
          </w:tcPr>
          <w:p>
            <w:pPr>
              <w:spacing w:after="0"/>
              <w:rPr>
                <w:sz w:val="12"/>
                <w:szCs w:val="12"/>
                <w:color w:val="auto"/>
              </w:rPr>
            </w:pPr>
          </w:p>
        </w:tc>
        <w:tc>
          <w:tcPr>
            <w:tcW w:w="500" w:type="dxa"/>
            <w:vAlign w:val="bottom"/>
            <w:shd w:val="clear" w:color="auto" w:fill="EDF0FC"/>
          </w:tcPr>
          <w:p>
            <w:pPr>
              <w:spacing w:after="0"/>
              <w:rPr>
                <w:sz w:val="12"/>
                <w:szCs w:val="12"/>
                <w:color w:val="auto"/>
              </w:rPr>
            </w:pPr>
          </w:p>
        </w:tc>
        <w:tc>
          <w:tcPr>
            <w:tcW w:w="340" w:type="dxa"/>
            <w:vAlign w:val="bottom"/>
            <w:shd w:val="clear" w:color="auto" w:fill="EDF0FC"/>
          </w:tcPr>
          <w:p>
            <w:pPr>
              <w:spacing w:after="0"/>
              <w:rPr>
                <w:sz w:val="12"/>
                <w:szCs w:val="12"/>
                <w:color w:val="auto"/>
              </w:rPr>
            </w:pPr>
          </w:p>
        </w:tc>
        <w:tc>
          <w:tcPr>
            <w:tcW w:w="20" w:type="dxa"/>
            <w:vAlign w:val="bottom"/>
            <w:shd w:val="clear" w:color="auto" w:fill="ED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EDF0FC"/>
          </w:tcPr>
          <w:p>
            <w:pPr>
              <w:spacing w:after="0" w:line="20" w:lineRule="exact"/>
              <w:rPr>
                <w:sz w:val="1"/>
                <w:szCs w:val="1"/>
                <w:color w:val="auto"/>
              </w:rPr>
            </w:pPr>
          </w:p>
        </w:tc>
        <w:tc>
          <w:tcPr>
            <w:tcW w:w="260" w:type="dxa"/>
            <w:vAlign w:val="bottom"/>
            <w:shd w:val="clear" w:color="auto" w:fill="EDF0FC"/>
          </w:tcPr>
          <w:p>
            <w:pPr>
              <w:spacing w:after="0" w:line="20" w:lineRule="exact"/>
              <w:rPr>
                <w:sz w:val="1"/>
                <w:szCs w:val="1"/>
                <w:color w:val="auto"/>
              </w:rPr>
            </w:pPr>
          </w:p>
        </w:tc>
        <w:tc>
          <w:tcPr>
            <w:tcW w:w="20" w:type="dxa"/>
            <w:vAlign w:val="bottom"/>
            <w:shd w:val="clear" w:color="auto" w:fill="EDF0FC"/>
          </w:tcPr>
          <w:p>
            <w:pPr>
              <w:spacing w:after="0" w:line="20" w:lineRule="exact"/>
              <w:rPr>
                <w:sz w:val="1"/>
                <w:szCs w:val="1"/>
                <w:color w:val="auto"/>
              </w:rPr>
            </w:pPr>
          </w:p>
        </w:tc>
        <w:tc>
          <w:tcPr>
            <w:tcW w:w="2680" w:type="dxa"/>
            <w:vAlign w:val="bottom"/>
            <w:shd w:val="clear" w:color="auto" w:fill="EDF0FC"/>
          </w:tcPr>
          <w:p>
            <w:pPr>
              <w:spacing w:after="0" w:line="20" w:lineRule="exact"/>
              <w:rPr>
                <w:sz w:val="1"/>
                <w:szCs w:val="1"/>
                <w:color w:val="auto"/>
              </w:rPr>
            </w:pPr>
          </w:p>
        </w:tc>
        <w:tc>
          <w:tcPr>
            <w:tcW w:w="260" w:type="dxa"/>
            <w:vAlign w:val="bottom"/>
            <w:shd w:val="clear" w:color="auto" w:fill="EDF0FC"/>
          </w:tcPr>
          <w:p>
            <w:pPr>
              <w:spacing w:after="0" w:line="20" w:lineRule="exact"/>
              <w:rPr>
                <w:sz w:val="1"/>
                <w:szCs w:val="1"/>
                <w:color w:val="auto"/>
              </w:rPr>
            </w:pPr>
          </w:p>
        </w:tc>
        <w:tc>
          <w:tcPr>
            <w:tcW w:w="680" w:type="dxa"/>
            <w:vAlign w:val="bottom"/>
            <w:shd w:val="clear" w:color="auto" w:fill="EDF0FC"/>
          </w:tcPr>
          <w:p>
            <w:pPr>
              <w:spacing w:after="0" w:line="20" w:lineRule="exact"/>
              <w:rPr>
                <w:sz w:val="1"/>
                <w:szCs w:val="1"/>
                <w:color w:val="auto"/>
              </w:rPr>
            </w:pPr>
          </w:p>
        </w:tc>
        <w:tc>
          <w:tcPr>
            <w:tcW w:w="420" w:type="dxa"/>
            <w:vAlign w:val="bottom"/>
            <w:vMerge w:val="continue"/>
            <w:shd w:val="clear" w:color="auto" w:fill="EDF0FC"/>
          </w:tcPr>
          <w:p>
            <w:pPr>
              <w:spacing w:after="0" w:line="20" w:lineRule="exact"/>
              <w:rPr>
                <w:sz w:val="1"/>
                <w:szCs w:val="1"/>
                <w:color w:val="auto"/>
              </w:rPr>
            </w:pPr>
          </w:p>
        </w:tc>
        <w:tc>
          <w:tcPr>
            <w:tcW w:w="420" w:type="dxa"/>
            <w:vAlign w:val="bottom"/>
            <w:shd w:val="clear" w:color="auto" w:fill="EDF0FC"/>
          </w:tcPr>
          <w:p>
            <w:pPr>
              <w:spacing w:after="0" w:line="20" w:lineRule="exact"/>
              <w:rPr>
                <w:sz w:val="1"/>
                <w:szCs w:val="1"/>
                <w:color w:val="auto"/>
              </w:rPr>
            </w:pPr>
          </w:p>
        </w:tc>
        <w:tc>
          <w:tcPr>
            <w:tcW w:w="420" w:type="dxa"/>
            <w:vAlign w:val="bottom"/>
            <w:shd w:val="clear" w:color="auto" w:fill="EDF0FC"/>
          </w:tcPr>
          <w:p>
            <w:pPr>
              <w:spacing w:after="0" w:line="20" w:lineRule="exact"/>
              <w:rPr>
                <w:sz w:val="1"/>
                <w:szCs w:val="1"/>
                <w:color w:val="auto"/>
              </w:rPr>
            </w:pPr>
          </w:p>
        </w:tc>
        <w:tc>
          <w:tcPr>
            <w:tcW w:w="340" w:type="dxa"/>
            <w:vAlign w:val="bottom"/>
            <w:vMerge w:val="continue"/>
            <w:shd w:val="clear" w:color="auto" w:fill="EDF0FC"/>
          </w:tcPr>
          <w:p>
            <w:pPr>
              <w:spacing w:after="0" w:line="20" w:lineRule="exact"/>
              <w:rPr>
                <w:sz w:val="1"/>
                <w:szCs w:val="1"/>
                <w:color w:val="auto"/>
              </w:rPr>
            </w:pPr>
          </w:p>
        </w:tc>
        <w:tc>
          <w:tcPr>
            <w:tcW w:w="480" w:type="dxa"/>
            <w:vAlign w:val="bottom"/>
            <w:shd w:val="clear" w:color="auto" w:fill="EDF0FC"/>
          </w:tcPr>
          <w:p>
            <w:pPr>
              <w:spacing w:after="0" w:line="20" w:lineRule="exact"/>
              <w:rPr>
                <w:sz w:val="1"/>
                <w:szCs w:val="1"/>
                <w:color w:val="auto"/>
              </w:rPr>
            </w:pPr>
          </w:p>
        </w:tc>
        <w:tc>
          <w:tcPr>
            <w:tcW w:w="440" w:type="dxa"/>
            <w:vAlign w:val="bottom"/>
            <w:shd w:val="clear" w:color="auto" w:fill="EDF0FC"/>
          </w:tcPr>
          <w:p>
            <w:pPr>
              <w:spacing w:after="0" w:line="20" w:lineRule="exact"/>
              <w:rPr>
                <w:sz w:val="1"/>
                <w:szCs w:val="1"/>
                <w:color w:val="auto"/>
              </w:rPr>
            </w:pPr>
          </w:p>
        </w:tc>
        <w:tc>
          <w:tcPr>
            <w:tcW w:w="420" w:type="dxa"/>
            <w:vAlign w:val="bottom"/>
            <w:vMerge w:val="continue"/>
            <w:shd w:val="clear" w:color="auto" w:fill="EDF0FC"/>
          </w:tcPr>
          <w:p>
            <w:pPr>
              <w:spacing w:after="0" w:line="20" w:lineRule="exact"/>
              <w:rPr>
                <w:sz w:val="1"/>
                <w:szCs w:val="1"/>
                <w:color w:val="auto"/>
              </w:rPr>
            </w:pPr>
          </w:p>
        </w:tc>
        <w:tc>
          <w:tcPr>
            <w:tcW w:w="420" w:type="dxa"/>
            <w:vAlign w:val="bottom"/>
            <w:shd w:val="clear" w:color="auto" w:fill="EDF0FC"/>
          </w:tcPr>
          <w:p>
            <w:pPr>
              <w:spacing w:after="0" w:line="20" w:lineRule="exact"/>
              <w:rPr>
                <w:sz w:val="1"/>
                <w:szCs w:val="1"/>
                <w:color w:val="auto"/>
              </w:rPr>
            </w:pPr>
          </w:p>
        </w:tc>
        <w:tc>
          <w:tcPr>
            <w:tcW w:w="420" w:type="dxa"/>
            <w:vAlign w:val="bottom"/>
            <w:shd w:val="clear" w:color="auto" w:fill="EDF0FC"/>
          </w:tcPr>
          <w:p>
            <w:pPr>
              <w:spacing w:after="0" w:line="20" w:lineRule="exact"/>
              <w:rPr>
                <w:sz w:val="1"/>
                <w:szCs w:val="1"/>
                <w:color w:val="auto"/>
              </w:rPr>
            </w:pPr>
          </w:p>
        </w:tc>
        <w:tc>
          <w:tcPr>
            <w:tcW w:w="500" w:type="dxa"/>
            <w:vAlign w:val="bottom"/>
            <w:shd w:val="clear" w:color="auto" w:fill="EDF0FC"/>
          </w:tcPr>
          <w:p>
            <w:pPr>
              <w:spacing w:after="0" w:line="20" w:lineRule="exact"/>
              <w:rPr>
                <w:sz w:val="1"/>
                <w:szCs w:val="1"/>
                <w:color w:val="auto"/>
              </w:rPr>
            </w:pPr>
          </w:p>
        </w:tc>
        <w:tc>
          <w:tcPr>
            <w:tcW w:w="340" w:type="dxa"/>
            <w:vAlign w:val="bottom"/>
            <w:shd w:val="clear" w:color="auto" w:fill="EDF0FC"/>
          </w:tcPr>
          <w:p>
            <w:pPr>
              <w:spacing w:after="0" w:line="20" w:lineRule="exact"/>
              <w:rPr>
                <w:sz w:val="1"/>
                <w:szCs w:val="1"/>
                <w:color w:val="auto"/>
              </w:rPr>
            </w:pPr>
          </w:p>
        </w:tc>
        <w:tc>
          <w:tcPr>
            <w:tcW w:w="20" w:type="dxa"/>
            <w:vAlign w:val="bottom"/>
            <w:shd w:val="clear" w:color="auto" w:fill="ED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700" w:type="dxa"/>
            <w:vAlign w:val="bottom"/>
            <w:shd w:val="clear" w:color="auto" w:fill="EDF0FC"/>
          </w:tcPr>
          <w:p>
            <w:pPr>
              <w:spacing w:after="0"/>
              <w:rPr>
                <w:sz w:val="6"/>
                <w:szCs w:val="6"/>
                <w:color w:val="auto"/>
              </w:rPr>
            </w:pPr>
          </w:p>
        </w:tc>
        <w:tc>
          <w:tcPr>
            <w:tcW w:w="260" w:type="dxa"/>
            <w:vAlign w:val="bottom"/>
            <w:shd w:val="clear" w:color="auto" w:fill="EDF0FC"/>
          </w:tcPr>
          <w:p>
            <w:pPr>
              <w:spacing w:after="0"/>
              <w:rPr>
                <w:sz w:val="6"/>
                <w:szCs w:val="6"/>
                <w:color w:val="auto"/>
              </w:rPr>
            </w:pPr>
          </w:p>
        </w:tc>
        <w:tc>
          <w:tcPr>
            <w:tcW w:w="20" w:type="dxa"/>
            <w:vAlign w:val="bottom"/>
            <w:shd w:val="clear" w:color="auto" w:fill="EDF0FC"/>
          </w:tcPr>
          <w:p>
            <w:pPr>
              <w:spacing w:after="0"/>
              <w:rPr>
                <w:sz w:val="6"/>
                <w:szCs w:val="6"/>
                <w:color w:val="auto"/>
              </w:rPr>
            </w:pPr>
          </w:p>
        </w:tc>
        <w:tc>
          <w:tcPr>
            <w:tcW w:w="2680" w:type="dxa"/>
            <w:vAlign w:val="bottom"/>
            <w:shd w:val="clear" w:color="auto" w:fill="EDF0FC"/>
          </w:tcPr>
          <w:p>
            <w:pPr>
              <w:spacing w:after="0"/>
              <w:rPr>
                <w:sz w:val="6"/>
                <w:szCs w:val="6"/>
                <w:color w:val="auto"/>
              </w:rPr>
            </w:pPr>
          </w:p>
        </w:tc>
        <w:tc>
          <w:tcPr>
            <w:tcW w:w="260" w:type="dxa"/>
            <w:vAlign w:val="bottom"/>
            <w:shd w:val="clear" w:color="auto" w:fill="EDF0FC"/>
          </w:tcPr>
          <w:p>
            <w:pPr>
              <w:spacing w:after="0"/>
              <w:rPr>
                <w:sz w:val="6"/>
                <w:szCs w:val="6"/>
                <w:color w:val="auto"/>
              </w:rPr>
            </w:pPr>
          </w:p>
        </w:tc>
        <w:tc>
          <w:tcPr>
            <w:tcW w:w="68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340" w:type="dxa"/>
            <w:vAlign w:val="bottom"/>
            <w:shd w:val="clear" w:color="auto" w:fill="EDF0FC"/>
          </w:tcPr>
          <w:p>
            <w:pPr>
              <w:spacing w:after="0"/>
              <w:rPr>
                <w:sz w:val="6"/>
                <w:szCs w:val="6"/>
                <w:color w:val="auto"/>
              </w:rPr>
            </w:pPr>
          </w:p>
        </w:tc>
        <w:tc>
          <w:tcPr>
            <w:tcW w:w="480" w:type="dxa"/>
            <w:vAlign w:val="bottom"/>
            <w:shd w:val="clear" w:color="auto" w:fill="EDF0FC"/>
          </w:tcPr>
          <w:p>
            <w:pPr>
              <w:spacing w:after="0"/>
              <w:rPr>
                <w:sz w:val="6"/>
                <w:szCs w:val="6"/>
                <w:color w:val="auto"/>
              </w:rPr>
            </w:pPr>
          </w:p>
        </w:tc>
        <w:tc>
          <w:tcPr>
            <w:tcW w:w="44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500" w:type="dxa"/>
            <w:vAlign w:val="bottom"/>
            <w:shd w:val="clear" w:color="auto" w:fill="EDF0FC"/>
          </w:tcPr>
          <w:p>
            <w:pPr>
              <w:spacing w:after="0"/>
              <w:rPr>
                <w:sz w:val="6"/>
                <w:szCs w:val="6"/>
                <w:color w:val="auto"/>
              </w:rPr>
            </w:pPr>
          </w:p>
        </w:tc>
        <w:tc>
          <w:tcPr>
            <w:tcW w:w="340" w:type="dxa"/>
            <w:vAlign w:val="bottom"/>
            <w:shd w:val="clear" w:color="auto" w:fill="EDF0FC"/>
          </w:tcPr>
          <w:p>
            <w:pPr>
              <w:spacing w:after="0"/>
              <w:rPr>
                <w:sz w:val="6"/>
                <w:szCs w:val="6"/>
                <w:color w:val="auto"/>
              </w:rPr>
            </w:pPr>
          </w:p>
        </w:tc>
        <w:tc>
          <w:tcPr>
            <w:tcW w:w="20" w:type="dxa"/>
            <w:vAlign w:val="bottom"/>
            <w:shd w:val="clear" w:color="auto" w:fill="EDF0FC"/>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980" w:type="dxa"/>
            <w:vAlign w:val="bottom"/>
            <w:gridSpan w:val="3"/>
          </w:tcPr>
          <w:p>
            <w:pPr>
              <w:ind w:left="20"/>
              <w:spacing w:after="0" w:line="148" w:lineRule="exact"/>
              <w:rPr>
                <w:sz w:val="20"/>
                <w:szCs w:val="20"/>
                <w:color w:val="auto"/>
              </w:rPr>
            </w:pPr>
            <w:r>
              <w:rPr>
                <w:rFonts w:ascii="Arial" w:cs="Arial" w:eastAsia="Arial" w:hAnsi="Arial"/>
                <w:sz w:val="16"/>
                <w:szCs w:val="16"/>
                <w:color w:val="auto"/>
              </w:rPr>
              <w:t>Corporate Development</w:t>
            </w:r>
          </w:p>
        </w:tc>
        <w:tc>
          <w:tcPr>
            <w:tcW w:w="2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restart"/>
          </w:tcPr>
          <w:p>
            <w:pPr>
              <w:jc w:val="center"/>
              <w:ind w:left="301"/>
              <w:spacing w:after="0"/>
              <w:rPr>
                <w:sz w:val="20"/>
                <w:szCs w:val="20"/>
                <w:color w:val="auto"/>
              </w:rPr>
            </w:pPr>
            <w:r>
              <w:rPr>
                <w:rFonts w:ascii="Webdings" w:cs="Webdings" w:eastAsia="Webdings" w:hAnsi="Webdings"/>
                <w:sz w:val="11"/>
                <w:szCs w:val="11"/>
                <w:b w:val="1"/>
                <w:bCs w:val="1"/>
                <w:color w:val="0626A9"/>
                <w:w w:val="90"/>
              </w:rPr>
              <w:t>n</w:t>
            </w:r>
          </w:p>
        </w:tc>
        <w:tc>
          <w:tcPr>
            <w:tcW w:w="420" w:type="dxa"/>
            <w:vAlign w:val="bottom"/>
            <w:vMerge w:val="restart"/>
          </w:tcPr>
          <w:p>
            <w:pPr>
              <w:ind w:left="200"/>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vMerge w:val="restart"/>
          </w:tcPr>
          <w:p>
            <w:pPr>
              <w:ind w:left="200"/>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Webdings" w:cs="Webdings" w:eastAsia="Webdings" w:hAnsi="Webdings"/>
                <w:sz w:val="11"/>
                <w:szCs w:val="11"/>
                <w:b w:val="1"/>
                <w:bCs w:val="1"/>
                <w:color w:val="0626A9"/>
              </w:rPr>
              <w:t>n</w:t>
            </w: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vMerge w:val="restart"/>
          </w:tcPr>
          <w:p>
            <w:pPr>
              <w:jc w:val="right"/>
              <w:ind w:right="59"/>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vMerge w:val="restart"/>
          </w:tcPr>
          <w:p>
            <w:pPr>
              <w:ind w:left="180"/>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vMerge w:val="restart"/>
          </w:tcPr>
          <w:p>
            <w:pPr>
              <w:ind w:left="180"/>
              <w:spacing w:after="0"/>
              <w:rPr>
                <w:sz w:val="20"/>
                <w:szCs w:val="20"/>
                <w:color w:val="auto"/>
              </w:rPr>
            </w:pPr>
            <w:r>
              <w:rPr>
                <w:rFonts w:ascii="Webdings" w:cs="Webdings" w:eastAsia="Webdings" w:hAnsi="Webdings"/>
                <w:sz w:val="11"/>
                <w:szCs w:val="11"/>
                <w:b w:val="1"/>
                <w:bCs w:val="1"/>
                <w:color w:val="0626A9"/>
              </w:rPr>
              <w:t>n</w:t>
            </w:r>
          </w:p>
        </w:tc>
        <w:tc>
          <w:tcPr>
            <w:tcW w:w="500" w:type="dxa"/>
            <w:vAlign w:val="bottom"/>
            <w:vMerge w:val="restart"/>
          </w:tcPr>
          <w:p>
            <w:pPr>
              <w:ind w:left="180"/>
              <w:spacing w:after="0"/>
              <w:rPr>
                <w:sz w:val="20"/>
                <w:szCs w:val="20"/>
                <w:color w:val="auto"/>
              </w:rPr>
            </w:pPr>
            <w:r>
              <w:rPr>
                <w:rFonts w:ascii="Webdings" w:cs="Webdings" w:eastAsia="Webdings" w:hAnsi="Webdings"/>
                <w:sz w:val="11"/>
                <w:szCs w:val="11"/>
                <w:b w:val="1"/>
                <w:bCs w:val="1"/>
                <w:color w:val="0626A9"/>
              </w:rPr>
              <w:t>n</w:t>
            </w:r>
          </w:p>
        </w:tc>
        <w:tc>
          <w:tcPr>
            <w:tcW w:w="360" w:type="dxa"/>
            <w:vAlign w:val="bottom"/>
            <w:gridSpan w:val="2"/>
            <w:vMerge w:val="restart"/>
          </w:tcPr>
          <w:p>
            <w:pPr>
              <w:ind w:left="100"/>
              <w:spacing w:after="0"/>
              <w:rPr>
                <w:sz w:val="20"/>
                <w:szCs w:val="20"/>
                <w:color w:val="auto"/>
              </w:rPr>
            </w:pPr>
            <w:r>
              <w:rPr>
                <w:rFonts w:ascii="Webdings" w:cs="Webdings" w:eastAsia="Webdings" w:hAnsi="Webdings"/>
                <w:sz w:val="11"/>
                <w:szCs w:val="11"/>
                <w:b w:val="1"/>
                <w:bCs w:val="1"/>
                <w:color w:val="0626A9"/>
              </w:rPr>
              <w:t>n</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700" w:type="dxa"/>
            <w:vAlign w:val="bottom"/>
            <w:gridSpan w:val="2"/>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5660" w:type="dxa"/>
            <w:vAlign w:val="bottom"/>
            <w:gridSpan w:val="4"/>
            <w:shd w:val="clear" w:color="auto" w:fill="EDF0FC"/>
          </w:tcPr>
          <w:p>
            <w:pPr>
              <w:ind w:left="20"/>
              <w:spacing w:after="0" w:line="148" w:lineRule="exact"/>
              <w:rPr>
                <w:sz w:val="20"/>
                <w:szCs w:val="20"/>
                <w:color w:val="auto"/>
              </w:rPr>
            </w:pPr>
            <w:r>
              <w:rPr>
                <w:rFonts w:ascii="Arial" w:cs="Arial" w:eastAsia="Arial" w:hAnsi="Arial"/>
                <w:sz w:val="16"/>
                <w:szCs w:val="16"/>
                <w:color w:val="auto"/>
              </w:rPr>
              <w:t>Financial Reporting and Capital Allocation</w:t>
            </w:r>
          </w:p>
        </w:tc>
        <w:tc>
          <w:tcPr>
            <w:tcW w:w="260" w:type="dxa"/>
            <w:vAlign w:val="bottom"/>
            <w:shd w:val="clear" w:color="auto" w:fill="EDF0FC"/>
          </w:tcPr>
          <w:p>
            <w:pPr>
              <w:spacing w:after="0"/>
              <w:rPr>
                <w:sz w:val="12"/>
                <w:szCs w:val="12"/>
                <w:color w:val="auto"/>
              </w:rPr>
            </w:pPr>
          </w:p>
        </w:tc>
        <w:tc>
          <w:tcPr>
            <w:tcW w:w="680" w:type="dxa"/>
            <w:vAlign w:val="bottom"/>
            <w:vMerge w:val="restart"/>
            <w:shd w:val="clear" w:color="auto" w:fill="EDF0FC"/>
          </w:tcPr>
          <w:p>
            <w:pPr>
              <w:jc w:val="center"/>
              <w:ind w:left="301"/>
              <w:spacing w:after="0"/>
              <w:rPr>
                <w:sz w:val="20"/>
                <w:szCs w:val="20"/>
                <w:color w:val="auto"/>
              </w:rPr>
            </w:pPr>
            <w:r>
              <w:rPr>
                <w:rFonts w:ascii="Webdings" w:cs="Webdings" w:eastAsia="Webdings" w:hAnsi="Webdings"/>
                <w:sz w:val="11"/>
                <w:szCs w:val="11"/>
                <w:b w:val="1"/>
                <w:bCs w:val="1"/>
                <w:color w:val="0626A9"/>
                <w:w w:val="90"/>
              </w:rPr>
              <w:t>n</w:t>
            </w:r>
          </w:p>
        </w:tc>
        <w:tc>
          <w:tcPr>
            <w:tcW w:w="420" w:type="dxa"/>
            <w:vAlign w:val="bottom"/>
            <w:vMerge w:val="restart"/>
            <w:shd w:val="clear" w:color="auto" w:fill="EDF0FC"/>
          </w:tcPr>
          <w:p>
            <w:pPr>
              <w:ind w:left="200"/>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shd w:val="clear" w:color="auto" w:fill="EDF0FC"/>
          </w:tcPr>
          <w:p>
            <w:pPr>
              <w:spacing w:after="0"/>
              <w:rPr>
                <w:sz w:val="12"/>
                <w:szCs w:val="12"/>
                <w:color w:val="auto"/>
              </w:rPr>
            </w:pPr>
          </w:p>
        </w:tc>
        <w:tc>
          <w:tcPr>
            <w:tcW w:w="420" w:type="dxa"/>
            <w:vAlign w:val="bottom"/>
            <w:vMerge w:val="restart"/>
            <w:shd w:val="clear" w:color="auto" w:fill="EDF0FC"/>
          </w:tcPr>
          <w:p>
            <w:pPr>
              <w:ind w:left="180"/>
              <w:spacing w:after="0"/>
              <w:rPr>
                <w:sz w:val="20"/>
                <w:szCs w:val="20"/>
                <w:color w:val="auto"/>
              </w:rPr>
            </w:pPr>
            <w:r>
              <w:rPr>
                <w:rFonts w:ascii="Webdings" w:cs="Webdings" w:eastAsia="Webdings" w:hAnsi="Webdings"/>
                <w:sz w:val="11"/>
                <w:szCs w:val="11"/>
                <w:b w:val="1"/>
                <w:bCs w:val="1"/>
                <w:color w:val="0626A9"/>
              </w:rPr>
              <w:t>n</w:t>
            </w:r>
          </w:p>
        </w:tc>
        <w:tc>
          <w:tcPr>
            <w:tcW w:w="340" w:type="dxa"/>
            <w:vAlign w:val="bottom"/>
            <w:shd w:val="clear" w:color="auto" w:fill="EDF0FC"/>
          </w:tcPr>
          <w:p>
            <w:pPr>
              <w:spacing w:after="0"/>
              <w:rPr>
                <w:sz w:val="12"/>
                <w:szCs w:val="12"/>
                <w:color w:val="auto"/>
              </w:rPr>
            </w:pPr>
          </w:p>
        </w:tc>
        <w:tc>
          <w:tcPr>
            <w:tcW w:w="480" w:type="dxa"/>
            <w:vAlign w:val="bottom"/>
            <w:shd w:val="clear" w:color="auto" w:fill="EDF0FC"/>
          </w:tcPr>
          <w:p>
            <w:pPr>
              <w:spacing w:after="0"/>
              <w:rPr>
                <w:sz w:val="12"/>
                <w:szCs w:val="12"/>
                <w:color w:val="auto"/>
              </w:rPr>
            </w:pPr>
          </w:p>
        </w:tc>
        <w:tc>
          <w:tcPr>
            <w:tcW w:w="440" w:type="dxa"/>
            <w:vAlign w:val="bottom"/>
            <w:vMerge w:val="restart"/>
            <w:shd w:val="clear" w:color="auto" w:fill="EDF0FC"/>
          </w:tcPr>
          <w:p>
            <w:pPr>
              <w:jc w:val="center"/>
              <w:ind w:left="16"/>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vMerge w:val="restart"/>
            <w:shd w:val="clear" w:color="auto" w:fill="EDF0FC"/>
          </w:tcPr>
          <w:p>
            <w:pPr>
              <w:jc w:val="right"/>
              <w:ind w:right="59"/>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vMerge w:val="restart"/>
            <w:shd w:val="clear" w:color="auto" w:fill="EDF0FC"/>
          </w:tcPr>
          <w:p>
            <w:pPr>
              <w:ind w:left="180"/>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shd w:val="clear" w:color="auto" w:fill="EDF0FC"/>
          </w:tcPr>
          <w:p>
            <w:pPr>
              <w:spacing w:after="0"/>
              <w:rPr>
                <w:sz w:val="12"/>
                <w:szCs w:val="12"/>
                <w:color w:val="auto"/>
              </w:rPr>
            </w:pPr>
          </w:p>
        </w:tc>
        <w:tc>
          <w:tcPr>
            <w:tcW w:w="500" w:type="dxa"/>
            <w:vAlign w:val="bottom"/>
            <w:vMerge w:val="restart"/>
            <w:shd w:val="clear" w:color="auto" w:fill="EDF0FC"/>
          </w:tcPr>
          <w:p>
            <w:pPr>
              <w:ind w:left="180"/>
              <w:spacing w:after="0"/>
              <w:rPr>
                <w:sz w:val="20"/>
                <w:szCs w:val="20"/>
                <w:color w:val="auto"/>
              </w:rPr>
            </w:pPr>
            <w:r>
              <w:rPr>
                <w:rFonts w:ascii="Webdings" w:cs="Webdings" w:eastAsia="Webdings" w:hAnsi="Webdings"/>
                <w:sz w:val="11"/>
                <w:szCs w:val="11"/>
                <w:b w:val="1"/>
                <w:bCs w:val="1"/>
                <w:color w:val="0626A9"/>
              </w:rPr>
              <w:t>n</w:t>
            </w:r>
          </w:p>
        </w:tc>
        <w:tc>
          <w:tcPr>
            <w:tcW w:w="340" w:type="dxa"/>
            <w:vAlign w:val="bottom"/>
            <w:shd w:val="clear" w:color="auto" w:fill="EDF0FC"/>
          </w:tcPr>
          <w:p>
            <w:pPr>
              <w:spacing w:after="0"/>
              <w:rPr>
                <w:sz w:val="12"/>
                <w:szCs w:val="12"/>
                <w:color w:val="auto"/>
              </w:rPr>
            </w:pPr>
          </w:p>
        </w:tc>
        <w:tc>
          <w:tcPr>
            <w:tcW w:w="20" w:type="dxa"/>
            <w:vAlign w:val="bottom"/>
            <w:shd w:val="clear" w:color="auto" w:fill="ED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EDF0FC"/>
          </w:tcPr>
          <w:p>
            <w:pPr>
              <w:spacing w:after="0" w:line="20" w:lineRule="exact"/>
              <w:rPr>
                <w:sz w:val="1"/>
                <w:szCs w:val="1"/>
                <w:color w:val="auto"/>
              </w:rPr>
            </w:pPr>
          </w:p>
        </w:tc>
        <w:tc>
          <w:tcPr>
            <w:tcW w:w="260" w:type="dxa"/>
            <w:vAlign w:val="bottom"/>
            <w:shd w:val="clear" w:color="auto" w:fill="EDF0FC"/>
          </w:tcPr>
          <w:p>
            <w:pPr>
              <w:spacing w:after="0" w:line="20" w:lineRule="exact"/>
              <w:rPr>
                <w:sz w:val="1"/>
                <w:szCs w:val="1"/>
                <w:color w:val="auto"/>
              </w:rPr>
            </w:pPr>
          </w:p>
        </w:tc>
        <w:tc>
          <w:tcPr>
            <w:tcW w:w="20" w:type="dxa"/>
            <w:vAlign w:val="bottom"/>
            <w:shd w:val="clear" w:color="auto" w:fill="EDF0FC"/>
          </w:tcPr>
          <w:p>
            <w:pPr>
              <w:spacing w:after="0" w:line="20" w:lineRule="exact"/>
              <w:rPr>
                <w:sz w:val="1"/>
                <w:szCs w:val="1"/>
                <w:color w:val="auto"/>
              </w:rPr>
            </w:pPr>
          </w:p>
        </w:tc>
        <w:tc>
          <w:tcPr>
            <w:tcW w:w="2680" w:type="dxa"/>
            <w:vAlign w:val="bottom"/>
            <w:shd w:val="clear" w:color="auto" w:fill="EDF0FC"/>
          </w:tcPr>
          <w:p>
            <w:pPr>
              <w:spacing w:after="0" w:line="20" w:lineRule="exact"/>
              <w:rPr>
                <w:sz w:val="1"/>
                <w:szCs w:val="1"/>
                <w:color w:val="auto"/>
              </w:rPr>
            </w:pPr>
          </w:p>
        </w:tc>
        <w:tc>
          <w:tcPr>
            <w:tcW w:w="260" w:type="dxa"/>
            <w:vAlign w:val="bottom"/>
            <w:shd w:val="clear" w:color="auto" w:fill="EDF0FC"/>
          </w:tcPr>
          <w:p>
            <w:pPr>
              <w:spacing w:after="0" w:line="20" w:lineRule="exact"/>
              <w:rPr>
                <w:sz w:val="1"/>
                <w:szCs w:val="1"/>
                <w:color w:val="auto"/>
              </w:rPr>
            </w:pPr>
          </w:p>
        </w:tc>
        <w:tc>
          <w:tcPr>
            <w:tcW w:w="680" w:type="dxa"/>
            <w:vAlign w:val="bottom"/>
            <w:vMerge w:val="continue"/>
            <w:shd w:val="clear" w:color="auto" w:fill="EDF0FC"/>
          </w:tcPr>
          <w:p>
            <w:pPr>
              <w:spacing w:after="0" w:line="20" w:lineRule="exact"/>
              <w:rPr>
                <w:sz w:val="1"/>
                <w:szCs w:val="1"/>
                <w:color w:val="auto"/>
              </w:rPr>
            </w:pPr>
          </w:p>
        </w:tc>
        <w:tc>
          <w:tcPr>
            <w:tcW w:w="420" w:type="dxa"/>
            <w:vAlign w:val="bottom"/>
            <w:vMerge w:val="continue"/>
            <w:shd w:val="clear" w:color="auto" w:fill="EDF0FC"/>
          </w:tcPr>
          <w:p>
            <w:pPr>
              <w:spacing w:after="0" w:line="20" w:lineRule="exact"/>
              <w:rPr>
                <w:sz w:val="1"/>
                <w:szCs w:val="1"/>
                <w:color w:val="auto"/>
              </w:rPr>
            </w:pPr>
          </w:p>
        </w:tc>
        <w:tc>
          <w:tcPr>
            <w:tcW w:w="420" w:type="dxa"/>
            <w:vAlign w:val="bottom"/>
            <w:shd w:val="clear" w:color="auto" w:fill="EDF0FC"/>
          </w:tcPr>
          <w:p>
            <w:pPr>
              <w:spacing w:after="0" w:line="20" w:lineRule="exact"/>
              <w:rPr>
                <w:sz w:val="1"/>
                <w:szCs w:val="1"/>
                <w:color w:val="auto"/>
              </w:rPr>
            </w:pPr>
          </w:p>
        </w:tc>
        <w:tc>
          <w:tcPr>
            <w:tcW w:w="420" w:type="dxa"/>
            <w:vAlign w:val="bottom"/>
            <w:vMerge w:val="continue"/>
            <w:shd w:val="clear" w:color="auto" w:fill="EDF0FC"/>
          </w:tcPr>
          <w:p>
            <w:pPr>
              <w:spacing w:after="0" w:line="20" w:lineRule="exact"/>
              <w:rPr>
                <w:sz w:val="1"/>
                <w:szCs w:val="1"/>
                <w:color w:val="auto"/>
              </w:rPr>
            </w:pPr>
          </w:p>
        </w:tc>
        <w:tc>
          <w:tcPr>
            <w:tcW w:w="340" w:type="dxa"/>
            <w:vAlign w:val="bottom"/>
            <w:shd w:val="clear" w:color="auto" w:fill="EDF0FC"/>
          </w:tcPr>
          <w:p>
            <w:pPr>
              <w:spacing w:after="0" w:line="20" w:lineRule="exact"/>
              <w:rPr>
                <w:sz w:val="1"/>
                <w:szCs w:val="1"/>
                <w:color w:val="auto"/>
              </w:rPr>
            </w:pPr>
          </w:p>
        </w:tc>
        <w:tc>
          <w:tcPr>
            <w:tcW w:w="480" w:type="dxa"/>
            <w:vAlign w:val="bottom"/>
            <w:shd w:val="clear" w:color="auto" w:fill="EDF0FC"/>
          </w:tcPr>
          <w:p>
            <w:pPr>
              <w:spacing w:after="0" w:line="20" w:lineRule="exact"/>
              <w:rPr>
                <w:sz w:val="1"/>
                <w:szCs w:val="1"/>
                <w:color w:val="auto"/>
              </w:rPr>
            </w:pPr>
          </w:p>
        </w:tc>
        <w:tc>
          <w:tcPr>
            <w:tcW w:w="440" w:type="dxa"/>
            <w:vAlign w:val="bottom"/>
            <w:vMerge w:val="continue"/>
            <w:shd w:val="clear" w:color="auto" w:fill="EDF0FC"/>
          </w:tcPr>
          <w:p>
            <w:pPr>
              <w:spacing w:after="0" w:line="20" w:lineRule="exact"/>
              <w:rPr>
                <w:sz w:val="1"/>
                <w:szCs w:val="1"/>
                <w:color w:val="auto"/>
              </w:rPr>
            </w:pPr>
          </w:p>
        </w:tc>
        <w:tc>
          <w:tcPr>
            <w:tcW w:w="420" w:type="dxa"/>
            <w:vAlign w:val="bottom"/>
            <w:vMerge w:val="continue"/>
            <w:shd w:val="clear" w:color="auto" w:fill="EDF0FC"/>
          </w:tcPr>
          <w:p>
            <w:pPr>
              <w:spacing w:after="0" w:line="20" w:lineRule="exact"/>
              <w:rPr>
                <w:sz w:val="1"/>
                <w:szCs w:val="1"/>
                <w:color w:val="auto"/>
              </w:rPr>
            </w:pPr>
          </w:p>
        </w:tc>
        <w:tc>
          <w:tcPr>
            <w:tcW w:w="420" w:type="dxa"/>
            <w:vAlign w:val="bottom"/>
            <w:vMerge w:val="continue"/>
            <w:shd w:val="clear" w:color="auto" w:fill="EDF0FC"/>
          </w:tcPr>
          <w:p>
            <w:pPr>
              <w:spacing w:after="0" w:line="20" w:lineRule="exact"/>
              <w:rPr>
                <w:sz w:val="1"/>
                <w:szCs w:val="1"/>
                <w:color w:val="auto"/>
              </w:rPr>
            </w:pPr>
          </w:p>
        </w:tc>
        <w:tc>
          <w:tcPr>
            <w:tcW w:w="420" w:type="dxa"/>
            <w:vAlign w:val="bottom"/>
            <w:shd w:val="clear" w:color="auto" w:fill="EDF0FC"/>
          </w:tcPr>
          <w:p>
            <w:pPr>
              <w:spacing w:after="0" w:line="20" w:lineRule="exact"/>
              <w:rPr>
                <w:sz w:val="1"/>
                <w:szCs w:val="1"/>
                <w:color w:val="auto"/>
              </w:rPr>
            </w:pPr>
          </w:p>
        </w:tc>
        <w:tc>
          <w:tcPr>
            <w:tcW w:w="500" w:type="dxa"/>
            <w:vAlign w:val="bottom"/>
            <w:vMerge w:val="continue"/>
            <w:shd w:val="clear" w:color="auto" w:fill="EDF0FC"/>
          </w:tcPr>
          <w:p>
            <w:pPr>
              <w:spacing w:after="0" w:line="20" w:lineRule="exact"/>
              <w:rPr>
                <w:sz w:val="1"/>
                <w:szCs w:val="1"/>
                <w:color w:val="auto"/>
              </w:rPr>
            </w:pPr>
          </w:p>
        </w:tc>
        <w:tc>
          <w:tcPr>
            <w:tcW w:w="340" w:type="dxa"/>
            <w:vAlign w:val="bottom"/>
            <w:shd w:val="clear" w:color="auto" w:fill="EDF0FC"/>
          </w:tcPr>
          <w:p>
            <w:pPr>
              <w:spacing w:after="0" w:line="20" w:lineRule="exact"/>
              <w:rPr>
                <w:sz w:val="1"/>
                <w:szCs w:val="1"/>
                <w:color w:val="auto"/>
              </w:rPr>
            </w:pPr>
          </w:p>
        </w:tc>
        <w:tc>
          <w:tcPr>
            <w:tcW w:w="20" w:type="dxa"/>
            <w:vAlign w:val="bottom"/>
            <w:shd w:val="clear" w:color="auto" w:fill="ED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700" w:type="dxa"/>
            <w:vAlign w:val="bottom"/>
            <w:shd w:val="clear" w:color="auto" w:fill="EDF0FC"/>
          </w:tcPr>
          <w:p>
            <w:pPr>
              <w:spacing w:after="0"/>
              <w:rPr>
                <w:sz w:val="6"/>
                <w:szCs w:val="6"/>
                <w:color w:val="auto"/>
              </w:rPr>
            </w:pPr>
          </w:p>
        </w:tc>
        <w:tc>
          <w:tcPr>
            <w:tcW w:w="260" w:type="dxa"/>
            <w:vAlign w:val="bottom"/>
            <w:shd w:val="clear" w:color="auto" w:fill="EDF0FC"/>
          </w:tcPr>
          <w:p>
            <w:pPr>
              <w:spacing w:after="0"/>
              <w:rPr>
                <w:sz w:val="6"/>
                <w:szCs w:val="6"/>
                <w:color w:val="auto"/>
              </w:rPr>
            </w:pPr>
          </w:p>
        </w:tc>
        <w:tc>
          <w:tcPr>
            <w:tcW w:w="20" w:type="dxa"/>
            <w:vAlign w:val="bottom"/>
            <w:shd w:val="clear" w:color="auto" w:fill="EDF0FC"/>
          </w:tcPr>
          <w:p>
            <w:pPr>
              <w:spacing w:after="0"/>
              <w:rPr>
                <w:sz w:val="6"/>
                <w:szCs w:val="6"/>
                <w:color w:val="auto"/>
              </w:rPr>
            </w:pPr>
          </w:p>
        </w:tc>
        <w:tc>
          <w:tcPr>
            <w:tcW w:w="2680" w:type="dxa"/>
            <w:vAlign w:val="bottom"/>
            <w:shd w:val="clear" w:color="auto" w:fill="EDF0FC"/>
          </w:tcPr>
          <w:p>
            <w:pPr>
              <w:spacing w:after="0"/>
              <w:rPr>
                <w:sz w:val="6"/>
                <w:szCs w:val="6"/>
                <w:color w:val="auto"/>
              </w:rPr>
            </w:pPr>
          </w:p>
        </w:tc>
        <w:tc>
          <w:tcPr>
            <w:tcW w:w="260" w:type="dxa"/>
            <w:vAlign w:val="bottom"/>
            <w:shd w:val="clear" w:color="auto" w:fill="EDF0FC"/>
          </w:tcPr>
          <w:p>
            <w:pPr>
              <w:spacing w:after="0"/>
              <w:rPr>
                <w:sz w:val="6"/>
                <w:szCs w:val="6"/>
                <w:color w:val="auto"/>
              </w:rPr>
            </w:pPr>
          </w:p>
        </w:tc>
        <w:tc>
          <w:tcPr>
            <w:tcW w:w="68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340" w:type="dxa"/>
            <w:vAlign w:val="bottom"/>
            <w:shd w:val="clear" w:color="auto" w:fill="EDF0FC"/>
          </w:tcPr>
          <w:p>
            <w:pPr>
              <w:spacing w:after="0"/>
              <w:rPr>
                <w:sz w:val="6"/>
                <w:szCs w:val="6"/>
                <w:color w:val="auto"/>
              </w:rPr>
            </w:pPr>
          </w:p>
        </w:tc>
        <w:tc>
          <w:tcPr>
            <w:tcW w:w="480" w:type="dxa"/>
            <w:vAlign w:val="bottom"/>
            <w:shd w:val="clear" w:color="auto" w:fill="EDF0FC"/>
          </w:tcPr>
          <w:p>
            <w:pPr>
              <w:spacing w:after="0"/>
              <w:rPr>
                <w:sz w:val="6"/>
                <w:szCs w:val="6"/>
                <w:color w:val="auto"/>
              </w:rPr>
            </w:pPr>
          </w:p>
        </w:tc>
        <w:tc>
          <w:tcPr>
            <w:tcW w:w="44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500" w:type="dxa"/>
            <w:vAlign w:val="bottom"/>
            <w:shd w:val="clear" w:color="auto" w:fill="EDF0FC"/>
          </w:tcPr>
          <w:p>
            <w:pPr>
              <w:spacing w:after="0"/>
              <w:rPr>
                <w:sz w:val="6"/>
                <w:szCs w:val="6"/>
                <w:color w:val="auto"/>
              </w:rPr>
            </w:pPr>
          </w:p>
        </w:tc>
        <w:tc>
          <w:tcPr>
            <w:tcW w:w="340" w:type="dxa"/>
            <w:vAlign w:val="bottom"/>
            <w:shd w:val="clear" w:color="auto" w:fill="EDF0FC"/>
          </w:tcPr>
          <w:p>
            <w:pPr>
              <w:spacing w:after="0"/>
              <w:rPr>
                <w:sz w:val="6"/>
                <w:szCs w:val="6"/>
                <w:color w:val="auto"/>
              </w:rPr>
            </w:pPr>
          </w:p>
        </w:tc>
        <w:tc>
          <w:tcPr>
            <w:tcW w:w="20" w:type="dxa"/>
            <w:vAlign w:val="bottom"/>
            <w:shd w:val="clear" w:color="auto" w:fill="EDF0FC"/>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980" w:type="dxa"/>
            <w:vAlign w:val="bottom"/>
            <w:gridSpan w:val="3"/>
          </w:tcPr>
          <w:p>
            <w:pPr>
              <w:ind w:left="20"/>
              <w:spacing w:after="0" w:line="148" w:lineRule="exact"/>
              <w:rPr>
                <w:sz w:val="20"/>
                <w:szCs w:val="20"/>
                <w:color w:val="auto"/>
              </w:rPr>
            </w:pPr>
            <w:r>
              <w:rPr>
                <w:rFonts w:ascii="Arial" w:cs="Arial" w:eastAsia="Arial" w:hAnsi="Arial"/>
                <w:sz w:val="16"/>
                <w:szCs w:val="16"/>
                <w:color w:val="auto"/>
              </w:rPr>
              <w:t>Corporate/Enterprise Risk Management</w:t>
            </w:r>
          </w:p>
        </w:tc>
        <w:tc>
          <w:tcPr>
            <w:tcW w:w="2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restart"/>
          </w:tcPr>
          <w:p>
            <w:pPr>
              <w:jc w:val="center"/>
              <w:ind w:left="301"/>
              <w:spacing w:after="0"/>
              <w:rPr>
                <w:sz w:val="20"/>
                <w:szCs w:val="20"/>
                <w:color w:val="auto"/>
              </w:rPr>
            </w:pPr>
            <w:r>
              <w:rPr>
                <w:rFonts w:ascii="Webdings" w:cs="Webdings" w:eastAsia="Webdings" w:hAnsi="Webdings"/>
                <w:sz w:val="11"/>
                <w:szCs w:val="11"/>
                <w:b w:val="1"/>
                <w:bCs w:val="1"/>
                <w:color w:val="0626A9"/>
                <w:w w:val="90"/>
              </w:rPr>
              <w:t>n</w:t>
            </w:r>
          </w:p>
        </w:tc>
        <w:tc>
          <w:tcPr>
            <w:tcW w:w="420" w:type="dxa"/>
            <w:vAlign w:val="bottom"/>
            <w:vMerge w:val="restart"/>
          </w:tcPr>
          <w:p>
            <w:pPr>
              <w:ind w:left="200"/>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tcPr>
          <w:p>
            <w:pPr>
              <w:spacing w:after="0"/>
              <w:rPr>
                <w:sz w:val="12"/>
                <w:szCs w:val="12"/>
                <w:color w:val="auto"/>
              </w:rPr>
            </w:pPr>
          </w:p>
        </w:tc>
        <w:tc>
          <w:tcPr>
            <w:tcW w:w="420" w:type="dxa"/>
            <w:vAlign w:val="bottom"/>
            <w:vMerge w:val="restart"/>
          </w:tcPr>
          <w:p>
            <w:pPr>
              <w:ind w:left="180"/>
              <w:spacing w:after="0"/>
              <w:rPr>
                <w:sz w:val="20"/>
                <w:szCs w:val="20"/>
                <w:color w:val="auto"/>
              </w:rPr>
            </w:pPr>
            <w:r>
              <w:rPr>
                <w:rFonts w:ascii="Webdings" w:cs="Webdings" w:eastAsia="Webdings" w:hAnsi="Webdings"/>
                <w:sz w:val="11"/>
                <w:szCs w:val="11"/>
                <w:b w:val="1"/>
                <w:bCs w:val="1"/>
                <w:color w:val="0626A9"/>
              </w:rPr>
              <w:t>n</w:t>
            </w:r>
          </w:p>
        </w:tc>
        <w:tc>
          <w:tcPr>
            <w:tcW w:w="340" w:type="dxa"/>
            <w:vAlign w:val="bottom"/>
            <w:vMerge w:val="restart"/>
          </w:tcPr>
          <w:p>
            <w:pPr>
              <w:jc w:val="right"/>
              <w:spacing w:after="0"/>
              <w:rPr>
                <w:sz w:val="20"/>
                <w:szCs w:val="20"/>
                <w:color w:val="auto"/>
              </w:rPr>
            </w:pPr>
            <w:r>
              <w:rPr>
                <w:rFonts w:ascii="Webdings" w:cs="Webdings" w:eastAsia="Webdings" w:hAnsi="Webdings"/>
                <w:sz w:val="11"/>
                <w:szCs w:val="11"/>
                <w:b w:val="1"/>
                <w:bCs w:val="1"/>
                <w:color w:val="0626A9"/>
              </w:rPr>
              <w:t>n</w:t>
            </w:r>
          </w:p>
        </w:tc>
        <w:tc>
          <w:tcPr>
            <w:tcW w:w="480" w:type="dxa"/>
            <w:vAlign w:val="bottom"/>
            <w:vMerge w:val="restart"/>
          </w:tcPr>
          <w:p>
            <w:pPr>
              <w:jc w:val="center"/>
              <w:ind w:left="99"/>
              <w:spacing w:after="0"/>
              <w:rPr>
                <w:sz w:val="20"/>
                <w:szCs w:val="20"/>
                <w:color w:val="auto"/>
              </w:rPr>
            </w:pPr>
            <w:r>
              <w:rPr>
                <w:rFonts w:ascii="Webdings" w:cs="Webdings" w:eastAsia="Webdings" w:hAnsi="Webdings"/>
                <w:sz w:val="11"/>
                <w:szCs w:val="11"/>
                <w:b w:val="1"/>
                <w:bCs w:val="1"/>
                <w:color w:val="0626A9"/>
              </w:rPr>
              <w:t>n</w:t>
            </w:r>
          </w:p>
        </w:tc>
        <w:tc>
          <w:tcPr>
            <w:tcW w:w="440" w:type="dxa"/>
            <w:vAlign w:val="bottom"/>
            <w:vMerge w:val="restart"/>
          </w:tcPr>
          <w:p>
            <w:pPr>
              <w:jc w:val="center"/>
              <w:ind w:left="16"/>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vMerge w:val="restart"/>
          </w:tcPr>
          <w:p>
            <w:pPr>
              <w:ind w:left="180"/>
              <w:spacing w:after="0"/>
              <w:rPr>
                <w:sz w:val="20"/>
                <w:szCs w:val="20"/>
                <w:color w:val="auto"/>
              </w:rPr>
            </w:pPr>
            <w:r>
              <w:rPr>
                <w:rFonts w:ascii="Webdings" w:cs="Webdings" w:eastAsia="Webdings" w:hAnsi="Webdings"/>
                <w:sz w:val="11"/>
                <w:szCs w:val="11"/>
                <w:b w:val="1"/>
                <w:bCs w:val="1"/>
                <w:color w:val="0626A9"/>
              </w:rPr>
              <w:t>n</w:t>
            </w:r>
          </w:p>
        </w:tc>
        <w:tc>
          <w:tcPr>
            <w:tcW w:w="500" w:type="dxa"/>
            <w:vAlign w:val="bottom"/>
            <w:vMerge w:val="restart"/>
          </w:tcPr>
          <w:p>
            <w:pPr>
              <w:ind w:left="180"/>
              <w:spacing w:after="0"/>
              <w:rPr>
                <w:sz w:val="20"/>
                <w:szCs w:val="20"/>
                <w:color w:val="auto"/>
              </w:rPr>
            </w:pPr>
            <w:r>
              <w:rPr>
                <w:rFonts w:ascii="Webdings" w:cs="Webdings" w:eastAsia="Webdings" w:hAnsi="Webdings"/>
                <w:sz w:val="11"/>
                <w:szCs w:val="11"/>
                <w:b w:val="1"/>
                <w:bCs w:val="1"/>
                <w:color w:val="0626A9"/>
              </w:rPr>
              <w:t>n</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700" w:type="dxa"/>
            <w:vAlign w:val="bottom"/>
            <w:gridSpan w:val="2"/>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5660" w:type="dxa"/>
            <w:vAlign w:val="bottom"/>
            <w:gridSpan w:val="4"/>
            <w:shd w:val="clear" w:color="auto" w:fill="EDF0FC"/>
          </w:tcPr>
          <w:p>
            <w:pPr>
              <w:ind w:left="20"/>
              <w:spacing w:after="0" w:line="148" w:lineRule="exact"/>
              <w:rPr>
                <w:sz w:val="20"/>
                <w:szCs w:val="20"/>
                <w:color w:val="auto"/>
              </w:rPr>
            </w:pPr>
            <w:r>
              <w:rPr>
                <w:rFonts w:ascii="Arial" w:cs="Arial" w:eastAsia="Arial" w:hAnsi="Arial"/>
                <w:sz w:val="16"/>
                <w:szCs w:val="16"/>
                <w:color w:val="auto"/>
              </w:rPr>
              <w:t>Client Relations, Marketing and Brand Development</w:t>
            </w:r>
          </w:p>
        </w:tc>
        <w:tc>
          <w:tcPr>
            <w:tcW w:w="260" w:type="dxa"/>
            <w:vAlign w:val="bottom"/>
            <w:shd w:val="clear" w:color="auto" w:fill="EDF0FC"/>
          </w:tcPr>
          <w:p>
            <w:pPr>
              <w:spacing w:after="0"/>
              <w:rPr>
                <w:sz w:val="12"/>
                <w:szCs w:val="12"/>
                <w:color w:val="auto"/>
              </w:rPr>
            </w:pPr>
          </w:p>
        </w:tc>
        <w:tc>
          <w:tcPr>
            <w:tcW w:w="680" w:type="dxa"/>
            <w:vAlign w:val="bottom"/>
            <w:vMerge w:val="restart"/>
            <w:shd w:val="clear" w:color="auto" w:fill="EDF0FC"/>
          </w:tcPr>
          <w:p>
            <w:pPr>
              <w:jc w:val="center"/>
              <w:ind w:left="301"/>
              <w:spacing w:after="0"/>
              <w:rPr>
                <w:sz w:val="20"/>
                <w:szCs w:val="20"/>
                <w:color w:val="auto"/>
              </w:rPr>
            </w:pPr>
            <w:r>
              <w:rPr>
                <w:rFonts w:ascii="Webdings" w:cs="Webdings" w:eastAsia="Webdings" w:hAnsi="Webdings"/>
                <w:sz w:val="11"/>
                <w:szCs w:val="11"/>
                <w:b w:val="1"/>
                <w:bCs w:val="1"/>
                <w:color w:val="0626A9"/>
                <w:w w:val="90"/>
              </w:rPr>
              <w:t>n</w:t>
            </w:r>
          </w:p>
        </w:tc>
        <w:tc>
          <w:tcPr>
            <w:tcW w:w="420" w:type="dxa"/>
            <w:vAlign w:val="bottom"/>
            <w:vMerge w:val="restart"/>
            <w:shd w:val="clear" w:color="auto" w:fill="EDF0FC"/>
          </w:tcPr>
          <w:p>
            <w:pPr>
              <w:ind w:left="200"/>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vMerge w:val="restart"/>
            <w:shd w:val="clear" w:color="auto" w:fill="EDF0FC"/>
          </w:tcPr>
          <w:p>
            <w:pPr>
              <w:ind w:left="200"/>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shd w:val="clear" w:color="auto" w:fill="EDF0FC"/>
          </w:tcPr>
          <w:p>
            <w:pPr>
              <w:spacing w:after="0"/>
              <w:rPr>
                <w:sz w:val="12"/>
                <w:szCs w:val="12"/>
                <w:color w:val="auto"/>
              </w:rPr>
            </w:pPr>
          </w:p>
        </w:tc>
        <w:tc>
          <w:tcPr>
            <w:tcW w:w="340" w:type="dxa"/>
            <w:vAlign w:val="bottom"/>
            <w:vMerge w:val="restart"/>
            <w:shd w:val="clear" w:color="auto" w:fill="EDF0FC"/>
          </w:tcPr>
          <w:p>
            <w:pPr>
              <w:jc w:val="right"/>
              <w:spacing w:after="0"/>
              <w:rPr>
                <w:sz w:val="20"/>
                <w:szCs w:val="20"/>
                <w:color w:val="auto"/>
              </w:rPr>
            </w:pPr>
            <w:r>
              <w:rPr>
                <w:rFonts w:ascii="Webdings" w:cs="Webdings" w:eastAsia="Webdings" w:hAnsi="Webdings"/>
                <w:sz w:val="11"/>
                <w:szCs w:val="11"/>
                <w:b w:val="1"/>
                <w:bCs w:val="1"/>
                <w:color w:val="0626A9"/>
              </w:rPr>
              <w:t>n</w:t>
            </w:r>
          </w:p>
        </w:tc>
        <w:tc>
          <w:tcPr>
            <w:tcW w:w="480" w:type="dxa"/>
            <w:vAlign w:val="bottom"/>
            <w:vMerge w:val="restart"/>
            <w:shd w:val="clear" w:color="auto" w:fill="EDF0FC"/>
          </w:tcPr>
          <w:p>
            <w:pPr>
              <w:jc w:val="center"/>
              <w:ind w:left="99"/>
              <w:spacing w:after="0"/>
              <w:rPr>
                <w:sz w:val="20"/>
                <w:szCs w:val="20"/>
                <w:color w:val="auto"/>
              </w:rPr>
            </w:pPr>
            <w:r>
              <w:rPr>
                <w:rFonts w:ascii="Webdings" w:cs="Webdings" w:eastAsia="Webdings" w:hAnsi="Webdings"/>
                <w:sz w:val="11"/>
                <w:szCs w:val="11"/>
                <w:b w:val="1"/>
                <w:bCs w:val="1"/>
                <w:color w:val="0626A9"/>
              </w:rPr>
              <w:t>n</w:t>
            </w:r>
          </w:p>
        </w:tc>
        <w:tc>
          <w:tcPr>
            <w:tcW w:w="440" w:type="dxa"/>
            <w:vAlign w:val="bottom"/>
            <w:vMerge w:val="restart"/>
            <w:shd w:val="clear" w:color="auto" w:fill="EDF0FC"/>
          </w:tcPr>
          <w:p>
            <w:pPr>
              <w:jc w:val="center"/>
              <w:ind w:left="16"/>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vMerge w:val="restart"/>
            <w:shd w:val="clear" w:color="auto" w:fill="EDF0FC"/>
          </w:tcPr>
          <w:p>
            <w:pPr>
              <w:jc w:val="right"/>
              <w:ind w:right="59"/>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shd w:val="clear" w:color="auto" w:fill="EDF0FC"/>
          </w:tcPr>
          <w:p>
            <w:pPr>
              <w:spacing w:after="0"/>
              <w:rPr>
                <w:sz w:val="12"/>
                <w:szCs w:val="12"/>
                <w:color w:val="auto"/>
              </w:rPr>
            </w:pPr>
          </w:p>
        </w:tc>
        <w:tc>
          <w:tcPr>
            <w:tcW w:w="420" w:type="dxa"/>
            <w:vAlign w:val="bottom"/>
            <w:shd w:val="clear" w:color="auto" w:fill="EDF0FC"/>
          </w:tcPr>
          <w:p>
            <w:pPr>
              <w:spacing w:after="0"/>
              <w:rPr>
                <w:sz w:val="12"/>
                <w:szCs w:val="12"/>
                <w:color w:val="auto"/>
              </w:rPr>
            </w:pPr>
          </w:p>
        </w:tc>
        <w:tc>
          <w:tcPr>
            <w:tcW w:w="500" w:type="dxa"/>
            <w:vAlign w:val="bottom"/>
            <w:shd w:val="clear" w:color="auto" w:fill="EDF0FC"/>
          </w:tcPr>
          <w:p>
            <w:pPr>
              <w:spacing w:after="0"/>
              <w:rPr>
                <w:sz w:val="12"/>
                <w:szCs w:val="12"/>
                <w:color w:val="auto"/>
              </w:rPr>
            </w:pPr>
          </w:p>
        </w:tc>
        <w:tc>
          <w:tcPr>
            <w:tcW w:w="360" w:type="dxa"/>
            <w:vAlign w:val="bottom"/>
            <w:gridSpan w:val="2"/>
            <w:vMerge w:val="restart"/>
            <w:shd w:val="clear" w:color="auto" w:fill="EDF0FC"/>
          </w:tcPr>
          <w:p>
            <w:pPr>
              <w:ind w:left="100"/>
              <w:spacing w:after="0"/>
              <w:rPr>
                <w:sz w:val="20"/>
                <w:szCs w:val="20"/>
                <w:color w:val="auto"/>
              </w:rPr>
            </w:pPr>
            <w:r>
              <w:rPr>
                <w:rFonts w:ascii="Webdings" w:cs="Webdings" w:eastAsia="Webdings" w:hAnsi="Webdings"/>
                <w:sz w:val="11"/>
                <w:szCs w:val="11"/>
                <w:b w:val="1"/>
                <w:bCs w:val="1"/>
                <w:color w:val="0626A9"/>
              </w:rPr>
              <w:t>n</w:t>
            </w:r>
          </w:p>
        </w:tc>
        <w:tc>
          <w:tcPr>
            <w:tcW w:w="0" w:type="dxa"/>
            <w:vAlign w:val="bottom"/>
          </w:tcPr>
          <w:p>
            <w:pPr>
              <w:spacing w:after="0"/>
              <w:rPr>
                <w:sz w:val="1"/>
                <w:szCs w:val="1"/>
                <w:color w:val="auto"/>
              </w:rPr>
            </w:pPr>
          </w:p>
        </w:tc>
      </w:tr>
      <w:tr>
        <w:trPr>
          <w:trHeight w:val="20"/>
        </w:trPr>
        <w:tc>
          <w:tcPr>
            <w:tcW w:w="2700" w:type="dxa"/>
            <w:vAlign w:val="bottom"/>
            <w:shd w:val="clear" w:color="auto" w:fill="EDF0FC"/>
          </w:tcPr>
          <w:p>
            <w:pPr>
              <w:spacing w:after="0" w:line="20" w:lineRule="exact"/>
              <w:rPr>
                <w:sz w:val="1"/>
                <w:szCs w:val="1"/>
                <w:color w:val="auto"/>
              </w:rPr>
            </w:pPr>
          </w:p>
        </w:tc>
        <w:tc>
          <w:tcPr>
            <w:tcW w:w="260" w:type="dxa"/>
            <w:vAlign w:val="bottom"/>
            <w:shd w:val="clear" w:color="auto" w:fill="EDF0FC"/>
          </w:tcPr>
          <w:p>
            <w:pPr>
              <w:spacing w:after="0" w:line="20" w:lineRule="exact"/>
              <w:rPr>
                <w:sz w:val="1"/>
                <w:szCs w:val="1"/>
                <w:color w:val="auto"/>
              </w:rPr>
            </w:pPr>
          </w:p>
        </w:tc>
        <w:tc>
          <w:tcPr>
            <w:tcW w:w="20" w:type="dxa"/>
            <w:vAlign w:val="bottom"/>
            <w:shd w:val="clear" w:color="auto" w:fill="EDF0FC"/>
          </w:tcPr>
          <w:p>
            <w:pPr>
              <w:spacing w:after="0" w:line="20" w:lineRule="exact"/>
              <w:rPr>
                <w:sz w:val="1"/>
                <w:szCs w:val="1"/>
                <w:color w:val="auto"/>
              </w:rPr>
            </w:pPr>
          </w:p>
        </w:tc>
        <w:tc>
          <w:tcPr>
            <w:tcW w:w="2680" w:type="dxa"/>
            <w:vAlign w:val="bottom"/>
            <w:shd w:val="clear" w:color="auto" w:fill="EDF0FC"/>
          </w:tcPr>
          <w:p>
            <w:pPr>
              <w:spacing w:after="0" w:line="20" w:lineRule="exact"/>
              <w:rPr>
                <w:sz w:val="1"/>
                <w:szCs w:val="1"/>
                <w:color w:val="auto"/>
              </w:rPr>
            </w:pPr>
          </w:p>
        </w:tc>
        <w:tc>
          <w:tcPr>
            <w:tcW w:w="260" w:type="dxa"/>
            <w:vAlign w:val="bottom"/>
            <w:shd w:val="clear" w:color="auto" w:fill="EDF0FC"/>
          </w:tcPr>
          <w:p>
            <w:pPr>
              <w:spacing w:after="0" w:line="20" w:lineRule="exact"/>
              <w:rPr>
                <w:sz w:val="1"/>
                <w:szCs w:val="1"/>
                <w:color w:val="auto"/>
              </w:rPr>
            </w:pPr>
          </w:p>
        </w:tc>
        <w:tc>
          <w:tcPr>
            <w:tcW w:w="680" w:type="dxa"/>
            <w:vAlign w:val="bottom"/>
            <w:vMerge w:val="continue"/>
            <w:shd w:val="clear" w:color="auto" w:fill="EDF0FC"/>
          </w:tcPr>
          <w:p>
            <w:pPr>
              <w:spacing w:after="0" w:line="20" w:lineRule="exact"/>
              <w:rPr>
                <w:sz w:val="1"/>
                <w:szCs w:val="1"/>
                <w:color w:val="auto"/>
              </w:rPr>
            </w:pPr>
          </w:p>
        </w:tc>
        <w:tc>
          <w:tcPr>
            <w:tcW w:w="420" w:type="dxa"/>
            <w:vAlign w:val="bottom"/>
            <w:vMerge w:val="continue"/>
            <w:shd w:val="clear" w:color="auto" w:fill="EDF0FC"/>
          </w:tcPr>
          <w:p>
            <w:pPr>
              <w:spacing w:after="0" w:line="20" w:lineRule="exact"/>
              <w:rPr>
                <w:sz w:val="1"/>
                <w:szCs w:val="1"/>
                <w:color w:val="auto"/>
              </w:rPr>
            </w:pPr>
          </w:p>
        </w:tc>
        <w:tc>
          <w:tcPr>
            <w:tcW w:w="420" w:type="dxa"/>
            <w:vAlign w:val="bottom"/>
            <w:vMerge w:val="continue"/>
            <w:shd w:val="clear" w:color="auto" w:fill="EDF0FC"/>
          </w:tcPr>
          <w:p>
            <w:pPr>
              <w:spacing w:after="0" w:line="20" w:lineRule="exact"/>
              <w:rPr>
                <w:sz w:val="1"/>
                <w:szCs w:val="1"/>
                <w:color w:val="auto"/>
              </w:rPr>
            </w:pPr>
          </w:p>
        </w:tc>
        <w:tc>
          <w:tcPr>
            <w:tcW w:w="420" w:type="dxa"/>
            <w:vAlign w:val="bottom"/>
            <w:shd w:val="clear" w:color="auto" w:fill="EDF0FC"/>
          </w:tcPr>
          <w:p>
            <w:pPr>
              <w:spacing w:after="0" w:line="20" w:lineRule="exact"/>
              <w:rPr>
                <w:sz w:val="1"/>
                <w:szCs w:val="1"/>
                <w:color w:val="auto"/>
              </w:rPr>
            </w:pPr>
          </w:p>
        </w:tc>
        <w:tc>
          <w:tcPr>
            <w:tcW w:w="340" w:type="dxa"/>
            <w:vAlign w:val="bottom"/>
            <w:vMerge w:val="continue"/>
            <w:shd w:val="clear" w:color="auto" w:fill="EDF0FC"/>
          </w:tcPr>
          <w:p>
            <w:pPr>
              <w:spacing w:after="0" w:line="20" w:lineRule="exact"/>
              <w:rPr>
                <w:sz w:val="1"/>
                <w:szCs w:val="1"/>
                <w:color w:val="auto"/>
              </w:rPr>
            </w:pPr>
          </w:p>
        </w:tc>
        <w:tc>
          <w:tcPr>
            <w:tcW w:w="480" w:type="dxa"/>
            <w:vAlign w:val="bottom"/>
            <w:vMerge w:val="continue"/>
            <w:shd w:val="clear" w:color="auto" w:fill="EDF0FC"/>
          </w:tcPr>
          <w:p>
            <w:pPr>
              <w:spacing w:after="0" w:line="20" w:lineRule="exact"/>
              <w:rPr>
                <w:sz w:val="1"/>
                <w:szCs w:val="1"/>
                <w:color w:val="auto"/>
              </w:rPr>
            </w:pPr>
          </w:p>
        </w:tc>
        <w:tc>
          <w:tcPr>
            <w:tcW w:w="440" w:type="dxa"/>
            <w:vAlign w:val="bottom"/>
            <w:vMerge w:val="continue"/>
            <w:shd w:val="clear" w:color="auto" w:fill="EDF0FC"/>
          </w:tcPr>
          <w:p>
            <w:pPr>
              <w:spacing w:after="0" w:line="20" w:lineRule="exact"/>
              <w:rPr>
                <w:sz w:val="1"/>
                <w:szCs w:val="1"/>
                <w:color w:val="auto"/>
              </w:rPr>
            </w:pPr>
          </w:p>
        </w:tc>
        <w:tc>
          <w:tcPr>
            <w:tcW w:w="420" w:type="dxa"/>
            <w:vAlign w:val="bottom"/>
            <w:vMerge w:val="continue"/>
            <w:shd w:val="clear" w:color="auto" w:fill="EDF0FC"/>
          </w:tcPr>
          <w:p>
            <w:pPr>
              <w:spacing w:after="0" w:line="20" w:lineRule="exact"/>
              <w:rPr>
                <w:sz w:val="1"/>
                <w:szCs w:val="1"/>
                <w:color w:val="auto"/>
              </w:rPr>
            </w:pPr>
          </w:p>
        </w:tc>
        <w:tc>
          <w:tcPr>
            <w:tcW w:w="420" w:type="dxa"/>
            <w:vAlign w:val="bottom"/>
            <w:shd w:val="clear" w:color="auto" w:fill="EDF0FC"/>
          </w:tcPr>
          <w:p>
            <w:pPr>
              <w:spacing w:after="0" w:line="20" w:lineRule="exact"/>
              <w:rPr>
                <w:sz w:val="1"/>
                <w:szCs w:val="1"/>
                <w:color w:val="auto"/>
              </w:rPr>
            </w:pPr>
          </w:p>
        </w:tc>
        <w:tc>
          <w:tcPr>
            <w:tcW w:w="420" w:type="dxa"/>
            <w:vAlign w:val="bottom"/>
            <w:shd w:val="clear" w:color="auto" w:fill="EDF0FC"/>
          </w:tcPr>
          <w:p>
            <w:pPr>
              <w:spacing w:after="0" w:line="20" w:lineRule="exact"/>
              <w:rPr>
                <w:sz w:val="1"/>
                <w:szCs w:val="1"/>
                <w:color w:val="auto"/>
              </w:rPr>
            </w:pPr>
          </w:p>
        </w:tc>
        <w:tc>
          <w:tcPr>
            <w:tcW w:w="500" w:type="dxa"/>
            <w:vAlign w:val="bottom"/>
            <w:shd w:val="clear" w:color="auto" w:fill="EDF0FC"/>
          </w:tcPr>
          <w:p>
            <w:pPr>
              <w:spacing w:after="0" w:line="20" w:lineRule="exact"/>
              <w:rPr>
                <w:sz w:val="1"/>
                <w:szCs w:val="1"/>
                <w:color w:val="auto"/>
              </w:rPr>
            </w:pPr>
          </w:p>
        </w:tc>
        <w:tc>
          <w:tcPr>
            <w:tcW w:w="360" w:type="dxa"/>
            <w:vAlign w:val="bottom"/>
            <w:gridSpan w:val="2"/>
            <w:vMerge w:val="continue"/>
            <w:shd w:val="clear" w:color="auto" w:fill="ED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700" w:type="dxa"/>
            <w:vAlign w:val="bottom"/>
            <w:shd w:val="clear" w:color="auto" w:fill="EDF0FC"/>
          </w:tcPr>
          <w:p>
            <w:pPr>
              <w:spacing w:after="0"/>
              <w:rPr>
                <w:sz w:val="6"/>
                <w:szCs w:val="6"/>
                <w:color w:val="auto"/>
              </w:rPr>
            </w:pPr>
          </w:p>
        </w:tc>
        <w:tc>
          <w:tcPr>
            <w:tcW w:w="260" w:type="dxa"/>
            <w:vAlign w:val="bottom"/>
            <w:shd w:val="clear" w:color="auto" w:fill="EDF0FC"/>
          </w:tcPr>
          <w:p>
            <w:pPr>
              <w:spacing w:after="0"/>
              <w:rPr>
                <w:sz w:val="6"/>
                <w:szCs w:val="6"/>
                <w:color w:val="auto"/>
              </w:rPr>
            </w:pPr>
          </w:p>
        </w:tc>
        <w:tc>
          <w:tcPr>
            <w:tcW w:w="20" w:type="dxa"/>
            <w:vAlign w:val="bottom"/>
            <w:shd w:val="clear" w:color="auto" w:fill="EDF0FC"/>
          </w:tcPr>
          <w:p>
            <w:pPr>
              <w:spacing w:after="0"/>
              <w:rPr>
                <w:sz w:val="6"/>
                <w:szCs w:val="6"/>
                <w:color w:val="auto"/>
              </w:rPr>
            </w:pPr>
          </w:p>
        </w:tc>
        <w:tc>
          <w:tcPr>
            <w:tcW w:w="2680" w:type="dxa"/>
            <w:vAlign w:val="bottom"/>
            <w:shd w:val="clear" w:color="auto" w:fill="EDF0FC"/>
          </w:tcPr>
          <w:p>
            <w:pPr>
              <w:spacing w:after="0"/>
              <w:rPr>
                <w:sz w:val="6"/>
                <w:szCs w:val="6"/>
                <w:color w:val="auto"/>
              </w:rPr>
            </w:pPr>
          </w:p>
        </w:tc>
        <w:tc>
          <w:tcPr>
            <w:tcW w:w="260" w:type="dxa"/>
            <w:vAlign w:val="bottom"/>
            <w:shd w:val="clear" w:color="auto" w:fill="EDF0FC"/>
          </w:tcPr>
          <w:p>
            <w:pPr>
              <w:spacing w:after="0"/>
              <w:rPr>
                <w:sz w:val="6"/>
                <w:szCs w:val="6"/>
                <w:color w:val="auto"/>
              </w:rPr>
            </w:pPr>
          </w:p>
        </w:tc>
        <w:tc>
          <w:tcPr>
            <w:tcW w:w="68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340" w:type="dxa"/>
            <w:vAlign w:val="bottom"/>
            <w:shd w:val="clear" w:color="auto" w:fill="EDF0FC"/>
          </w:tcPr>
          <w:p>
            <w:pPr>
              <w:spacing w:after="0"/>
              <w:rPr>
                <w:sz w:val="6"/>
                <w:szCs w:val="6"/>
                <w:color w:val="auto"/>
              </w:rPr>
            </w:pPr>
          </w:p>
        </w:tc>
        <w:tc>
          <w:tcPr>
            <w:tcW w:w="480" w:type="dxa"/>
            <w:vAlign w:val="bottom"/>
            <w:shd w:val="clear" w:color="auto" w:fill="EDF0FC"/>
          </w:tcPr>
          <w:p>
            <w:pPr>
              <w:spacing w:after="0"/>
              <w:rPr>
                <w:sz w:val="6"/>
                <w:szCs w:val="6"/>
                <w:color w:val="auto"/>
              </w:rPr>
            </w:pPr>
          </w:p>
        </w:tc>
        <w:tc>
          <w:tcPr>
            <w:tcW w:w="44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500" w:type="dxa"/>
            <w:vAlign w:val="bottom"/>
            <w:shd w:val="clear" w:color="auto" w:fill="EDF0FC"/>
          </w:tcPr>
          <w:p>
            <w:pPr>
              <w:spacing w:after="0"/>
              <w:rPr>
                <w:sz w:val="6"/>
                <w:szCs w:val="6"/>
                <w:color w:val="auto"/>
              </w:rPr>
            </w:pPr>
          </w:p>
        </w:tc>
        <w:tc>
          <w:tcPr>
            <w:tcW w:w="340" w:type="dxa"/>
            <w:vAlign w:val="bottom"/>
            <w:shd w:val="clear" w:color="auto" w:fill="EDF0FC"/>
          </w:tcPr>
          <w:p>
            <w:pPr>
              <w:spacing w:after="0"/>
              <w:rPr>
                <w:sz w:val="6"/>
                <w:szCs w:val="6"/>
                <w:color w:val="auto"/>
              </w:rPr>
            </w:pPr>
          </w:p>
        </w:tc>
        <w:tc>
          <w:tcPr>
            <w:tcW w:w="20" w:type="dxa"/>
            <w:vAlign w:val="bottom"/>
            <w:shd w:val="clear" w:color="auto" w:fill="EDF0FC"/>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980" w:type="dxa"/>
            <w:vAlign w:val="bottom"/>
            <w:gridSpan w:val="3"/>
          </w:tcPr>
          <w:p>
            <w:pPr>
              <w:ind w:left="20"/>
              <w:spacing w:after="0" w:line="148" w:lineRule="exact"/>
              <w:rPr>
                <w:sz w:val="20"/>
                <w:szCs w:val="20"/>
                <w:color w:val="auto"/>
              </w:rPr>
            </w:pPr>
            <w:r>
              <w:rPr>
                <w:rFonts w:ascii="Arial" w:cs="Arial" w:eastAsia="Arial" w:hAnsi="Arial"/>
                <w:sz w:val="16"/>
                <w:szCs w:val="16"/>
                <w:color w:val="auto"/>
              </w:rPr>
              <w:t>Digital, Data and Cybersecurity Expertise</w:t>
            </w:r>
          </w:p>
        </w:tc>
        <w:tc>
          <w:tcPr>
            <w:tcW w:w="2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vMerge w:val="restart"/>
          </w:tcPr>
          <w:p>
            <w:pPr>
              <w:ind w:left="200"/>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vMerge w:val="restart"/>
          </w:tcPr>
          <w:p>
            <w:pPr>
              <w:ind w:left="180"/>
              <w:spacing w:after="0"/>
              <w:rPr>
                <w:sz w:val="20"/>
                <w:szCs w:val="20"/>
                <w:color w:val="auto"/>
              </w:rPr>
            </w:pPr>
            <w:r>
              <w:rPr>
                <w:rFonts w:ascii="Webdings" w:cs="Webdings" w:eastAsia="Webdings" w:hAnsi="Webdings"/>
                <w:sz w:val="11"/>
                <w:szCs w:val="11"/>
                <w:b w:val="1"/>
                <w:bCs w:val="1"/>
                <w:color w:val="0626A9"/>
              </w:rPr>
              <w:t>n</w:t>
            </w:r>
          </w:p>
        </w:tc>
        <w:tc>
          <w:tcPr>
            <w:tcW w:w="340" w:type="dxa"/>
            <w:vAlign w:val="bottom"/>
          </w:tcPr>
          <w:p>
            <w:pPr>
              <w:spacing w:after="0"/>
              <w:rPr>
                <w:sz w:val="12"/>
                <w:szCs w:val="12"/>
                <w:color w:val="auto"/>
              </w:rPr>
            </w:pPr>
          </w:p>
        </w:tc>
        <w:tc>
          <w:tcPr>
            <w:tcW w:w="480" w:type="dxa"/>
            <w:vAlign w:val="bottom"/>
            <w:vMerge w:val="restart"/>
          </w:tcPr>
          <w:p>
            <w:pPr>
              <w:jc w:val="center"/>
              <w:ind w:left="99"/>
              <w:spacing w:after="0"/>
              <w:rPr>
                <w:sz w:val="20"/>
                <w:szCs w:val="20"/>
                <w:color w:val="auto"/>
              </w:rPr>
            </w:pPr>
            <w:r>
              <w:rPr>
                <w:rFonts w:ascii="Webdings" w:cs="Webdings" w:eastAsia="Webdings" w:hAnsi="Webdings"/>
                <w:sz w:val="11"/>
                <w:szCs w:val="11"/>
                <w:b w:val="1"/>
                <w:bCs w:val="1"/>
                <w:color w:val="0626A9"/>
              </w:rPr>
              <w:t>n</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vMerge w:val="restart"/>
          </w:tcPr>
          <w:p>
            <w:pPr>
              <w:ind w:left="180"/>
              <w:spacing w:after="0"/>
              <w:rPr>
                <w:sz w:val="20"/>
                <w:szCs w:val="20"/>
                <w:color w:val="auto"/>
              </w:rPr>
            </w:pPr>
            <w:r>
              <w:rPr>
                <w:rFonts w:ascii="Webdings" w:cs="Webdings" w:eastAsia="Webdings" w:hAnsi="Webdings"/>
                <w:sz w:val="11"/>
                <w:szCs w:val="11"/>
                <w:b w:val="1"/>
                <w:bCs w:val="1"/>
                <w:color w:val="0626A9"/>
              </w:rPr>
              <w:t>n</w:t>
            </w:r>
          </w:p>
        </w:tc>
        <w:tc>
          <w:tcPr>
            <w:tcW w:w="500" w:type="dxa"/>
            <w:vAlign w:val="bottom"/>
          </w:tcPr>
          <w:p>
            <w:pPr>
              <w:spacing w:after="0"/>
              <w:rPr>
                <w:sz w:val="12"/>
                <w:szCs w:val="12"/>
                <w:color w:val="auto"/>
              </w:rPr>
            </w:pPr>
          </w:p>
        </w:tc>
        <w:tc>
          <w:tcPr>
            <w:tcW w:w="360" w:type="dxa"/>
            <w:vAlign w:val="bottom"/>
            <w:gridSpan w:val="2"/>
            <w:vMerge w:val="restart"/>
          </w:tcPr>
          <w:p>
            <w:pPr>
              <w:ind w:left="100"/>
              <w:spacing w:after="0"/>
              <w:rPr>
                <w:sz w:val="20"/>
                <w:szCs w:val="20"/>
                <w:color w:val="auto"/>
              </w:rPr>
            </w:pPr>
            <w:r>
              <w:rPr>
                <w:rFonts w:ascii="Webdings" w:cs="Webdings" w:eastAsia="Webdings" w:hAnsi="Webdings"/>
                <w:sz w:val="11"/>
                <w:szCs w:val="11"/>
                <w:b w:val="1"/>
                <w:bCs w:val="1"/>
                <w:color w:val="0626A9"/>
              </w:rPr>
              <w:t>n</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980" w:type="dxa"/>
            <w:vAlign w:val="bottom"/>
            <w:gridSpan w:val="3"/>
            <w:shd w:val="clear" w:color="auto" w:fill="EDF0FC"/>
          </w:tcPr>
          <w:p>
            <w:pPr>
              <w:ind w:left="20"/>
              <w:spacing w:after="0" w:line="148" w:lineRule="exact"/>
              <w:rPr>
                <w:sz w:val="20"/>
                <w:szCs w:val="20"/>
                <w:color w:val="auto"/>
              </w:rPr>
            </w:pPr>
            <w:r>
              <w:rPr>
                <w:rFonts w:ascii="Arial" w:cs="Arial" w:eastAsia="Arial" w:hAnsi="Arial"/>
                <w:sz w:val="16"/>
                <w:szCs w:val="16"/>
                <w:color w:val="auto"/>
              </w:rPr>
              <w:t>Sustainability and Climate Practices</w:t>
            </w:r>
          </w:p>
        </w:tc>
        <w:tc>
          <w:tcPr>
            <w:tcW w:w="2680" w:type="dxa"/>
            <w:vAlign w:val="bottom"/>
            <w:shd w:val="clear" w:color="auto" w:fill="EDF0FC"/>
          </w:tcPr>
          <w:p>
            <w:pPr>
              <w:spacing w:after="0"/>
              <w:rPr>
                <w:sz w:val="12"/>
                <w:szCs w:val="12"/>
                <w:color w:val="auto"/>
              </w:rPr>
            </w:pPr>
          </w:p>
        </w:tc>
        <w:tc>
          <w:tcPr>
            <w:tcW w:w="260" w:type="dxa"/>
            <w:vAlign w:val="bottom"/>
            <w:shd w:val="clear" w:color="auto" w:fill="EDF0FC"/>
          </w:tcPr>
          <w:p>
            <w:pPr>
              <w:spacing w:after="0"/>
              <w:rPr>
                <w:sz w:val="12"/>
                <w:szCs w:val="12"/>
                <w:color w:val="auto"/>
              </w:rPr>
            </w:pPr>
          </w:p>
        </w:tc>
        <w:tc>
          <w:tcPr>
            <w:tcW w:w="680" w:type="dxa"/>
            <w:vAlign w:val="bottom"/>
            <w:shd w:val="clear" w:color="auto" w:fill="EDF0FC"/>
          </w:tcPr>
          <w:p>
            <w:pPr>
              <w:spacing w:after="0"/>
              <w:rPr>
                <w:sz w:val="12"/>
                <w:szCs w:val="12"/>
                <w:color w:val="auto"/>
              </w:rPr>
            </w:pPr>
          </w:p>
        </w:tc>
        <w:tc>
          <w:tcPr>
            <w:tcW w:w="420" w:type="dxa"/>
            <w:vAlign w:val="bottom"/>
            <w:vMerge w:val="restart"/>
            <w:shd w:val="clear" w:color="auto" w:fill="EDF0FC"/>
          </w:tcPr>
          <w:p>
            <w:pPr>
              <w:ind w:left="200"/>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vMerge w:val="restart"/>
            <w:shd w:val="clear" w:color="auto" w:fill="EDF0FC"/>
          </w:tcPr>
          <w:p>
            <w:pPr>
              <w:ind w:left="200"/>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vMerge w:val="restart"/>
            <w:shd w:val="clear" w:color="auto" w:fill="EDF0FC"/>
          </w:tcPr>
          <w:p>
            <w:pPr>
              <w:ind w:left="180"/>
              <w:spacing w:after="0"/>
              <w:rPr>
                <w:sz w:val="20"/>
                <w:szCs w:val="20"/>
                <w:color w:val="auto"/>
              </w:rPr>
            </w:pPr>
            <w:r>
              <w:rPr>
                <w:rFonts w:ascii="Webdings" w:cs="Webdings" w:eastAsia="Webdings" w:hAnsi="Webdings"/>
                <w:sz w:val="11"/>
                <w:szCs w:val="11"/>
                <w:b w:val="1"/>
                <w:bCs w:val="1"/>
                <w:color w:val="0626A9"/>
              </w:rPr>
              <w:t>n</w:t>
            </w:r>
          </w:p>
        </w:tc>
        <w:tc>
          <w:tcPr>
            <w:tcW w:w="340" w:type="dxa"/>
            <w:vAlign w:val="bottom"/>
            <w:vMerge w:val="restart"/>
            <w:shd w:val="clear" w:color="auto" w:fill="EDF0FC"/>
          </w:tcPr>
          <w:p>
            <w:pPr>
              <w:jc w:val="right"/>
              <w:spacing w:after="0"/>
              <w:rPr>
                <w:sz w:val="20"/>
                <w:szCs w:val="20"/>
                <w:color w:val="auto"/>
              </w:rPr>
            </w:pPr>
            <w:r>
              <w:rPr>
                <w:rFonts w:ascii="Webdings" w:cs="Webdings" w:eastAsia="Webdings" w:hAnsi="Webdings"/>
                <w:sz w:val="11"/>
                <w:szCs w:val="11"/>
                <w:b w:val="1"/>
                <w:bCs w:val="1"/>
                <w:color w:val="0626A9"/>
              </w:rPr>
              <w:t>n</w:t>
            </w:r>
          </w:p>
        </w:tc>
        <w:tc>
          <w:tcPr>
            <w:tcW w:w="480" w:type="dxa"/>
            <w:vAlign w:val="bottom"/>
            <w:shd w:val="clear" w:color="auto" w:fill="EDF0FC"/>
          </w:tcPr>
          <w:p>
            <w:pPr>
              <w:spacing w:after="0"/>
              <w:rPr>
                <w:sz w:val="12"/>
                <w:szCs w:val="12"/>
                <w:color w:val="auto"/>
              </w:rPr>
            </w:pPr>
          </w:p>
        </w:tc>
        <w:tc>
          <w:tcPr>
            <w:tcW w:w="440" w:type="dxa"/>
            <w:vAlign w:val="bottom"/>
            <w:vMerge w:val="restart"/>
            <w:shd w:val="clear" w:color="auto" w:fill="EDF0FC"/>
          </w:tcPr>
          <w:p>
            <w:pPr>
              <w:jc w:val="center"/>
              <w:ind w:left="16"/>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shd w:val="clear" w:color="auto" w:fill="EDF0FC"/>
          </w:tcPr>
          <w:p>
            <w:pPr>
              <w:spacing w:after="0"/>
              <w:rPr>
                <w:sz w:val="12"/>
                <w:szCs w:val="12"/>
                <w:color w:val="auto"/>
              </w:rPr>
            </w:pPr>
          </w:p>
        </w:tc>
        <w:tc>
          <w:tcPr>
            <w:tcW w:w="420" w:type="dxa"/>
            <w:vAlign w:val="bottom"/>
            <w:shd w:val="clear" w:color="auto" w:fill="EDF0FC"/>
          </w:tcPr>
          <w:p>
            <w:pPr>
              <w:spacing w:after="0"/>
              <w:rPr>
                <w:sz w:val="12"/>
                <w:szCs w:val="12"/>
                <w:color w:val="auto"/>
              </w:rPr>
            </w:pPr>
          </w:p>
        </w:tc>
        <w:tc>
          <w:tcPr>
            <w:tcW w:w="420" w:type="dxa"/>
            <w:vAlign w:val="bottom"/>
            <w:shd w:val="clear" w:color="auto" w:fill="EDF0FC"/>
          </w:tcPr>
          <w:p>
            <w:pPr>
              <w:spacing w:after="0"/>
              <w:rPr>
                <w:sz w:val="12"/>
                <w:szCs w:val="12"/>
                <w:color w:val="auto"/>
              </w:rPr>
            </w:pPr>
          </w:p>
        </w:tc>
        <w:tc>
          <w:tcPr>
            <w:tcW w:w="500" w:type="dxa"/>
            <w:vAlign w:val="bottom"/>
            <w:shd w:val="clear" w:color="auto" w:fill="EDF0FC"/>
          </w:tcPr>
          <w:p>
            <w:pPr>
              <w:spacing w:after="0"/>
              <w:rPr>
                <w:sz w:val="12"/>
                <w:szCs w:val="12"/>
                <w:color w:val="auto"/>
              </w:rPr>
            </w:pPr>
          </w:p>
        </w:tc>
        <w:tc>
          <w:tcPr>
            <w:tcW w:w="340" w:type="dxa"/>
            <w:vAlign w:val="bottom"/>
            <w:shd w:val="clear" w:color="auto" w:fill="EDF0FC"/>
          </w:tcPr>
          <w:p>
            <w:pPr>
              <w:spacing w:after="0"/>
              <w:rPr>
                <w:sz w:val="12"/>
                <w:szCs w:val="12"/>
                <w:color w:val="auto"/>
              </w:rPr>
            </w:pPr>
          </w:p>
        </w:tc>
        <w:tc>
          <w:tcPr>
            <w:tcW w:w="20" w:type="dxa"/>
            <w:vAlign w:val="bottom"/>
            <w:shd w:val="clear" w:color="auto" w:fill="ED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EDF0FC"/>
          </w:tcPr>
          <w:p>
            <w:pPr>
              <w:spacing w:after="0" w:line="20" w:lineRule="exact"/>
              <w:rPr>
                <w:sz w:val="1"/>
                <w:szCs w:val="1"/>
                <w:color w:val="auto"/>
              </w:rPr>
            </w:pPr>
          </w:p>
        </w:tc>
        <w:tc>
          <w:tcPr>
            <w:tcW w:w="260" w:type="dxa"/>
            <w:vAlign w:val="bottom"/>
            <w:shd w:val="clear" w:color="auto" w:fill="EDF0FC"/>
          </w:tcPr>
          <w:p>
            <w:pPr>
              <w:spacing w:after="0" w:line="20" w:lineRule="exact"/>
              <w:rPr>
                <w:sz w:val="1"/>
                <w:szCs w:val="1"/>
                <w:color w:val="auto"/>
              </w:rPr>
            </w:pPr>
          </w:p>
        </w:tc>
        <w:tc>
          <w:tcPr>
            <w:tcW w:w="20" w:type="dxa"/>
            <w:vAlign w:val="bottom"/>
            <w:shd w:val="clear" w:color="auto" w:fill="EDF0FC"/>
          </w:tcPr>
          <w:p>
            <w:pPr>
              <w:spacing w:after="0" w:line="20" w:lineRule="exact"/>
              <w:rPr>
                <w:sz w:val="1"/>
                <w:szCs w:val="1"/>
                <w:color w:val="auto"/>
              </w:rPr>
            </w:pPr>
          </w:p>
        </w:tc>
        <w:tc>
          <w:tcPr>
            <w:tcW w:w="2680" w:type="dxa"/>
            <w:vAlign w:val="bottom"/>
            <w:shd w:val="clear" w:color="auto" w:fill="EDF0FC"/>
          </w:tcPr>
          <w:p>
            <w:pPr>
              <w:spacing w:after="0" w:line="20" w:lineRule="exact"/>
              <w:rPr>
                <w:sz w:val="1"/>
                <w:szCs w:val="1"/>
                <w:color w:val="auto"/>
              </w:rPr>
            </w:pPr>
          </w:p>
        </w:tc>
        <w:tc>
          <w:tcPr>
            <w:tcW w:w="260" w:type="dxa"/>
            <w:vAlign w:val="bottom"/>
            <w:shd w:val="clear" w:color="auto" w:fill="EDF0FC"/>
          </w:tcPr>
          <w:p>
            <w:pPr>
              <w:spacing w:after="0" w:line="20" w:lineRule="exact"/>
              <w:rPr>
                <w:sz w:val="1"/>
                <w:szCs w:val="1"/>
                <w:color w:val="auto"/>
              </w:rPr>
            </w:pPr>
          </w:p>
        </w:tc>
        <w:tc>
          <w:tcPr>
            <w:tcW w:w="680" w:type="dxa"/>
            <w:vAlign w:val="bottom"/>
            <w:shd w:val="clear" w:color="auto" w:fill="EDF0FC"/>
          </w:tcPr>
          <w:p>
            <w:pPr>
              <w:spacing w:after="0" w:line="20" w:lineRule="exact"/>
              <w:rPr>
                <w:sz w:val="1"/>
                <w:szCs w:val="1"/>
                <w:color w:val="auto"/>
              </w:rPr>
            </w:pPr>
          </w:p>
        </w:tc>
        <w:tc>
          <w:tcPr>
            <w:tcW w:w="420" w:type="dxa"/>
            <w:vAlign w:val="bottom"/>
            <w:vMerge w:val="continue"/>
            <w:shd w:val="clear" w:color="auto" w:fill="EDF0FC"/>
          </w:tcPr>
          <w:p>
            <w:pPr>
              <w:spacing w:after="0" w:line="20" w:lineRule="exact"/>
              <w:rPr>
                <w:sz w:val="1"/>
                <w:szCs w:val="1"/>
                <w:color w:val="auto"/>
              </w:rPr>
            </w:pPr>
          </w:p>
        </w:tc>
        <w:tc>
          <w:tcPr>
            <w:tcW w:w="420" w:type="dxa"/>
            <w:vAlign w:val="bottom"/>
            <w:vMerge w:val="continue"/>
            <w:shd w:val="clear" w:color="auto" w:fill="EDF0FC"/>
          </w:tcPr>
          <w:p>
            <w:pPr>
              <w:spacing w:after="0" w:line="20" w:lineRule="exact"/>
              <w:rPr>
                <w:sz w:val="1"/>
                <w:szCs w:val="1"/>
                <w:color w:val="auto"/>
              </w:rPr>
            </w:pPr>
          </w:p>
        </w:tc>
        <w:tc>
          <w:tcPr>
            <w:tcW w:w="420" w:type="dxa"/>
            <w:vAlign w:val="bottom"/>
            <w:vMerge w:val="continue"/>
            <w:shd w:val="clear" w:color="auto" w:fill="EDF0FC"/>
          </w:tcPr>
          <w:p>
            <w:pPr>
              <w:spacing w:after="0" w:line="20" w:lineRule="exact"/>
              <w:rPr>
                <w:sz w:val="1"/>
                <w:szCs w:val="1"/>
                <w:color w:val="auto"/>
              </w:rPr>
            </w:pPr>
          </w:p>
        </w:tc>
        <w:tc>
          <w:tcPr>
            <w:tcW w:w="340" w:type="dxa"/>
            <w:vAlign w:val="bottom"/>
            <w:vMerge w:val="continue"/>
            <w:shd w:val="clear" w:color="auto" w:fill="EDF0FC"/>
          </w:tcPr>
          <w:p>
            <w:pPr>
              <w:spacing w:after="0" w:line="20" w:lineRule="exact"/>
              <w:rPr>
                <w:sz w:val="1"/>
                <w:szCs w:val="1"/>
                <w:color w:val="auto"/>
              </w:rPr>
            </w:pPr>
          </w:p>
        </w:tc>
        <w:tc>
          <w:tcPr>
            <w:tcW w:w="480" w:type="dxa"/>
            <w:vAlign w:val="bottom"/>
            <w:shd w:val="clear" w:color="auto" w:fill="EDF0FC"/>
          </w:tcPr>
          <w:p>
            <w:pPr>
              <w:spacing w:after="0" w:line="20" w:lineRule="exact"/>
              <w:rPr>
                <w:sz w:val="1"/>
                <w:szCs w:val="1"/>
                <w:color w:val="auto"/>
              </w:rPr>
            </w:pPr>
          </w:p>
        </w:tc>
        <w:tc>
          <w:tcPr>
            <w:tcW w:w="440" w:type="dxa"/>
            <w:vAlign w:val="bottom"/>
            <w:vMerge w:val="continue"/>
            <w:shd w:val="clear" w:color="auto" w:fill="EDF0FC"/>
          </w:tcPr>
          <w:p>
            <w:pPr>
              <w:spacing w:after="0" w:line="20" w:lineRule="exact"/>
              <w:rPr>
                <w:sz w:val="1"/>
                <w:szCs w:val="1"/>
                <w:color w:val="auto"/>
              </w:rPr>
            </w:pPr>
          </w:p>
        </w:tc>
        <w:tc>
          <w:tcPr>
            <w:tcW w:w="420" w:type="dxa"/>
            <w:vAlign w:val="bottom"/>
            <w:shd w:val="clear" w:color="auto" w:fill="EDF0FC"/>
          </w:tcPr>
          <w:p>
            <w:pPr>
              <w:spacing w:after="0" w:line="20" w:lineRule="exact"/>
              <w:rPr>
                <w:sz w:val="1"/>
                <w:szCs w:val="1"/>
                <w:color w:val="auto"/>
              </w:rPr>
            </w:pPr>
          </w:p>
        </w:tc>
        <w:tc>
          <w:tcPr>
            <w:tcW w:w="420" w:type="dxa"/>
            <w:vAlign w:val="bottom"/>
            <w:shd w:val="clear" w:color="auto" w:fill="EDF0FC"/>
          </w:tcPr>
          <w:p>
            <w:pPr>
              <w:spacing w:after="0" w:line="20" w:lineRule="exact"/>
              <w:rPr>
                <w:sz w:val="1"/>
                <w:szCs w:val="1"/>
                <w:color w:val="auto"/>
              </w:rPr>
            </w:pPr>
          </w:p>
        </w:tc>
        <w:tc>
          <w:tcPr>
            <w:tcW w:w="420" w:type="dxa"/>
            <w:vAlign w:val="bottom"/>
            <w:shd w:val="clear" w:color="auto" w:fill="EDF0FC"/>
          </w:tcPr>
          <w:p>
            <w:pPr>
              <w:spacing w:after="0" w:line="20" w:lineRule="exact"/>
              <w:rPr>
                <w:sz w:val="1"/>
                <w:szCs w:val="1"/>
                <w:color w:val="auto"/>
              </w:rPr>
            </w:pPr>
          </w:p>
        </w:tc>
        <w:tc>
          <w:tcPr>
            <w:tcW w:w="500" w:type="dxa"/>
            <w:vAlign w:val="bottom"/>
            <w:shd w:val="clear" w:color="auto" w:fill="EDF0FC"/>
          </w:tcPr>
          <w:p>
            <w:pPr>
              <w:spacing w:after="0" w:line="20" w:lineRule="exact"/>
              <w:rPr>
                <w:sz w:val="1"/>
                <w:szCs w:val="1"/>
                <w:color w:val="auto"/>
              </w:rPr>
            </w:pPr>
          </w:p>
        </w:tc>
        <w:tc>
          <w:tcPr>
            <w:tcW w:w="340" w:type="dxa"/>
            <w:vAlign w:val="bottom"/>
            <w:shd w:val="clear" w:color="auto" w:fill="EDF0FC"/>
          </w:tcPr>
          <w:p>
            <w:pPr>
              <w:spacing w:after="0" w:line="20" w:lineRule="exact"/>
              <w:rPr>
                <w:sz w:val="1"/>
                <w:szCs w:val="1"/>
                <w:color w:val="auto"/>
              </w:rPr>
            </w:pPr>
          </w:p>
        </w:tc>
        <w:tc>
          <w:tcPr>
            <w:tcW w:w="20" w:type="dxa"/>
            <w:vAlign w:val="bottom"/>
            <w:shd w:val="clear" w:color="auto" w:fill="ED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700" w:type="dxa"/>
            <w:vAlign w:val="bottom"/>
            <w:shd w:val="clear" w:color="auto" w:fill="EDF0FC"/>
          </w:tcPr>
          <w:p>
            <w:pPr>
              <w:spacing w:after="0"/>
              <w:rPr>
                <w:sz w:val="6"/>
                <w:szCs w:val="6"/>
                <w:color w:val="auto"/>
              </w:rPr>
            </w:pPr>
          </w:p>
        </w:tc>
        <w:tc>
          <w:tcPr>
            <w:tcW w:w="260" w:type="dxa"/>
            <w:vAlign w:val="bottom"/>
            <w:shd w:val="clear" w:color="auto" w:fill="EDF0FC"/>
          </w:tcPr>
          <w:p>
            <w:pPr>
              <w:spacing w:after="0"/>
              <w:rPr>
                <w:sz w:val="6"/>
                <w:szCs w:val="6"/>
                <w:color w:val="auto"/>
              </w:rPr>
            </w:pPr>
          </w:p>
        </w:tc>
        <w:tc>
          <w:tcPr>
            <w:tcW w:w="20" w:type="dxa"/>
            <w:vAlign w:val="bottom"/>
            <w:shd w:val="clear" w:color="auto" w:fill="EDF0FC"/>
          </w:tcPr>
          <w:p>
            <w:pPr>
              <w:spacing w:after="0"/>
              <w:rPr>
                <w:sz w:val="6"/>
                <w:szCs w:val="6"/>
                <w:color w:val="auto"/>
              </w:rPr>
            </w:pPr>
          </w:p>
        </w:tc>
        <w:tc>
          <w:tcPr>
            <w:tcW w:w="2680" w:type="dxa"/>
            <w:vAlign w:val="bottom"/>
            <w:shd w:val="clear" w:color="auto" w:fill="EDF0FC"/>
          </w:tcPr>
          <w:p>
            <w:pPr>
              <w:spacing w:after="0"/>
              <w:rPr>
                <w:sz w:val="6"/>
                <w:szCs w:val="6"/>
                <w:color w:val="auto"/>
              </w:rPr>
            </w:pPr>
          </w:p>
        </w:tc>
        <w:tc>
          <w:tcPr>
            <w:tcW w:w="260" w:type="dxa"/>
            <w:vAlign w:val="bottom"/>
            <w:shd w:val="clear" w:color="auto" w:fill="EDF0FC"/>
          </w:tcPr>
          <w:p>
            <w:pPr>
              <w:spacing w:after="0"/>
              <w:rPr>
                <w:sz w:val="6"/>
                <w:szCs w:val="6"/>
                <w:color w:val="auto"/>
              </w:rPr>
            </w:pPr>
          </w:p>
        </w:tc>
        <w:tc>
          <w:tcPr>
            <w:tcW w:w="68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340" w:type="dxa"/>
            <w:vAlign w:val="bottom"/>
            <w:shd w:val="clear" w:color="auto" w:fill="EDF0FC"/>
          </w:tcPr>
          <w:p>
            <w:pPr>
              <w:spacing w:after="0"/>
              <w:rPr>
                <w:sz w:val="6"/>
                <w:szCs w:val="6"/>
                <w:color w:val="auto"/>
              </w:rPr>
            </w:pPr>
          </w:p>
        </w:tc>
        <w:tc>
          <w:tcPr>
            <w:tcW w:w="480" w:type="dxa"/>
            <w:vAlign w:val="bottom"/>
            <w:shd w:val="clear" w:color="auto" w:fill="EDF0FC"/>
          </w:tcPr>
          <w:p>
            <w:pPr>
              <w:spacing w:after="0"/>
              <w:rPr>
                <w:sz w:val="6"/>
                <w:szCs w:val="6"/>
                <w:color w:val="auto"/>
              </w:rPr>
            </w:pPr>
          </w:p>
        </w:tc>
        <w:tc>
          <w:tcPr>
            <w:tcW w:w="44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500" w:type="dxa"/>
            <w:vAlign w:val="bottom"/>
            <w:shd w:val="clear" w:color="auto" w:fill="EDF0FC"/>
          </w:tcPr>
          <w:p>
            <w:pPr>
              <w:spacing w:after="0"/>
              <w:rPr>
                <w:sz w:val="6"/>
                <w:szCs w:val="6"/>
                <w:color w:val="auto"/>
              </w:rPr>
            </w:pPr>
          </w:p>
        </w:tc>
        <w:tc>
          <w:tcPr>
            <w:tcW w:w="340" w:type="dxa"/>
            <w:vAlign w:val="bottom"/>
            <w:shd w:val="clear" w:color="auto" w:fill="EDF0FC"/>
          </w:tcPr>
          <w:p>
            <w:pPr>
              <w:spacing w:after="0"/>
              <w:rPr>
                <w:sz w:val="6"/>
                <w:szCs w:val="6"/>
                <w:color w:val="auto"/>
              </w:rPr>
            </w:pPr>
          </w:p>
        </w:tc>
        <w:tc>
          <w:tcPr>
            <w:tcW w:w="20" w:type="dxa"/>
            <w:vAlign w:val="bottom"/>
            <w:shd w:val="clear" w:color="auto" w:fill="EDF0FC"/>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980" w:type="dxa"/>
            <w:vAlign w:val="bottom"/>
            <w:gridSpan w:val="3"/>
          </w:tcPr>
          <w:p>
            <w:pPr>
              <w:ind w:left="20"/>
              <w:spacing w:after="0" w:line="148" w:lineRule="exact"/>
              <w:rPr>
                <w:sz w:val="20"/>
                <w:szCs w:val="20"/>
                <w:color w:val="auto"/>
              </w:rPr>
            </w:pPr>
            <w:r>
              <w:rPr>
                <w:rFonts w:ascii="Arial" w:cs="Arial" w:eastAsia="Arial" w:hAnsi="Arial"/>
                <w:sz w:val="16"/>
                <w:szCs w:val="16"/>
                <w:color w:val="auto"/>
              </w:rPr>
              <w:t>Human Capital Management</w:t>
            </w:r>
          </w:p>
        </w:tc>
        <w:tc>
          <w:tcPr>
            <w:tcW w:w="2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80" w:type="dxa"/>
            <w:vAlign w:val="bottom"/>
            <w:gridSpan w:val="5"/>
            <w:vMerge w:val="restart"/>
          </w:tcPr>
          <w:p>
            <w:pPr>
              <w:jc w:val="right"/>
              <w:spacing w:after="0"/>
              <w:rPr>
                <w:sz w:val="20"/>
                <w:szCs w:val="20"/>
                <w:color w:val="auto"/>
              </w:rPr>
            </w:pPr>
            <w:r>
              <w:rPr>
                <w:rFonts w:ascii="Webdings" w:cs="Webdings" w:eastAsia="Webdings" w:hAnsi="Webdings"/>
                <w:sz w:val="11"/>
                <w:szCs w:val="11"/>
                <w:b w:val="1"/>
                <w:bCs w:val="1"/>
                <w:color w:val="0626A9"/>
              </w:rPr>
              <w:t>nnnnn</w:t>
            </w:r>
          </w:p>
        </w:tc>
        <w:tc>
          <w:tcPr>
            <w:tcW w:w="480" w:type="dxa"/>
            <w:vAlign w:val="bottom"/>
          </w:tcPr>
          <w:p>
            <w:pPr>
              <w:spacing w:after="0"/>
              <w:rPr>
                <w:sz w:val="12"/>
                <w:szCs w:val="12"/>
                <w:color w:val="auto"/>
              </w:rPr>
            </w:pPr>
          </w:p>
        </w:tc>
        <w:tc>
          <w:tcPr>
            <w:tcW w:w="440" w:type="dxa"/>
            <w:vAlign w:val="bottom"/>
            <w:vMerge w:val="restart"/>
          </w:tcPr>
          <w:p>
            <w:pPr>
              <w:jc w:val="center"/>
              <w:ind w:left="16"/>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vMerge w:val="restart"/>
          </w:tcPr>
          <w:p>
            <w:pPr>
              <w:jc w:val="right"/>
              <w:ind w:right="59"/>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vMerge w:val="restart"/>
          </w:tcPr>
          <w:p>
            <w:pPr>
              <w:ind w:left="180"/>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vMerge w:val="restart"/>
          </w:tcPr>
          <w:p>
            <w:pPr>
              <w:ind w:left="180"/>
              <w:spacing w:after="0"/>
              <w:rPr>
                <w:sz w:val="20"/>
                <w:szCs w:val="20"/>
                <w:color w:val="auto"/>
              </w:rPr>
            </w:pPr>
            <w:r>
              <w:rPr>
                <w:rFonts w:ascii="Webdings" w:cs="Webdings" w:eastAsia="Webdings" w:hAnsi="Webdings"/>
                <w:sz w:val="11"/>
                <w:szCs w:val="11"/>
                <w:b w:val="1"/>
                <w:bCs w:val="1"/>
                <w:color w:val="0626A9"/>
              </w:rPr>
              <w:t>n</w:t>
            </w:r>
          </w:p>
        </w:tc>
        <w:tc>
          <w:tcPr>
            <w:tcW w:w="500" w:type="dxa"/>
            <w:vAlign w:val="bottom"/>
          </w:tcPr>
          <w:p>
            <w:pPr>
              <w:spacing w:after="0"/>
              <w:rPr>
                <w:sz w:val="12"/>
                <w:szCs w:val="12"/>
                <w:color w:val="auto"/>
              </w:rPr>
            </w:pPr>
          </w:p>
        </w:tc>
        <w:tc>
          <w:tcPr>
            <w:tcW w:w="360" w:type="dxa"/>
            <w:vAlign w:val="bottom"/>
            <w:gridSpan w:val="2"/>
            <w:vMerge w:val="restart"/>
          </w:tcPr>
          <w:p>
            <w:pPr>
              <w:ind w:left="100"/>
              <w:spacing w:after="0"/>
              <w:rPr>
                <w:sz w:val="20"/>
                <w:szCs w:val="20"/>
                <w:color w:val="auto"/>
              </w:rPr>
            </w:pPr>
            <w:r>
              <w:rPr>
                <w:rFonts w:ascii="Webdings" w:cs="Webdings" w:eastAsia="Webdings" w:hAnsi="Webdings"/>
                <w:sz w:val="11"/>
                <w:szCs w:val="11"/>
                <w:b w:val="1"/>
                <w:bCs w:val="1"/>
                <w:color w:val="0626A9"/>
              </w:rPr>
              <w:t>n</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gridSpan w:val="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7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6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38"/>
        </w:trPr>
        <w:tc>
          <w:tcPr>
            <w:tcW w:w="2980" w:type="dxa"/>
            <w:vAlign w:val="bottom"/>
            <w:tcBorders>
              <w:bottom w:val="single" w:sz="8" w:color="1A3FD6"/>
            </w:tcBorders>
            <w:gridSpan w:val="3"/>
          </w:tcPr>
          <w:p>
            <w:pPr>
              <w:ind w:left="20"/>
              <w:spacing w:after="0"/>
              <w:rPr>
                <w:sz w:val="20"/>
                <w:szCs w:val="20"/>
                <w:color w:val="auto"/>
              </w:rPr>
            </w:pPr>
            <w:r>
              <w:rPr>
                <w:rFonts w:ascii="Arial" w:cs="Arial" w:eastAsia="Arial" w:hAnsi="Arial"/>
                <w:sz w:val="14"/>
                <w:szCs w:val="14"/>
                <w:b w:val="1"/>
                <w:bCs w:val="1"/>
                <w:color w:val="auto"/>
              </w:rPr>
              <w:t>Tenure/Age/Gender/Independence</w:t>
            </w:r>
          </w:p>
        </w:tc>
        <w:tc>
          <w:tcPr>
            <w:tcW w:w="2680" w:type="dxa"/>
            <w:vAlign w:val="bottom"/>
            <w:tcBorders>
              <w:bottom w:val="single" w:sz="8" w:color="1A3FD6"/>
            </w:tcBorders>
          </w:tcPr>
          <w:p>
            <w:pPr>
              <w:spacing w:after="0"/>
              <w:rPr>
                <w:sz w:val="24"/>
                <w:szCs w:val="24"/>
                <w:color w:val="auto"/>
              </w:rPr>
            </w:pPr>
          </w:p>
        </w:tc>
        <w:tc>
          <w:tcPr>
            <w:tcW w:w="260" w:type="dxa"/>
            <w:vAlign w:val="bottom"/>
            <w:tcBorders>
              <w:bottom w:val="single" w:sz="8" w:color="1A3FD6"/>
            </w:tcBorders>
          </w:tcPr>
          <w:p>
            <w:pPr>
              <w:spacing w:after="0"/>
              <w:rPr>
                <w:sz w:val="24"/>
                <w:szCs w:val="24"/>
                <w:color w:val="auto"/>
              </w:rPr>
            </w:pPr>
          </w:p>
        </w:tc>
        <w:tc>
          <w:tcPr>
            <w:tcW w:w="680" w:type="dxa"/>
            <w:vAlign w:val="bottom"/>
            <w:tcBorders>
              <w:bottom w:val="single" w:sz="8" w:color="1A3FD6"/>
            </w:tcBorders>
          </w:tcPr>
          <w:p>
            <w:pPr>
              <w:spacing w:after="0"/>
              <w:rPr>
                <w:sz w:val="24"/>
                <w:szCs w:val="24"/>
                <w:color w:val="auto"/>
              </w:rPr>
            </w:pPr>
          </w:p>
        </w:tc>
        <w:tc>
          <w:tcPr>
            <w:tcW w:w="420" w:type="dxa"/>
            <w:vAlign w:val="bottom"/>
            <w:tcBorders>
              <w:bottom w:val="single" w:sz="8" w:color="1A3FD6"/>
            </w:tcBorders>
          </w:tcPr>
          <w:p>
            <w:pPr>
              <w:spacing w:after="0"/>
              <w:rPr>
                <w:sz w:val="24"/>
                <w:szCs w:val="24"/>
                <w:color w:val="auto"/>
              </w:rPr>
            </w:pPr>
          </w:p>
        </w:tc>
        <w:tc>
          <w:tcPr>
            <w:tcW w:w="420" w:type="dxa"/>
            <w:vAlign w:val="bottom"/>
            <w:tcBorders>
              <w:bottom w:val="single" w:sz="8" w:color="1A3FD6"/>
            </w:tcBorders>
          </w:tcPr>
          <w:p>
            <w:pPr>
              <w:spacing w:after="0"/>
              <w:rPr>
                <w:sz w:val="24"/>
                <w:szCs w:val="24"/>
                <w:color w:val="auto"/>
              </w:rPr>
            </w:pPr>
          </w:p>
        </w:tc>
        <w:tc>
          <w:tcPr>
            <w:tcW w:w="420" w:type="dxa"/>
            <w:vAlign w:val="bottom"/>
            <w:tcBorders>
              <w:bottom w:val="single" w:sz="8" w:color="1A3FD6"/>
            </w:tcBorders>
          </w:tcPr>
          <w:p>
            <w:pPr>
              <w:spacing w:after="0"/>
              <w:rPr>
                <w:sz w:val="24"/>
                <w:szCs w:val="24"/>
                <w:color w:val="auto"/>
              </w:rPr>
            </w:pPr>
          </w:p>
        </w:tc>
        <w:tc>
          <w:tcPr>
            <w:tcW w:w="340" w:type="dxa"/>
            <w:vAlign w:val="bottom"/>
            <w:tcBorders>
              <w:bottom w:val="single" w:sz="8" w:color="1A3FD6"/>
            </w:tcBorders>
          </w:tcPr>
          <w:p>
            <w:pPr>
              <w:spacing w:after="0"/>
              <w:rPr>
                <w:sz w:val="24"/>
                <w:szCs w:val="24"/>
                <w:color w:val="auto"/>
              </w:rPr>
            </w:pPr>
          </w:p>
        </w:tc>
        <w:tc>
          <w:tcPr>
            <w:tcW w:w="480" w:type="dxa"/>
            <w:vAlign w:val="bottom"/>
            <w:tcBorders>
              <w:bottom w:val="single" w:sz="8" w:color="1A3FD6"/>
            </w:tcBorders>
          </w:tcPr>
          <w:p>
            <w:pPr>
              <w:spacing w:after="0"/>
              <w:rPr>
                <w:sz w:val="24"/>
                <w:szCs w:val="24"/>
                <w:color w:val="auto"/>
              </w:rPr>
            </w:pPr>
          </w:p>
        </w:tc>
        <w:tc>
          <w:tcPr>
            <w:tcW w:w="440" w:type="dxa"/>
            <w:vAlign w:val="bottom"/>
            <w:tcBorders>
              <w:bottom w:val="single" w:sz="8" w:color="1A3FD6"/>
            </w:tcBorders>
          </w:tcPr>
          <w:p>
            <w:pPr>
              <w:spacing w:after="0"/>
              <w:rPr>
                <w:sz w:val="24"/>
                <w:szCs w:val="24"/>
                <w:color w:val="auto"/>
              </w:rPr>
            </w:pPr>
          </w:p>
        </w:tc>
        <w:tc>
          <w:tcPr>
            <w:tcW w:w="420" w:type="dxa"/>
            <w:vAlign w:val="bottom"/>
            <w:tcBorders>
              <w:bottom w:val="single" w:sz="8" w:color="1A3FD6"/>
            </w:tcBorders>
          </w:tcPr>
          <w:p>
            <w:pPr>
              <w:spacing w:after="0"/>
              <w:rPr>
                <w:sz w:val="24"/>
                <w:szCs w:val="24"/>
                <w:color w:val="auto"/>
              </w:rPr>
            </w:pPr>
          </w:p>
        </w:tc>
        <w:tc>
          <w:tcPr>
            <w:tcW w:w="420" w:type="dxa"/>
            <w:vAlign w:val="bottom"/>
            <w:tcBorders>
              <w:bottom w:val="single" w:sz="8" w:color="1A3FD6"/>
            </w:tcBorders>
          </w:tcPr>
          <w:p>
            <w:pPr>
              <w:spacing w:after="0"/>
              <w:rPr>
                <w:sz w:val="24"/>
                <w:szCs w:val="24"/>
                <w:color w:val="auto"/>
              </w:rPr>
            </w:pPr>
          </w:p>
        </w:tc>
        <w:tc>
          <w:tcPr>
            <w:tcW w:w="420" w:type="dxa"/>
            <w:vAlign w:val="bottom"/>
            <w:tcBorders>
              <w:bottom w:val="single" w:sz="8" w:color="1A3FD6"/>
            </w:tcBorders>
          </w:tcPr>
          <w:p>
            <w:pPr>
              <w:spacing w:after="0"/>
              <w:rPr>
                <w:sz w:val="24"/>
                <w:szCs w:val="24"/>
                <w:color w:val="auto"/>
              </w:rPr>
            </w:pPr>
          </w:p>
        </w:tc>
        <w:tc>
          <w:tcPr>
            <w:tcW w:w="500" w:type="dxa"/>
            <w:vAlign w:val="bottom"/>
            <w:tcBorders>
              <w:bottom w:val="single" w:sz="8" w:color="1A3FD6"/>
            </w:tcBorders>
          </w:tcPr>
          <w:p>
            <w:pPr>
              <w:spacing w:after="0"/>
              <w:rPr>
                <w:sz w:val="24"/>
                <w:szCs w:val="24"/>
                <w:color w:val="auto"/>
              </w:rPr>
            </w:pPr>
          </w:p>
        </w:tc>
        <w:tc>
          <w:tcPr>
            <w:tcW w:w="340" w:type="dxa"/>
            <w:vAlign w:val="bottom"/>
            <w:tcBorders>
              <w:bottom w:val="single" w:sz="8" w:color="1A3FD6"/>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980" w:type="dxa"/>
            <w:vAlign w:val="bottom"/>
            <w:gridSpan w:val="3"/>
          </w:tcPr>
          <w:p>
            <w:pPr>
              <w:ind w:left="20"/>
              <w:spacing w:after="0"/>
              <w:rPr>
                <w:sz w:val="20"/>
                <w:szCs w:val="20"/>
                <w:color w:val="auto"/>
              </w:rPr>
            </w:pPr>
            <w:r>
              <w:rPr>
                <w:rFonts w:ascii="Arial" w:cs="Arial" w:eastAsia="Arial" w:hAnsi="Arial"/>
                <w:sz w:val="16"/>
                <w:szCs w:val="16"/>
                <w:color w:val="auto"/>
              </w:rPr>
              <w:t>Tenure</w:t>
            </w:r>
          </w:p>
        </w:tc>
        <w:tc>
          <w:tcPr>
            <w:tcW w:w="2680" w:type="dxa"/>
            <w:vAlign w:val="bottom"/>
          </w:tcPr>
          <w:p>
            <w:pPr>
              <w:spacing w:after="0"/>
              <w:rPr>
                <w:sz w:val="20"/>
                <w:szCs w:val="20"/>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6"/>
                <w:szCs w:val="16"/>
                <w:color w:val="auto"/>
              </w:rPr>
              <w:t>11</w:t>
            </w:r>
          </w:p>
        </w:tc>
        <w:tc>
          <w:tcPr>
            <w:tcW w:w="420" w:type="dxa"/>
            <w:vAlign w:val="bottom"/>
          </w:tcPr>
          <w:p>
            <w:pPr>
              <w:ind w:left="120"/>
              <w:spacing w:after="0"/>
              <w:rPr>
                <w:sz w:val="20"/>
                <w:szCs w:val="20"/>
                <w:color w:val="auto"/>
              </w:rPr>
            </w:pPr>
            <w:r>
              <w:rPr>
                <w:rFonts w:ascii="Arial" w:cs="Arial" w:eastAsia="Arial" w:hAnsi="Arial"/>
                <w:sz w:val="16"/>
                <w:szCs w:val="16"/>
                <w:color w:val="auto"/>
              </w:rPr>
              <w:t>17</w:t>
            </w:r>
          </w:p>
        </w:tc>
        <w:tc>
          <w:tcPr>
            <w:tcW w:w="420" w:type="dxa"/>
            <w:vAlign w:val="bottom"/>
          </w:tcPr>
          <w:p>
            <w:pPr>
              <w:jc w:val="right"/>
              <w:ind w:right="98"/>
              <w:spacing w:after="0"/>
              <w:rPr>
                <w:sz w:val="20"/>
                <w:szCs w:val="20"/>
                <w:color w:val="auto"/>
              </w:rPr>
            </w:pPr>
            <w:r>
              <w:rPr>
                <w:rFonts w:ascii="Arial" w:cs="Arial" w:eastAsia="Arial" w:hAnsi="Arial"/>
                <w:sz w:val="16"/>
                <w:szCs w:val="16"/>
                <w:color w:val="auto"/>
              </w:rPr>
              <w:t>3</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440" w:type="dxa"/>
            <w:vAlign w:val="bottom"/>
          </w:tcPr>
          <w:p>
            <w:pPr>
              <w:jc w:val="center"/>
              <w:spacing w:after="0"/>
              <w:rPr>
                <w:sz w:val="20"/>
                <w:szCs w:val="20"/>
                <w:color w:val="auto"/>
              </w:rPr>
            </w:pPr>
            <w:r>
              <w:rPr>
                <w:rFonts w:ascii="Arial" w:cs="Arial" w:eastAsia="Arial" w:hAnsi="Arial"/>
                <w:sz w:val="16"/>
                <w:szCs w:val="16"/>
                <w:color w:val="auto"/>
              </w:rPr>
              <w:t>17</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&lt;1</w:t>
            </w:r>
          </w:p>
        </w:tc>
        <w:tc>
          <w:tcPr>
            <w:tcW w:w="420" w:type="dxa"/>
            <w:vAlign w:val="bottom"/>
          </w:tcPr>
          <w:p>
            <w:pPr>
              <w:jc w:val="right"/>
              <w:ind w:right="98"/>
              <w:spacing w:after="0"/>
              <w:rPr>
                <w:sz w:val="20"/>
                <w:szCs w:val="20"/>
                <w:color w:val="auto"/>
              </w:rPr>
            </w:pPr>
            <w:r>
              <w:rPr>
                <w:rFonts w:ascii="Arial" w:cs="Arial" w:eastAsia="Arial" w:hAnsi="Arial"/>
                <w:sz w:val="16"/>
                <w:szCs w:val="16"/>
                <w:color w:val="auto"/>
              </w:rPr>
              <w:t>7</w:t>
            </w:r>
          </w:p>
        </w:tc>
        <w:tc>
          <w:tcPr>
            <w:tcW w:w="420" w:type="dxa"/>
            <w:vAlign w:val="bottom"/>
          </w:tcPr>
          <w:p>
            <w:pPr>
              <w:jc w:val="right"/>
              <w:ind w:right="108"/>
              <w:spacing w:after="0"/>
              <w:rPr>
                <w:sz w:val="20"/>
                <w:szCs w:val="20"/>
                <w:color w:val="auto"/>
              </w:rPr>
            </w:pPr>
            <w:r>
              <w:rPr>
                <w:rFonts w:ascii="Arial" w:cs="Arial" w:eastAsia="Arial" w:hAnsi="Arial"/>
                <w:sz w:val="16"/>
                <w:szCs w:val="16"/>
                <w:color w:val="auto"/>
              </w:rPr>
              <w:t>4</w:t>
            </w:r>
          </w:p>
        </w:tc>
        <w:tc>
          <w:tcPr>
            <w:tcW w:w="500" w:type="dxa"/>
            <w:vAlign w:val="bottom"/>
          </w:tcPr>
          <w:p>
            <w:pPr>
              <w:jc w:val="right"/>
              <w:ind w:right="177"/>
              <w:spacing w:after="0"/>
              <w:rPr>
                <w:sz w:val="20"/>
                <w:szCs w:val="20"/>
                <w:color w:val="auto"/>
              </w:rPr>
            </w:pPr>
            <w:r>
              <w:rPr>
                <w:rFonts w:ascii="Arial" w:cs="Arial" w:eastAsia="Arial" w:hAnsi="Arial"/>
                <w:sz w:val="16"/>
                <w:szCs w:val="16"/>
                <w:color w:val="auto"/>
              </w:rPr>
              <w:t>5</w:t>
            </w:r>
          </w:p>
        </w:tc>
        <w:tc>
          <w:tcPr>
            <w:tcW w:w="340" w:type="dxa"/>
            <w:vAlign w:val="bottom"/>
          </w:tcPr>
          <w:p>
            <w:pPr>
              <w:ind w:left="40"/>
              <w:spacing w:after="0"/>
              <w:rPr>
                <w:sz w:val="20"/>
                <w:szCs w:val="20"/>
                <w:color w:val="auto"/>
              </w:rPr>
            </w:pPr>
            <w:r>
              <w:rPr>
                <w:rFonts w:ascii="Arial" w:cs="Arial" w:eastAsia="Arial" w:hAnsi="Arial"/>
                <w:sz w:val="16"/>
                <w:szCs w:val="16"/>
                <w:color w:val="auto"/>
              </w:rPr>
              <w:t>&lt;1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980" w:type="dxa"/>
            <w:vAlign w:val="bottom"/>
            <w:gridSpan w:val="3"/>
            <w:shd w:val="clear" w:color="auto" w:fill="EDF0FC"/>
          </w:tcPr>
          <w:p>
            <w:pPr>
              <w:ind w:left="20"/>
              <w:spacing w:after="0"/>
              <w:rPr>
                <w:sz w:val="20"/>
                <w:szCs w:val="20"/>
                <w:color w:val="auto"/>
              </w:rPr>
            </w:pPr>
            <w:r>
              <w:rPr>
                <w:rFonts w:ascii="Arial" w:cs="Arial" w:eastAsia="Arial" w:hAnsi="Arial"/>
                <w:sz w:val="16"/>
                <w:szCs w:val="16"/>
                <w:color w:val="auto"/>
              </w:rPr>
              <w:t>Age</w:t>
            </w:r>
          </w:p>
        </w:tc>
        <w:tc>
          <w:tcPr>
            <w:tcW w:w="2680" w:type="dxa"/>
            <w:vAlign w:val="bottom"/>
            <w:shd w:val="clear" w:color="auto" w:fill="EDF0FC"/>
          </w:tcPr>
          <w:p>
            <w:pPr>
              <w:spacing w:after="0"/>
              <w:rPr>
                <w:sz w:val="21"/>
                <w:szCs w:val="21"/>
                <w:color w:val="auto"/>
              </w:rPr>
            </w:pPr>
          </w:p>
        </w:tc>
        <w:tc>
          <w:tcPr>
            <w:tcW w:w="940" w:type="dxa"/>
            <w:vAlign w:val="bottom"/>
            <w:gridSpan w:val="2"/>
            <w:shd w:val="clear" w:color="auto" w:fill="EDF0FC"/>
          </w:tcPr>
          <w:p>
            <w:pPr>
              <w:jc w:val="center"/>
              <w:ind w:left="479"/>
              <w:spacing w:after="0"/>
              <w:rPr>
                <w:sz w:val="20"/>
                <w:szCs w:val="20"/>
                <w:color w:val="auto"/>
              </w:rPr>
            </w:pPr>
            <w:r>
              <w:rPr>
                <w:rFonts w:ascii="Arial" w:cs="Arial" w:eastAsia="Arial" w:hAnsi="Arial"/>
                <w:sz w:val="16"/>
                <w:szCs w:val="16"/>
                <w:color w:val="auto"/>
              </w:rPr>
              <w:t>65</w:t>
            </w:r>
          </w:p>
        </w:tc>
        <w:tc>
          <w:tcPr>
            <w:tcW w:w="420" w:type="dxa"/>
            <w:vAlign w:val="bottom"/>
            <w:shd w:val="clear" w:color="auto" w:fill="EDF0FC"/>
          </w:tcPr>
          <w:p>
            <w:pPr>
              <w:ind w:left="120"/>
              <w:spacing w:after="0"/>
              <w:rPr>
                <w:sz w:val="20"/>
                <w:szCs w:val="20"/>
                <w:color w:val="auto"/>
              </w:rPr>
            </w:pPr>
            <w:r>
              <w:rPr>
                <w:rFonts w:ascii="Arial" w:cs="Arial" w:eastAsia="Arial" w:hAnsi="Arial"/>
                <w:sz w:val="16"/>
                <w:szCs w:val="16"/>
                <w:color w:val="auto"/>
              </w:rPr>
              <w:t>66</w:t>
            </w:r>
          </w:p>
        </w:tc>
        <w:tc>
          <w:tcPr>
            <w:tcW w:w="420" w:type="dxa"/>
            <w:vAlign w:val="bottom"/>
            <w:shd w:val="clear" w:color="auto" w:fill="EDF0FC"/>
          </w:tcPr>
          <w:p>
            <w:pPr>
              <w:jc w:val="right"/>
              <w:ind w:right="58"/>
              <w:spacing w:after="0"/>
              <w:rPr>
                <w:sz w:val="20"/>
                <w:szCs w:val="20"/>
                <w:color w:val="auto"/>
              </w:rPr>
            </w:pPr>
            <w:r>
              <w:rPr>
                <w:rFonts w:ascii="Arial" w:cs="Arial" w:eastAsia="Arial" w:hAnsi="Arial"/>
                <w:sz w:val="16"/>
                <w:szCs w:val="16"/>
                <w:color w:val="auto"/>
              </w:rPr>
              <w:t>59</w:t>
            </w:r>
          </w:p>
        </w:tc>
        <w:tc>
          <w:tcPr>
            <w:tcW w:w="420" w:type="dxa"/>
            <w:vAlign w:val="bottom"/>
            <w:shd w:val="clear" w:color="auto" w:fill="EDF0FC"/>
          </w:tcPr>
          <w:p>
            <w:pPr>
              <w:jc w:val="right"/>
              <w:ind w:right="59"/>
              <w:spacing w:after="0"/>
              <w:rPr>
                <w:sz w:val="20"/>
                <w:szCs w:val="20"/>
                <w:color w:val="auto"/>
              </w:rPr>
            </w:pPr>
            <w:r>
              <w:rPr>
                <w:rFonts w:ascii="Arial" w:cs="Arial" w:eastAsia="Arial" w:hAnsi="Arial"/>
                <w:sz w:val="16"/>
                <w:szCs w:val="16"/>
                <w:color w:val="auto"/>
              </w:rPr>
              <w:t>66</w:t>
            </w:r>
          </w:p>
        </w:tc>
        <w:tc>
          <w:tcPr>
            <w:tcW w:w="3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60</w:t>
            </w:r>
          </w:p>
        </w:tc>
        <w:tc>
          <w:tcPr>
            <w:tcW w:w="480" w:type="dxa"/>
            <w:vAlign w:val="bottom"/>
            <w:shd w:val="clear" w:color="auto" w:fill="EDF0FC"/>
          </w:tcPr>
          <w:p>
            <w:pPr>
              <w:jc w:val="right"/>
              <w:ind w:right="39"/>
              <w:spacing w:after="0"/>
              <w:rPr>
                <w:sz w:val="20"/>
                <w:szCs w:val="20"/>
                <w:color w:val="auto"/>
              </w:rPr>
            </w:pPr>
            <w:r>
              <w:rPr>
                <w:rFonts w:ascii="Arial" w:cs="Arial" w:eastAsia="Arial" w:hAnsi="Arial"/>
                <w:sz w:val="16"/>
                <w:szCs w:val="16"/>
                <w:color w:val="auto"/>
              </w:rPr>
              <w:t>55</w:t>
            </w:r>
          </w:p>
        </w:tc>
        <w:tc>
          <w:tcPr>
            <w:tcW w:w="440" w:type="dxa"/>
            <w:vAlign w:val="bottom"/>
            <w:shd w:val="clear" w:color="auto" w:fill="EDF0FC"/>
          </w:tcPr>
          <w:p>
            <w:pPr>
              <w:jc w:val="center"/>
              <w:spacing w:after="0"/>
              <w:rPr>
                <w:sz w:val="20"/>
                <w:szCs w:val="20"/>
                <w:color w:val="auto"/>
              </w:rPr>
            </w:pPr>
            <w:r>
              <w:rPr>
                <w:rFonts w:ascii="Arial" w:cs="Arial" w:eastAsia="Arial" w:hAnsi="Arial"/>
                <w:sz w:val="16"/>
                <w:szCs w:val="16"/>
                <w:color w:val="auto"/>
              </w:rPr>
              <w:t>64</w:t>
            </w:r>
          </w:p>
        </w:tc>
        <w:tc>
          <w:tcPr>
            <w:tcW w:w="420" w:type="dxa"/>
            <w:vAlign w:val="bottom"/>
            <w:shd w:val="clear" w:color="auto" w:fill="EDF0FC"/>
          </w:tcPr>
          <w:p>
            <w:pPr>
              <w:jc w:val="right"/>
              <w:ind w:right="59"/>
              <w:spacing w:after="0"/>
              <w:rPr>
                <w:sz w:val="20"/>
                <w:szCs w:val="20"/>
                <w:color w:val="auto"/>
              </w:rPr>
            </w:pPr>
            <w:r>
              <w:rPr>
                <w:rFonts w:ascii="Arial" w:cs="Arial" w:eastAsia="Arial" w:hAnsi="Arial"/>
                <w:sz w:val="16"/>
                <w:szCs w:val="16"/>
                <w:color w:val="auto"/>
              </w:rPr>
              <w:t>59</w:t>
            </w:r>
          </w:p>
        </w:tc>
        <w:tc>
          <w:tcPr>
            <w:tcW w:w="420" w:type="dxa"/>
            <w:vAlign w:val="bottom"/>
            <w:shd w:val="clear" w:color="auto" w:fill="EDF0FC"/>
          </w:tcPr>
          <w:p>
            <w:pPr>
              <w:jc w:val="right"/>
              <w:ind w:right="58"/>
              <w:spacing w:after="0"/>
              <w:rPr>
                <w:sz w:val="20"/>
                <w:szCs w:val="20"/>
                <w:color w:val="auto"/>
              </w:rPr>
            </w:pPr>
            <w:r>
              <w:rPr>
                <w:rFonts w:ascii="Arial" w:cs="Arial" w:eastAsia="Arial" w:hAnsi="Arial"/>
                <w:sz w:val="16"/>
                <w:szCs w:val="16"/>
                <w:color w:val="auto"/>
              </w:rPr>
              <w:t>58</w:t>
            </w:r>
          </w:p>
        </w:tc>
        <w:tc>
          <w:tcPr>
            <w:tcW w:w="420" w:type="dxa"/>
            <w:vAlign w:val="bottom"/>
            <w:shd w:val="clear" w:color="auto" w:fill="EDF0FC"/>
          </w:tcPr>
          <w:p>
            <w:pPr>
              <w:jc w:val="right"/>
              <w:ind w:right="68"/>
              <w:spacing w:after="0"/>
              <w:rPr>
                <w:sz w:val="20"/>
                <w:szCs w:val="20"/>
                <w:color w:val="auto"/>
              </w:rPr>
            </w:pPr>
            <w:r>
              <w:rPr>
                <w:rFonts w:ascii="Arial" w:cs="Arial" w:eastAsia="Arial" w:hAnsi="Arial"/>
                <w:sz w:val="16"/>
                <w:szCs w:val="16"/>
                <w:color w:val="auto"/>
              </w:rPr>
              <w:t>60</w:t>
            </w:r>
          </w:p>
        </w:tc>
        <w:tc>
          <w:tcPr>
            <w:tcW w:w="500" w:type="dxa"/>
            <w:vAlign w:val="bottom"/>
            <w:shd w:val="clear" w:color="auto" w:fill="EDF0FC"/>
          </w:tcPr>
          <w:p>
            <w:pPr>
              <w:jc w:val="right"/>
              <w:ind w:right="137"/>
              <w:spacing w:after="0"/>
              <w:rPr>
                <w:sz w:val="20"/>
                <w:szCs w:val="20"/>
                <w:color w:val="auto"/>
              </w:rPr>
            </w:pPr>
            <w:r>
              <w:rPr>
                <w:rFonts w:ascii="Arial" w:cs="Arial" w:eastAsia="Arial" w:hAnsi="Arial"/>
                <w:sz w:val="16"/>
                <w:szCs w:val="16"/>
                <w:color w:val="auto"/>
              </w:rPr>
              <w:t>68</w:t>
            </w:r>
          </w:p>
        </w:tc>
        <w:tc>
          <w:tcPr>
            <w:tcW w:w="340" w:type="dxa"/>
            <w:vAlign w:val="bottom"/>
            <w:shd w:val="clear" w:color="auto" w:fill="EDF0FC"/>
          </w:tcPr>
          <w:p>
            <w:pPr>
              <w:ind w:left="40"/>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980" w:type="dxa"/>
            <w:vAlign w:val="bottom"/>
            <w:gridSpan w:val="3"/>
          </w:tcPr>
          <w:p>
            <w:pPr>
              <w:ind w:left="20"/>
              <w:spacing w:after="0"/>
              <w:rPr>
                <w:sz w:val="20"/>
                <w:szCs w:val="20"/>
                <w:color w:val="auto"/>
              </w:rPr>
            </w:pPr>
            <w:r>
              <w:rPr>
                <w:rFonts w:ascii="Arial" w:cs="Arial" w:eastAsia="Arial" w:hAnsi="Arial"/>
                <w:sz w:val="16"/>
                <w:szCs w:val="16"/>
                <w:color w:val="auto"/>
              </w:rPr>
              <w:t>Gender</w:t>
            </w:r>
          </w:p>
        </w:tc>
        <w:tc>
          <w:tcPr>
            <w:tcW w:w="2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center"/>
              <w:ind w:left="241"/>
              <w:spacing w:after="0"/>
              <w:rPr>
                <w:sz w:val="20"/>
                <w:szCs w:val="20"/>
                <w:color w:val="auto"/>
              </w:rPr>
            </w:pPr>
            <w:r>
              <w:rPr>
                <w:rFonts w:ascii="Arial" w:cs="Arial" w:eastAsia="Arial" w:hAnsi="Arial"/>
                <w:sz w:val="16"/>
                <w:szCs w:val="16"/>
                <w:color w:val="auto"/>
                <w:w w:val="89"/>
              </w:rPr>
              <w:t>M</w:t>
            </w:r>
          </w:p>
        </w:tc>
        <w:tc>
          <w:tcPr>
            <w:tcW w:w="420" w:type="dxa"/>
            <w:vAlign w:val="bottom"/>
          </w:tcPr>
          <w:p>
            <w:pPr>
              <w:ind w:left="160"/>
              <w:spacing w:after="0"/>
              <w:rPr>
                <w:sz w:val="20"/>
                <w:szCs w:val="20"/>
                <w:color w:val="auto"/>
              </w:rPr>
            </w:pPr>
            <w:r>
              <w:rPr>
                <w:rFonts w:ascii="Arial" w:cs="Arial" w:eastAsia="Arial" w:hAnsi="Arial"/>
                <w:sz w:val="16"/>
                <w:szCs w:val="16"/>
                <w:color w:val="auto"/>
              </w:rPr>
              <w:t>M</w:t>
            </w:r>
          </w:p>
        </w:tc>
        <w:tc>
          <w:tcPr>
            <w:tcW w:w="420" w:type="dxa"/>
            <w:vAlign w:val="bottom"/>
          </w:tcPr>
          <w:p>
            <w:pPr>
              <w:ind w:left="160"/>
              <w:spacing w:after="0"/>
              <w:rPr>
                <w:sz w:val="20"/>
                <w:szCs w:val="20"/>
                <w:color w:val="auto"/>
              </w:rPr>
            </w:pPr>
            <w:r>
              <w:rPr>
                <w:rFonts w:ascii="Arial" w:cs="Arial" w:eastAsia="Arial" w:hAnsi="Arial"/>
                <w:sz w:val="16"/>
                <w:szCs w:val="16"/>
                <w:color w:val="auto"/>
              </w:rPr>
              <w:t>F</w:t>
            </w:r>
          </w:p>
        </w:tc>
        <w:tc>
          <w:tcPr>
            <w:tcW w:w="420" w:type="dxa"/>
            <w:vAlign w:val="bottom"/>
          </w:tcPr>
          <w:p>
            <w:pPr>
              <w:ind w:left="140"/>
              <w:spacing w:after="0"/>
              <w:rPr>
                <w:sz w:val="20"/>
                <w:szCs w:val="20"/>
                <w:color w:val="auto"/>
              </w:rPr>
            </w:pPr>
            <w:r>
              <w:rPr>
                <w:rFonts w:ascii="Arial" w:cs="Arial" w:eastAsia="Arial" w:hAnsi="Arial"/>
                <w:sz w:val="16"/>
                <w:szCs w:val="16"/>
                <w:color w:val="auto"/>
              </w:rPr>
              <w:t>M</w:t>
            </w:r>
          </w:p>
        </w:tc>
        <w:tc>
          <w:tcPr>
            <w:tcW w:w="340" w:type="dxa"/>
            <w:vAlign w:val="bottom"/>
          </w:tcPr>
          <w:p>
            <w:pPr>
              <w:jc w:val="right"/>
              <w:spacing w:after="0"/>
              <w:rPr>
                <w:sz w:val="20"/>
                <w:szCs w:val="20"/>
                <w:color w:val="auto"/>
              </w:rPr>
            </w:pPr>
            <w:r>
              <w:rPr>
                <w:rFonts w:ascii="Arial" w:cs="Arial" w:eastAsia="Arial" w:hAnsi="Arial"/>
                <w:sz w:val="16"/>
                <w:szCs w:val="16"/>
                <w:color w:val="auto"/>
              </w:rPr>
              <w:t>M</w:t>
            </w:r>
          </w:p>
        </w:tc>
        <w:tc>
          <w:tcPr>
            <w:tcW w:w="480" w:type="dxa"/>
            <w:vAlign w:val="bottom"/>
          </w:tcPr>
          <w:p>
            <w:pPr>
              <w:ind w:left="220"/>
              <w:spacing w:after="0"/>
              <w:rPr>
                <w:sz w:val="20"/>
                <w:szCs w:val="20"/>
                <w:color w:val="auto"/>
              </w:rPr>
            </w:pPr>
            <w:r>
              <w:rPr>
                <w:rFonts w:ascii="Arial" w:cs="Arial" w:eastAsia="Arial" w:hAnsi="Arial"/>
                <w:sz w:val="16"/>
                <w:szCs w:val="16"/>
                <w:color w:val="auto"/>
              </w:rPr>
              <w:t>M</w:t>
            </w:r>
          </w:p>
        </w:tc>
        <w:tc>
          <w:tcPr>
            <w:tcW w:w="440" w:type="dxa"/>
            <w:vAlign w:val="bottom"/>
          </w:tcPr>
          <w:p>
            <w:pPr>
              <w:ind w:left="180"/>
              <w:spacing w:after="0"/>
              <w:rPr>
                <w:sz w:val="20"/>
                <w:szCs w:val="20"/>
                <w:color w:val="auto"/>
              </w:rPr>
            </w:pPr>
            <w:r>
              <w:rPr>
                <w:rFonts w:ascii="Arial" w:cs="Arial" w:eastAsia="Arial" w:hAnsi="Arial"/>
                <w:sz w:val="16"/>
                <w:szCs w:val="16"/>
                <w:color w:val="auto"/>
              </w:rPr>
              <w:t>F</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F</w:t>
            </w:r>
          </w:p>
        </w:tc>
        <w:tc>
          <w:tcPr>
            <w:tcW w:w="420" w:type="dxa"/>
            <w:vAlign w:val="bottom"/>
          </w:tcPr>
          <w:p>
            <w:pPr>
              <w:jc w:val="right"/>
              <w:ind w:right="78"/>
              <w:spacing w:after="0"/>
              <w:rPr>
                <w:sz w:val="20"/>
                <w:szCs w:val="20"/>
                <w:color w:val="auto"/>
              </w:rPr>
            </w:pPr>
            <w:r>
              <w:rPr>
                <w:rFonts w:ascii="Arial" w:cs="Arial" w:eastAsia="Arial" w:hAnsi="Arial"/>
                <w:sz w:val="16"/>
                <w:szCs w:val="16"/>
                <w:color w:val="auto"/>
              </w:rPr>
              <w:t>M</w:t>
            </w:r>
          </w:p>
        </w:tc>
        <w:tc>
          <w:tcPr>
            <w:tcW w:w="420" w:type="dxa"/>
            <w:vAlign w:val="bottom"/>
          </w:tcPr>
          <w:p>
            <w:pPr>
              <w:ind w:left="140"/>
              <w:spacing w:after="0"/>
              <w:rPr>
                <w:sz w:val="20"/>
                <w:szCs w:val="20"/>
                <w:color w:val="auto"/>
              </w:rPr>
            </w:pPr>
            <w:r>
              <w:rPr>
                <w:rFonts w:ascii="Arial" w:cs="Arial" w:eastAsia="Arial" w:hAnsi="Arial"/>
                <w:sz w:val="16"/>
                <w:szCs w:val="16"/>
                <w:color w:val="auto"/>
              </w:rPr>
              <w:t>M</w:t>
            </w:r>
          </w:p>
        </w:tc>
        <w:tc>
          <w:tcPr>
            <w:tcW w:w="500" w:type="dxa"/>
            <w:vAlign w:val="bottom"/>
          </w:tcPr>
          <w:p>
            <w:pPr>
              <w:ind w:left="160"/>
              <w:spacing w:after="0"/>
              <w:rPr>
                <w:sz w:val="20"/>
                <w:szCs w:val="20"/>
                <w:color w:val="auto"/>
              </w:rPr>
            </w:pPr>
            <w:r>
              <w:rPr>
                <w:rFonts w:ascii="Arial" w:cs="Arial" w:eastAsia="Arial" w:hAnsi="Arial"/>
                <w:sz w:val="16"/>
                <w:szCs w:val="16"/>
                <w:color w:val="auto"/>
              </w:rPr>
              <w:t>F</w:t>
            </w:r>
          </w:p>
        </w:tc>
        <w:tc>
          <w:tcPr>
            <w:tcW w:w="360" w:type="dxa"/>
            <w:vAlign w:val="bottom"/>
            <w:gridSpan w:val="2"/>
          </w:tcPr>
          <w:p>
            <w:pPr>
              <w:ind w:left="80"/>
              <w:spacing w:after="0"/>
              <w:rPr>
                <w:sz w:val="20"/>
                <w:szCs w:val="20"/>
                <w:color w:val="auto"/>
              </w:rPr>
            </w:pPr>
            <w:r>
              <w:rPr>
                <w:rFonts w:ascii="Arial" w:cs="Arial" w:eastAsia="Arial" w:hAnsi="Arial"/>
                <w:sz w:val="16"/>
                <w:szCs w:val="16"/>
                <w:color w:val="auto"/>
              </w:rPr>
              <w:t>F</w:t>
            </w:r>
          </w:p>
        </w:tc>
        <w:tc>
          <w:tcPr>
            <w:tcW w:w="0" w:type="dxa"/>
            <w:vAlign w:val="bottom"/>
          </w:tcPr>
          <w:p>
            <w:pPr>
              <w:spacing w:after="0"/>
              <w:rPr>
                <w:sz w:val="1"/>
                <w:szCs w:val="1"/>
                <w:color w:val="auto"/>
              </w:rPr>
            </w:pPr>
          </w:p>
        </w:tc>
      </w:tr>
      <w:tr>
        <w:trPr>
          <w:trHeight w:val="156"/>
        </w:trPr>
        <w:tc>
          <w:tcPr>
            <w:tcW w:w="2980" w:type="dxa"/>
            <w:vAlign w:val="bottom"/>
            <w:gridSpan w:val="3"/>
            <w:shd w:val="clear" w:color="auto" w:fill="EDF0FC"/>
          </w:tcPr>
          <w:p>
            <w:pPr>
              <w:ind w:left="20"/>
              <w:spacing w:after="0" w:line="156" w:lineRule="exact"/>
              <w:rPr>
                <w:sz w:val="20"/>
                <w:szCs w:val="20"/>
                <w:color w:val="auto"/>
              </w:rPr>
            </w:pPr>
            <w:r>
              <w:rPr>
                <w:rFonts w:ascii="Arial" w:cs="Arial" w:eastAsia="Arial" w:hAnsi="Arial"/>
                <w:sz w:val="16"/>
                <w:szCs w:val="16"/>
                <w:color w:val="auto"/>
              </w:rPr>
              <w:t>Independence</w:t>
            </w:r>
          </w:p>
        </w:tc>
        <w:tc>
          <w:tcPr>
            <w:tcW w:w="2680" w:type="dxa"/>
            <w:vAlign w:val="bottom"/>
            <w:shd w:val="clear" w:color="auto" w:fill="EDF0FC"/>
          </w:tcPr>
          <w:p>
            <w:pPr>
              <w:spacing w:after="0"/>
              <w:rPr>
                <w:sz w:val="13"/>
                <w:szCs w:val="13"/>
                <w:color w:val="auto"/>
              </w:rPr>
            </w:pPr>
          </w:p>
        </w:tc>
        <w:tc>
          <w:tcPr>
            <w:tcW w:w="260" w:type="dxa"/>
            <w:vAlign w:val="bottom"/>
            <w:shd w:val="clear" w:color="auto" w:fill="EDF0FC"/>
          </w:tcPr>
          <w:p>
            <w:pPr>
              <w:spacing w:after="0"/>
              <w:rPr>
                <w:sz w:val="13"/>
                <w:szCs w:val="13"/>
                <w:color w:val="auto"/>
              </w:rPr>
            </w:pPr>
          </w:p>
        </w:tc>
        <w:tc>
          <w:tcPr>
            <w:tcW w:w="680" w:type="dxa"/>
            <w:vAlign w:val="bottom"/>
            <w:vMerge w:val="restart"/>
            <w:shd w:val="clear" w:color="auto" w:fill="EDF0FC"/>
          </w:tcPr>
          <w:p>
            <w:pPr>
              <w:jc w:val="center"/>
              <w:ind w:left="241"/>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shd w:val="clear" w:color="auto" w:fill="EDF0FC"/>
          </w:tcPr>
          <w:p>
            <w:pPr>
              <w:spacing w:after="0"/>
              <w:rPr>
                <w:sz w:val="13"/>
                <w:szCs w:val="13"/>
                <w:color w:val="auto"/>
              </w:rPr>
            </w:pPr>
          </w:p>
        </w:tc>
        <w:tc>
          <w:tcPr>
            <w:tcW w:w="420" w:type="dxa"/>
            <w:vAlign w:val="bottom"/>
            <w:vMerge w:val="restart"/>
            <w:shd w:val="clear" w:color="auto" w:fill="EDF0FC"/>
          </w:tcPr>
          <w:p>
            <w:pPr>
              <w:jc w:val="right"/>
              <w:ind w:right="78"/>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vMerge w:val="restart"/>
            <w:shd w:val="clear" w:color="auto" w:fill="EDF0FC"/>
          </w:tcPr>
          <w:p>
            <w:pPr>
              <w:ind w:left="160"/>
              <w:spacing w:after="0"/>
              <w:rPr>
                <w:sz w:val="20"/>
                <w:szCs w:val="20"/>
                <w:color w:val="auto"/>
              </w:rPr>
            </w:pPr>
            <w:r>
              <w:rPr>
                <w:rFonts w:ascii="Webdings" w:cs="Webdings" w:eastAsia="Webdings" w:hAnsi="Webdings"/>
                <w:sz w:val="11"/>
                <w:szCs w:val="11"/>
                <w:b w:val="1"/>
                <w:bCs w:val="1"/>
                <w:color w:val="0626A9"/>
              </w:rPr>
              <w:t>n</w:t>
            </w:r>
          </w:p>
        </w:tc>
        <w:tc>
          <w:tcPr>
            <w:tcW w:w="340" w:type="dxa"/>
            <w:vAlign w:val="bottom"/>
            <w:shd w:val="clear" w:color="auto" w:fill="EDF0FC"/>
          </w:tcPr>
          <w:p>
            <w:pPr>
              <w:spacing w:after="0"/>
              <w:rPr>
                <w:sz w:val="13"/>
                <w:szCs w:val="13"/>
                <w:color w:val="auto"/>
              </w:rPr>
            </w:pPr>
          </w:p>
        </w:tc>
        <w:tc>
          <w:tcPr>
            <w:tcW w:w="480" w:type="dxa"/>
            <w:vAlign w:val="bottom"/>
            <w:vMerge w:val="restart"/>
            <w:shd w:val="clear" w:color="auto" w:fill="EDF0FC"/>
          </w:tcPr>
          <w:p>
            <w:pPr>
              <w:jc w:val="center"/>
              <w:ind w:left="39"/>
              <w:spacing w:after="0"/>
              <w:rPr>
                <w:sz w:val="20"/>
                <w:szCs w:val="20"/>
                <w:color w:val="auto"/>
              </w:rPr>
            </w:pPr>
            <w:r>
              <w:rPr>
                <w:rFonts w:ascii="Webdings" w:cs="Webdings" w:eastAsia="Webdings" w:hAnsi="Webdings"/>
                <w:sz w:val="11"/>
                <w:szCs w:val="11"/>
                <w:b w:val="1"/>
                <w:bCs w:val="1"/>
                <w:color w:val="0626A9"/>
                <w:w w:val="90"/>
              </w:rPr>
              <w:t>n</w:t>
            </w:r>
          </w:p>
        </w:tc>
        <w:tc>
          <w:tcPr>
            <w:tcW w:w="440" w:type="dxa"/>
            <w:vAlign w:val="bottom"/>
            <w:vMerge w:val="restart"/>
            <w:shd w:val="clear" w:color="auto" w:fill="EDF0FC"/>
          </w:tcPr>
          <w:p>
            <w:pPr>
              <w:jc w:val="center"/>
              <w:spacing w:after="0"/>
              <w:rPr>
                <w:sz w:val="20"/>
                <w:szCs w:val="20"/>
                <w:color w:val="auto"/>
              </w:rPr>
            </w:pPr>
            <w:r>
              <w:rPr>
                <w:rFonts w:ascii="Webdings" w:cs="Webdings" w:eastAsia="Webdings" w:hAnsi="Webdings"/>
                <w:sz w:val="11"/>
                <w:szCs w:val="11"/>
                <w:b w:val="1"/>
                <w:bCs w:val="1"/>
                <w:color w:val="0626A9"/>
                <w:w w:val="90"/>
              </w:rPr>
              <w:t>n</w:t>
            </w:r>
          </w:p>
        </w:tc>
        <w:tc>
          <w:tcPr>
            <w:tcW w:w="420" w:type="dxa"/>
            <w:vAlign w:val="bottom"/>
            <w:vMerge w:val="restart"/>
            <w:shd w:val="clear" w:color="auto" w:fill="EDF0FC"/>
          </w:tcPr>
          <w:p>
            <w:pPr>
              <w:jc w:val="right"/>
              <w:ind w:right="99"/>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vMerge w:val="restart"/>
            <w:shd w:val="clear" w:color="auto" w:fill="EDF0FC"/>
          </w:tcPr>
          <w:p>
            <w:pPr>
              <w:jc w:val="right"/>
              <w:ind w:right="98"/>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vMerge w:val="restart"/>
            <w:shd w:val="clear" w:color="auto" w:fill="EDF0FC"/>
          </w:tcPr>
          <w:p>
            <w:pPr>
              <w:ind w:left="160"/>
              <w:spacing w:after="0"/>
              <w:rPr>
                <w:sz w:val="20"/>
                <w:szCs w:val="20"/>
                <w:color w:val="auto"/>
              </w:rPr>
            </w:pPr>
            <w:r>
              <w:rPr>
                <w:rFonts w:ascii="Webdings" w:cs="Webdings" w:eastAsia="Webdings" w:hAnsi="Webdings"/>
                <w:sz w:val="11"/>
                <w:szCs w:val="11"/>
                <w:b w:val="1"/>
                <w:bCs w:val="1"/>
                <w:color w:val="0626A9"/>
              </w:rPr>
              <w:t>n</w:t>
            </w:r>
          </w:p>
        </w:tc>
        <w:tc>
          <w:tcPr>
            <w:tcW w:w="500" w:type="dxa"/>
            <w:vAlign w:val="bottom"/>
            <w:vMerge w:val="restart"/>
            <w:shd w:val="clear" w:color="auto" w:fill="EDF0FC"/>
          </w:tcPr>
          <w:p>
            <w:pPr>
              <w:ind w:left="160"/>
              <w:spacing w:after="0"/>
              <w:rPr>
                <w:sz w:val="20"/>
                <w:szCs w:val="20"/>
                <w:color w:val="auto"/>
              </w:rPr>
            </w:pPr>
            <w:r>
              <w:rPr>
                <w:rFonts w:ascii="Webdings" w:cs="Webdings" w:eastAsia="Webdings" w:hAnsi="Webdings"/>
                <w:sz w:val="11"/>
                <w:szCs w:val="11"/>
                <w:b w:val="1"/>
                <w:bCs w:val="1"/>
                <w:color w:val="0626A9"/>
              </w:rPr>
              <w:t>n</w:t>
            </w:r>
          </w:p>
        </w:tc>
        <w:tc>
          <w:tcPr>
            <w:tcW w:w="340" w:type="dxa"/>
            <w:vAlign w:val="bottom"/>
            <w:vMerge w:val="restart"/>
            <w:shd w:val="clear" w:color="auto" w:fill="EDF0FC"/>
          </w:tcPr>
          <w:p>
            <w:pPr>
              <w:ind w:left="60"/>
              <w:spacing w:after="0"/>
              <w:rPr>
                <w:sz w:val="20"/>
                <w:szCs w:val="20"/>
                <w:color w:val="auto"/>
              </w:rPr>
            </w:pPr>
            <w:r>
              <w:rPr>
                <w:rFonts w:ascii="Webdings" w:cs="Webdings" w:eastAsia="Webdings" w:hAnsi="Webdings"/>
                <w:sz w:val="11"/>
                <w:szCs w:val="11"/>
                <w:b w:val="1"/>
                <w:bCs w:val="1"/>
                <w:color w:val="0626A9"/>
              </w:rPr>
              <w:t>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EDF0FC"/>
          </w:tcPr>
          <w:p>
            <w:pPr>
              <w:spacing w:after="0" w:line="20" w:lineRule="exact"/>
              <w:rPr>
                <w:sz w:val="1"/>
                <w:szCs w:val="1"/>
                <w:color w:val="auto"/>
              </w:rPr>
            </w:pPr>
          </w:p>
        </w:tc>
        <w:tc>
          <w:tcPr>
            <w:tcW w:w="260" w:type="dxa"/>
            <w:vAlign w:val="bottom"/>
            <w:shd w:val="clear" w:color="auto" w:fill="EDF0FC"/>
          </w:tcPr>
          <w:p>
            <w:pPr>
              <w:spacing w:after="0" w:line="20" w:lineRule="exact"/>
              <w:rPr>
                <w:sz w:val="1"/>
                <w:szCs w:val="1"/>
                <w:color w:val="auto"/>
              </w:rPr>
            </w:pPr>
          </w:p>
        </w:tc>
        <w:tc>
          <w:tcPr>
            <w:tcW w:w="20" w:type="dxa"/>
            <w:vAlign w:val="bottom"/>
            <w:shd w:val="clear" w:color="auto" w:fill="EDF0FC"/>
          </w:tcPr>
          <w:p>
            <w:pPr>
              <w:spacing w:after="0" w:line="20" w:lineRule="exact"/>
              <w:rPr>
                <w:sz w:val="1"/>
                <w:szCs w:val="1"/>
                <w:color w:val="auto"/>
              </w:rPr>
            </w:pPr>
          </w:p>
        </w:tc>
        <w:tc>
          <w:tcPr>
            <w:tcW w:w="2680" w:type="dxa"/>
            <w:vAlign w:val="bottom"/>
            <w:shd w:val="clear" w:color="auto" w:fill="EDF0FC"/>
          </w:tcPr>
          <w:p>
            <w:pPr>
              <w:spacing w:after="0" w:line="20" w:lineRule="exact"/>
              <w:rPr>
                <w:sz w:val="1"/>
                <w:szCs w:val="1"/>
                <w:color w:val="auto"/>
              </w:rPr>
            </w:pPr>
          </w:p>
        </w:tc>
        <w:tc>
          <w:tcPr>
            <w:tcW w:w="260" w:type="dxa"/>
            <w:vAlign w:val="bottom"/>
            <w:shd w:val="clear" w:color="auto" w:fill="EDF0FC"/>
          </w:tcPr>
          <w:p>
            <w:pPr>
              <w:spacing w:after="0" w:line="20" w:lineRule="exact"/>
              <w:rPr>
                <w:sz w:val="1"/>
                <w:szCs w:val="1"/>
                <w:color w:val="auto"/>
              </w:rPr>
            </w:pPr>
          </w:p>
        </w:tc>
        <w:tc>
          <w:tcPr>
            <w:tcW w:w="680" w:type="dxa"/>
            <w:vAlign w:val="bottom"/>
            <w:vMerge w:val="continue"/>
            <w:shd w:val="clear" w:color="auto" w:fill="EDF0FC"/>
          </w:tcPr>
          <w:p>
            <w:pPr>
              <w:spacing w:after="0" w:line="20" w:lineRule="exact"/>
              <w:rPr>
                <w:sz w:val="1"/>
                <w:szCs w:val="1"/>
                <w:color w:val="auto"/>
              </w:rPr>
            </w:pPr>
          </w:p>
        </w:tc>
        <w:tc>
          <w:tcPr>
            <w:tcW w:w="420" w:type="dxa"/>
            <w:vAlign w:val="bottom"/>
            <w:shd w:val="clear" w:color="auto" w:fill="EDF0FC"/>
          </w:tcPr>
          <w:p>
            <w:pPr>
              <w:spacing w:after="0" w:line="20" w:lineRule="exact"/>
              <w:rPr>
                <w:sz w:val="1"/>
                <w:szCs w:val="1"/>
                <w:color w:val="auto"/>
              </w:rPr>
            </w:pPr>
          </w:p>
        </w:tc>
        <w:tc>
          <w:tcPr>
            <w:tcW w:w="420" w:type="dxa"/>
            <w:vAlign w:val="bottom"/>
            <w:vMerge w:val="continue"/>
            <w:shd w:val="clear" w:color="auto" w:fill="EDF0FC"/>
          </w:tcPr>
          <w:p>
            <w:pPr>
              <w:spacing w:after="0" w:line="20" w:lineRule="exact"/>
              <w:rPr>
                <w:sz w:val="1"/>
                <w:szCs w:val="1"/>
                <w:color w:val="auto"/>
              </w:rPr>
            </w:pPr>
          </w:p>
        </w:tc>
        <w:tc>
          <w:tcPr>
            <w:tcW w:w="420" w:type="dxa"/>
            <w:vAlign w:val="bottom"/>
            <w:vMerge w:val="continue"/>
            <w:shd w:val="clear" w:color="auto" w:fill="EDF0FC"/>
          </w:tcPr>
          <w:p>
            <w:pPr>
              <w:spacing w:after="0" w:line="20" w:lineRule="exact"/>
              <w:rPr>
                <w:sz w:val="1"/>
                <w:szCs w:val="1"/>
                <w:color w:val="auto"/>
              </w:rPr>
            </w:pPr>
          </w:p>
        </w:tc>
        <w:tc>
          <w:tcPr>
            <w:tcW w:w="340" w:type="dxa"/>
            <w:vAlign w:val="bottom"/>
            <w:shd w:val="clear" w:color="auto" w:fill="EDF0FC"/>
          </w:tcPr>
          <w:p>
            <w:pPr>
              <w:spacing w:after="0" w:line="20" w:lineRule="exact"/>
              <w:rPr>
                <w:sz w:val="1"/>
                <w:szCs w:val="1"/>
                <w:color w:val="auto"/>
              </w:rPr>
            </w:pPr>
          </w:p>
        </w:tc>
        <w:tc>
          <w:tcPr>
            <w:tcW w:w="480" w:type="dxa"/>
            <w:vAlign w:val="bottom"/>
            <w:vMerge w:val="continue"/>
            <w:shd w:val="clear" w:color="auto" w:fill="EDF0FC"/>
          </w:tcPr>
          <w:p>
            <w:pPr>
              <w:spacing w:after="0" w:line="20" w:lineRule="exact"/>
              <w:rPr>
                <w:sz w:val="1"/>
                <w:szCs w:val="1"/>
                <w:color w:val="auto"/>
              </w:rPr>
            </w:pPr>
          </w:p>
        </w:tc>
        <w:tc>
          <w:tcPr>
            <w:tcW w:w="440" w:type="dxa"/>
            <w:vAlign w:val="bottom"/>
            <w:vMerge w:val="continue"/>
            <w:shd w:val="clear" w:color="auto" w:fill="EDF0FC"/>
          </w:tcPr>
          <w:p>
            <w:pPr>
              <w:spacing w:after="0" w:line="20" w:lineRule="exact"/>
              <w:rPr>
                <w:sz w:val="1"/>
                <w:szCs w:val="1"/>
                <w:color w:val="auto"/>
              </w:rPr>
            </w:pPr>
          </w:p>
        </w:tc>
        <w:tc>
          <w:tcPr>
            <w:tcW w:w="420" w:type="dxa"/>
            <w:vAlign w:val="bottom"/>
            <w:vMerge w:val="continue"/>
            <w:shd w:val="clear" w:color="auto" w:fill="EDF0FC"/>
          </w:tcPr>
          <w:p>
            <w:pPr>
              <w:spacing w:after="0" w:line="20" w:lineRule="exact"/>
              <w:rPr>
                <w:sz w:val="1"/>
                <w:szCs w:val="1"/>
                <w:color w:val="auto"/>
              </w:rPr>
            </w:pPr>
          </w:p>
        </w:tc>
        <w:tc>
          <w:tcPr>
            <w:tcW w:w="420" w:type="dxa"/>
            <w:vAlign w:val="bottom"/>
            <w:vMerge w:val="continue"/>
            <w:shd w:val="clear" w:color="auto" w:fill="EDF0FC"/>
          </w:tcPr>
          <w:p>
            <w:pPr>
              <w:spacing w:after="0" w:line="20" w:lineRule="exact"/>
              <w:rPr>
                <w:sz w:val="1"/>
                <w:szCs w:val="1"/>
                <w:color w:val="auto"/>
              </w:rPr>
            </w:pPr>
          </w:p>
        </w:tc>
        <w:tc>
          <w:tcPr>
            <w:tcW w:w="420" w:type="dxa"/>
            <w:vAlign w:val="bottom"/>
            <w:vMerge w:val="continue"/>
            <w:shd w:val="clear" w:color="auto" w:fill="EDF0FC"/>
          </w:tcPr>
          <w:p>
            <w:pPr>
              <w:spacing w:after="0" w:line="20" w:lineRule="exact"/>
              <w:rPr>
                <w:sz w:val="1"/>
                <w:szCs w:val="1"/>
                <w:color w:val="auto"/>
              </w:rPr>
            </w:pPr>
          </w:p>
        </w:tc>
        <w:tc>
          <w:tcPr>
            <w:tcW w:w="500" w:type="dxa"/>
            <w:vAlign w:val="bottom"/>
            <w:vMerge w:val="continue"/>
            <w:shd w:val="clear" w:color="auto" w:fill="EDF0FC"/>
          </w:tcPr>
          <w:p>
            <w:pPr>
              <w:spacing w:after="0" w:line="20" w:lineRule="exact"/>
              <w:rPr>
                <w:sz w:val="1"/>
                <w:szCs w:val="1"/>
                <w:color w:val="auto"/>
              </w:rPr>
            </w:pPr>
          </w:p>
        </w:tc>
        <w:tc>
          <w:tcPr>
            <w:tcW w:w="340" w:type="dxa"/>
            <w:vAlign w:val="bottom"/>
            <w:vMerge w:val="continue"/>
            <w:shd w:val="clear" w:color="auto" w:fill="ED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700" w:type="dxa"/>
            <w:vAlign w:val="bottom"/>
            <w:tcBorders>
              <w:bottom w:val="single" w:sz="8" w:color="auto"/>
            </w:tcBorders>
            <w:shd w:val="clear" w:color="auto" w:fill="EDF0FC"/>
          </w:tcPr>
          <w:p>
            <w:pPr>
              <w:spacing w:after="0"/>
              <w:rPr>
                <w:sz w:val="6"/>
                <w:szCs w:val="6"/>
                <w:color w:val="auto"/>
              </w:rPr>
            </w:pPr>
          </w:p>
        </w:tc>
        <w:tc>
          <w:tcPr>
            <w:tcW w:w="260" w:type="dxa"/>
            <w:vAlign w:val="bottom"/>
            <w:tcBorders>
              <w:bottom w:val="single" w:sz="8" w:color="auto"/>
            </w:tcBorders>
            <w:shd w:val="clear" w:color="auto" w:fill="EDF0FC"/>
          </w:tcPr>
          <w:p>
            <w:pPr>
              <w:spacing w:after="0"/>
              <w:rPr>
                <w:sz w:val="6"/>
                <w:szCs w:val="6"/>
                <w:color w:val="auto"/>
              </w:rPr>
            </w:pPr>
          </w:p>
        </w:tc>
        <w:tc>
          <w:tcPr>
            <w:tcW w:w="20" w:type="dxa"/>
            <w:vAlign w:val="bottom"/>
            <w:tcBorders>
              <w:bottom w:val="single" w:sz="8" w:color="auto"/>
            </w:tcBorders>
            <w:shd w:val="clear" w:color="auto" w:fill="EDF0FC"/>
          </w:tcPr>
          <w:p>
            <w:pPr>
              <w:spacing w:after="0"/>
              <w:rPr>
                <w:sz w:val="6"/>
                <w:szCs w:val="6"/>
                <w:color w:val="auto"/>
              </w:rPr>
            </w:pPr>
          </w:p>
        </w:tc>
        <w:tc>
          <w:tcPr>
            <w:tcW w:w="2680" w:type="dxa"/>
            <w:vAlign w:val="bottom"/>
            <w:tcBorders>
              <w:bottom w:val="single" w:sz="8" w:color="auto"/>
            </w:tcBorders>
            <w:shd w:val="clear" w:color="auto" w:fill="EDF0FC"/>
          </w:tcPr>
          <w:p>
            <w:pPr>
              <w:spacing w:after="0"/>
              <w:rPr>
                <w:sz w:val="6"/>
                <w:szCs w:val="6"/>
                <w:color w:val="auto"/>
              </w:rPr>
            </w:pPr>
          </w:p>
        </w:tc>
        <w:tc>
          <w:tcPr>
            <w:tcW w:w="260" w:type="dxa"/>
            <w:vAlign w:val="bottom"/>
            <w:tcBorders>
              <w:bottom w:val="single" w:sz="8" w:color="auto"/>
            </w:tcBorders>
            <w:shd w:val="clear" w:color="auto" w:fill="EDF0FC"/>
          </w:tcPr>
          <w:p>
            <w:pPr>
              <w:spacing w:after="0"/>
              <w:rPr>
                <w:sz w:val="6"/>
                <w:szCs w:val="6"/>
                <w:color w:val="auto"/>
              </w:rPr>
            </w:pPr>
          </w:p>
        </w:tc>
        <w:tc>
          <w:tcPr>
            <w:tcW w:w="680" w:type="dxa"/>
            <w:vAlign w:val="bottom"/>
            <w:tcBorders>
              <w:bottom w:val="single" w:sz="8" w:color="auto"/>
            </w:tcBorders>
            <w:shd w:val="clear" w:color="auto" w:fill="EDF0FC"/>
          </w:tcPr>
          <w:p>
            <w:pPr>
              <w:spacing w:after="0"/>
              <w:rPr>
                <w:sz w:val="6"/>
                <w:szCs w:val="6"/>
                <w:color w:val="auto"/>
              </w:rPr>
            </w:pPr>
          </w:p>
        </w:tc>
        <w:tc>
          <w:tcPr>
            <w:tcW w:w="420" w:type="dxa"/>
            <w:vAlign w:val="bottom"/>
            <w:tcBorders>
              <w:bottom w:val="single" w:sz="8" w:color="auto"/>
            </w:tcBorders>
            <w:shd w:val="clear" w:color="auto" w:fill="EDF0FC"/>
          </w:tcPr>
          <w:p>
            <w:pPr>
              <w:spacing w:after="0"/>
              <w:rPr>
                <w:sz w:val="6"/>
                <w:szCs w:val="6"/>
                <w:color w:val="auto"/>
              </w:rPr>
            </w:pPr>
          </w:p>
        </w:tc>
        <w:tc>
          <w:tcPr>
            <w:tcW w:w="420" w:type="dxa"/>
            <w:vAlign w:val="bottom"/>
            <w:tcBorders>
              <w:bottom w:val="single" w:sz="8" w:color="auto"/>
            </w:tcBorders>
            <w:shd w:val="clear" w:color="auto" w:fill="EDF0FC"/>
          </w:tcPr>
          <w:p>
            <w:pPr>
              <w:spacing w:after="0"/>
              <w:rPr>
                <w:sz w:val="6"/>
                <w:szCs w:val="6"/>
                <w:color w:val="auto"/>
              </w:rPr>
            </w:pPr>
          </w:p>
        </w:tc>
        <w:tc>
          <w:tcPr>
            <w:tcW w:w="420" w:type="dxa"/>
            <w:vAlign w:val="bottom"/>
            <w:tcBorders>
              <w:bottom w:val="single" w:sz="8" w:color="auto"/>
            </w:tcBorders>
            <w:shd w:val="clear" w:color="auto" w:fill="EDF0FC"/>
          </w:tcPr>
          <w:p>
            <w:pPr>
              <w:spacing w:after="0"/>
              <w:rPr>
                <w:sz w:val="6"/>
                <w:szCs w:val="6"/>
                <w:color w:val="auto"/>
              </w:rPr>
            </w:pPr>
          </w:p>
        </w:tc>
        <w:tc>
          <w:tcPr>
            <w:tcW w:w="340" w:type="dxa"/>
            <w:vAlign w:val="bottom"/>
            <w:tcBorders>
              <w:bottom w:val="single" w:sz="8" w:color="auto"/>
            </w:tcBorders>
            <w:shd w:val="clear" w:color="auto" w:fill="EDF0FC"/>
          </w:tcPr>
          <w:p>
            <w:pPr>
              <w:spacing w:after="0"/>
              <w:rPr>
                <w:sz w:val="6"/>
                <w:szCs w:val="6"/>
                <w:color w:val="auto"/>
              </w:rPr>
            </w:pPr>
          </w:p>
        </w:tc>
        <w:tc>
          <w:tcPr>
            <w:tcW w:w="480" w:type="dxa"/>
            <w:vAlign w:val="bottom"/>
            <w:tcBorders>
              <w:bottom w:val="single" w:sz="8" w:color="auto"/>
            </w:tcBorders>
            <w:shd w:val="clear" w:color="auto" w:fill="EDF0FC"/>
          </w:tcPr>
          <w:p>
            <w:pPr>
              <w:spacing w:after="0"/>
              <w:rPr>
                <w:sz w:val="6"/>
                <w:szCs w:val="6"/>
                <w:color w:val="auto"/>
              </w:rPr>
            </w:pPr>
          </w:p>
        </w:tc>
        <w:tc>
          <w:tcPr>
            <w:tcW w:w="440" w:type="dxa"/>
            <w:vAlign w:val="bottom"/>
            <w:tcBorders>
              <w:bottom w:val="single" w:sz="8" w:color="auto"/>
            </w:tcBorders>
            <w:shd w:val="clear" w:color="auto" w:fill="EDF0FC"/>
          </w:tcPr>
          <w:p>
            <w:pPr>
              <w:spacing w:after="0"/>
              <w:rPr>
                <w:sz w:val="6"/>
                <w:szCs w:val="6"/>
                <w:color w:val="auto"/>
              </w:rPr>
            </w:pPr>
          </w:p>
        </w:tc>
        <w:tc>
          <w:tcPr>
            <w:tcW w:w="420" w:type="dxa"/>
            <w:vAlign w:val="bottom"/>
            <w:tcBorders>
              <w:bottom w:val="single" w:sz="8" w:color="auto"/>
            </w:tcBorders>
            <w:shd w:val="clear" w:color="auto" w:fill="EDF0FC"/>
          </w:tcPr>
          <w:p>
            <w:pPr>
              <w:spacing w:after="0"/>
              <w:rPr>
                <w:sz w:val="6"/>
                <w:szCs w:val="6"/>
                <w:color w:val="auto"/>
              </w:rPr>
            </w:pPr>
          </w:p>
        </w:tc>
        <w:tc>
          <w:tcPr>
            <w:tcW w:w="420" w:type="dxa"/>
            <w:vAlign w:val="bottom"/>
            <w:tcBorders>
              <w:bottom w:val="single" w:sz="8" w:color="auto"/>
            </w:tcBorders>
            <w:shd w:val="clear" w:color="auto" w:fill="EDF0FC"/>
          </w:tcPr>
          <w:p>
            <w:pPr>
              <w:spacing w:after="0"/>
              <w:rPr>
                <w:sz w:val="6"/>
                <w:szCs w:val="6"/>
                <w:color w:val="auto"/>
              </w:rPr>
            </w:pPr>
          </w:p>
        </w:tc>
        <w:tc>
          <w:tcPr>
            <w:tcW w:w="420" w:type="dxa"/>
            <w:vAlign w:val="bottom"/>
            <w:tcBorders>
              <w:bottom w:val="single" w:sz="8" w:color="auto"/>
            </w:tcBorders>
            <w:shd w:val="clear" w:color="auto" w:fill="EDF0FC"/>
          </w:tcPr>
          <w:p>
            <w:pPr>
              <w:spacing w:after="0"/>
              <w:rPr>
                <w:sz w:val="6"/>
                <w:szCs w:val="6"/>
                <w:color w:val="auto"/>
              </w:rPr>
            </w:pPr>
          </w:p>
        </w:tc>
        <w:tc>
          <w:tcPr>
            <w:tcW w:w="500" w:type="dxa"/>
            <w:vAlign w:val="bottom"/>
            <w:tcBorders>
              <w:bottom w:val="single" w:sz="8" w:color="auto"/>
            </w:tcBorders>
            <w:shd w:val="clear" w:color="auto" w:fill="EDF0FC"/>
          </w:tcPr>
          <w:p>
            <w:pPr>
              <w:spacing w:after="0"/>
              <w:rPr>
                <w:sz w:val="6"/>
                <w:szCs w:val="6"/>
                <w:color w:val="auto"/>
              </w:rPr>
            </w:pPr>
          </w:p>
        </w:tc>
        <w:tc>
          <w:tcPr>
            <w:tcW w:w="340" w:type="dxa"/>
            <w:vAlign w:val="bottom"/>
            <w:tcBorders>
              <w:bottom w:val="single" w:sz="8" w:color="auto"/>
            </w:tcBorders>
            <w:shd w:val="clear" w:color="auto" w:fill="EDF0FC"/>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25"/>
        </w:trPr>
        <w:tc>
          <w:tcPr>
            <w:tcW w:w="2980" w:type="dxa"/>
            <w:vAlign w:val="bottom"/>
            <w:tcBorders>
              <w:bottom w:val="single" w:sz="8" w:color="1A3FD6"/>
            </w:tcBorders>
            <w:gridSpan w:val="3"/>
          </w:tcPr>
          <w:p>
            <w:pPr>
              <w:ind w:left="20"/>
              <w:spacing w:after="0"/>
              <w:rPr>
                <w:sz w:val="20"/>
                <w:szCs w:val="20"/>
                <w:color w:val="auto"/>
              </w:rPr>
            </w:pPr>
            <w:r>
              <w:rPr>
                <w:rFonts w:ascii="Arial" w:cs="Arial" w:eastAsia="Arial" w:hAnsi="Arial"/>
                <w:sz w:val="14"/>
                <w:szCs w:val="14"/>
                <w:b w:val="1"/>
                <w:bCs w:val="1"/>
                <w:color w:val="auto"/>
              </w:rPr>
              <w:t>Demographics</w:t>
            </w:r>
          </w:p>
        </w:tc>
        <w:tc>
          <w:tcPr>
            <w:tcW w:w="2680" w:type="dxa"/>
            <w:vAlign w:val="bottom"/>
            <w:tcBorders>
              <w:bottom w:val="single" w:sz="8" w:color="1A3FD6"/>
            </w:tcBorders>
          </w:tcPr>
          <w:p>
            <w:pPr>
              <w:spacing w:after="0"/>
              <w:rPr>
                <w:sz w:val="24"/>
                <w:szCs w:val="24"/>
                <w:color w:val="auto"/>
              </w:rPr>
            </w:pPr>
          </w:p>
        </w:tc>
        <w:tc>
          <w:tcPr>
            <w:tcW w:w="260" w:type="dxa"/>
            <w:vAlign w:val="bottom"/>
            <w:tcBorders>
              <w:bottom w:val="single" w:sz="8" w:color="1A3FD6"/>
            </w:tcBorders>
          </w:tcPr>
          <w:p>
            <w:pPr>
              <w:spacing w:after="0"/>
              <w:rPr>
                <w:sz w:val="24"/>
                <w:szCs w:val="24"/>
                <w:color w:val="auto"/>
              </w:rPr>
            </w:pPr>
          </w:p>
        </w:tc>
        <w:tc>
          <w:tcPr>
            <w:tcW w:w="680" w:type="dxa"/>
            <w:vAlign w:val="bottom"/>
            <w:tcBorders>
              <w:bottom w:val="single" w:sz="8" w:color="1A3FD6"/>
            </w:tcBorders>
          </w:tcPr>
          <w:p>
            <w:pPr>
              <w:spacing w:after="0"/>
              <w:rPr>
                <w:sz w:val="24"/>
                <w:szCs w:val="24"/>
                <w:color w:val="auto"/>
              </w:rPr>
            </w:pPr>
          </w:p>
        </w:tc>
        <w:tc>
          <w:tcPr>
            <w:tcW w:w="420" w:type="dxa"/>
            <w:vAlign w:val="bottom"/>
            <w:tcBorders>
              <w:bottom w:val="single" w:sz="8" w:color="1A3FD6"/>
            </w:tcBorders>
          </w:tcPr>
          <w:p>
            <w:pPr>
              <w:spacing w:after="0"/>
              <w:rPr>
                <w:sz w:val="24"/>
                <w:szCs w:val="24"/>
                <w:color w:val="auto"/>
              </w:rPr>
            </w:pPr>
          </w:p>
        </w:tc>
        <w:tc>
          <w:tcPr>
            <w:tcW w:w="420" w:type="dxa"/>
            <w:vAlign w:val="bottom"/>
            <w:tcBorders>
              <w:bottom w:val="single" w:sz="8" w:color="1A3FD6"/>
            </w:tcBorders>
          </w:tcPr>
          <w:p>
            <w:pPr>
              <w:spacing w:after="0"/>
              <w:rPr>
                <w:sz w:val="24"/>
                <w:szCs w:val="24"/>
                <w:color w:val="auto"/>
              </w:rPr>
            </w:pPr>
          </w:p>
        </w:tc>
        <w:tc>
          <w:tcPr>
            <w:tcW w:w="420" w:type="dxa"/>
            <w:vAlign w:val="bottom"/>
            <w:tcBorders>
              <w:bottom w:val="single" w:sz="8" w:color="1A3FD6"/>
            </w:tcBorders>
          </w:tcPr>
          <w:p>
            <w:pPr>
              <w:spacing w:after="0"/>
              <w:rPr>
                <w:sz w:val="24"/>
                <w:szCs w:val="24"/>
                <w:color w:val="auto"/>
              </w:rPr>
            </w:pPr>
          </w:p>
        </w:tc>
        <w:tc>
          <w:tcPr>
            <w:tcW w:w="340" w:type="dxa"/>
            <w:vAlign w:val="bottom"/>
            <w:tcBorders>
              <w:bottom w:val="single" w:sz="8" w:color="1A3FD6"/>
            </w:tcBorders>
          </w:tcPr>
          <w:p>
            <w:pPr>
              <w:spacing w:after="0"/>
              <w:rPr>
                <w:sz w:val="24"/>
                <w:szCs w:val="24"/>
                <w:color w:val="auto"/>
              </w:rPr>
            </w:pPr>
          </w:p>
        </w:tc>
        <w:tc>
          <w:tcPr>
            <w:tcW w:w="480" w:type="dxa"/>
            <w:vAlign w:val="bottom"/>
            <w:tcBorders>
              <w:bottom w:val="single" w:sz="8" w:color="1A3FD6"/>
            </w:tcBorders>
          </w:tcPr>
          <w:p>
            <w:pPr>
              <w:spacing w:after="0"/>
              <w:rPr>
                <w:sz w:val="24"/>
                <w:szCs w:val="24"/>
                <w:color w:val="auto"/>
              </w:rPr>
            </w:pPr>
          </w:p>
        </w:tc>
        <w:tc>
          <w:tcPr>
            <w:tcW w:w="440" w:type="dxa"/>
            <w:vAlign w:val="bottom"/>
            <w:tcBorders>
              <w:bottom w:val="single" w:sz="8" w:color="1A3FD6"/>
            </w:tcBorders>
          </w:tcPr>
          <w:p>
            <w:pPr>
              <w:spacing w:after="0"/>
              <w:rPr>
                <w:sz w:val="24"/>
                <w:szCs w:val="24"/>
                <w:color w:val="auto"/>
              </w:rPr>
            </w:pPr>
          </w:p>
        </w:tc>
        <w:tc>
          <w:tcPr>
            <w:tcW w:w="420" w:type="dxa"/>
            <w:vAlign w:val="bottom"/>
            <w:tcBorders>
              <w:bottom w:val="single" w:sz="8" w:color="1A3FD6"/>
            </w:tcBorders>
          </w:tcPr>
          <w:p>
            <w:pPr>
              <w:spacing w:after="0"/>
              <w:rPr>
                <w:sz w:val="24"/>
                <w:szCs w:val="24"/>
                <w:color w:val="auto"/>
              </w:rPr>
            </w:pPr>
          </w:p>
        </w:tc>
        <w:tc>
          <w:tcPr>
            <w:tcW w:w="420" w:type="dxa"/>
            <w:vAlign w:val="bottom"/>
            <w:tcBorders>
              <w:bottom w:val="single" w:sz="8" w:color="1A3FD6"/>
            </w:tcBorders>
          </w:tcPr>
          <w:p>
            <w:pPr>
              <w:spacing w:after="0"/>
              <w:rPr>
                <w:sz w:val="24"/>
                <w:szCs w:val="24"/>
                <w:color w:val="auto"/>
              </w:rPr>
            </w:pPr>
          </w:p>
        </w:tc>
        <w:tc>
          <w:tcPr>
            <w:tcW w:w="420" w:type="dxa"/>
            <w:vAlign w:val="bottom"/>
            <w:tcBorders>
              <w:bottom w:val="single" w:sz="8" w:color="1A3FD6"/>
            </w:tcBorders>
          </w:tcPr>
          <w:p>
            <w:pPr>
              <w:spacing w:after="0"/>
              <w:rPr>
                <w:sz w:val="24"/>
                <w:szCs w:val="24"/>
                <w:color w:val="auto"/>
              </w:rPr>
            </w:pPr>
          </w:p>
        </w:tc>
        <w:tc>
          <w:tcPr>
            <w:tcW w:w="500" w:type="dxa"/>
            <w:vAlign w:val="bottom"/>
            <w:tcBorders>
              <w:bottom w:val="single" w:sz="8" w:color="1A3FD6"/>
            </w:tcBorders>
          </w:tcPr>
          <w:p>
            <w:pPr>
              <w:spacing w:after="0"/>
              <w:rPr>
                <w:sz w:val="24"/>
                <w:szCs w:val="24"/>
                <w:color w:val="auto"/>
              </w:rPr>
            </w:pPr>
          </w:p>
        </w:tc>
        <w:tc>
          <w:tcPr>
            <w:tcW w:w="340" w:type="dxa"/>
            <w:vAlign w:val="bottom"/>
            <w:tcBorders>
              <w:bottom w:val="single" w:sz="8" w:color="1A3FD6"/>
            </w:tcBorders>
          </w:tcPr>
          <w:p>
            <w:pPr>
              <w:spacing w:after="0"/>
              <w:rPr>
                <w:sz w:val="24"/>
                <w:szCs w:val="24"/>
                <w:color w:val="auto"/>
              </w:rPr>
            </w:pPr>
          </w:p>
        </w:tc>
        <w:tc>
          <w:tcPr>
            <w:tcW w:w="20" w:type="dxa"/>
            <w:vAlign w:val="bottom"/>
            <w:tcBorders>
              <w:bottom w:val="single" w:sz="8" w:color="1A3FD6"/>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980" w:type="dxa"/>
            <w:vAlign w:val="bottom"/>
            <w:gridSpan w:val="3"/>
          </w:tcPr>
          <w:p>
            <w:pPr>
              <w:ind w:left="20"/>
              <w:spacing w:after="0" w:line="148" w:lineRule="exact"/>
              <w:rPr>
                <w:sz w:val="20"/>
                <w:szCs w:val="20"/>
                <w:color w:val="auto"/>
              </w:rPr>
            </w:pPr>
            <w:r>
              <w:rPr>
                <w:rFonts w:ascii="Arial" w:cs="Arial" w:eastAsia="Arial" w:hAnsi="Arial"/>
                <w:sz w:val="16"/>
                <w:szCs w:val="16"/>
                <w:color w:val="auto"/>
              </w:rPr>
              <w:t>African American/Black</w:t>
            </w:r>
          </w:p>
        </w:tc>
        <w:tc>
          <w:tcPr>
            <w:tcW w:w="2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vMerge w:val="restart"/>
          </w:tcPr>
          <w:p>
            <w:pPr>
              <w:ind w:left="180"/>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980" w:type="dxa"/>
            <w:vAlign w:val="bottom"/>
            <w:gridSpan w:val="3"/>
            <w:shd w:val="clear" w:color="auto" w:fill="EDF0FC"/>
          </w:tcPr>
          <w:p>
            <w:pPr>
              <w:ind w:left="20"/>
              <w:spacing w:after="0"/>
              <w:rPr>
                <w:sz w:val="20"/>
                <w:szCs w:val="20"/>
                <w:color w:val="auto"/>
              </w:rPr>
            </w:pPr>
            <w:r>
              <w:rPr>
                <w:rFonts w:ascii="Arial" w:cs="Arial" w:eastAsia="Arial" w:hAnsi="Arial"/>
                <w:sz w:val="16"/>
                <w:szCs w:val="16"/>
                <w:color w:val="auto"/>
              </w:rPr>
              <w:t>Alaskan Native/Native American</w:t>
            </w:r>
          </w:p>
        </w:tc>
        <w:tc>
          <w:tcPr>
            <w:tcW w:w="2680" w:type="dxa"/>
            <w:vAlign w:val="bottom"/>
            <w:shd w:val="clear" w:color="auto" w:fill="EDF0FC"/>
          </w:tcPr>
          <w:p>
            <w:pPr>
              <w:spacing w:after="0"/>
              <w:rPr>
                <w:sz w:val="21"/>
                <w:szCs w:val="21"/>
                <w:color w:val="auto"/>
              </w:rPr>
            </w:pPr>
          </w:p>
        </w:tc>
        <w:tc>
          <w:tcPr>
            <w:tcW w:w="260" w:type="dxa"/>
            <w:vAlign w:val="bottom"/>
            <w:shd w:val="clear" w:color="auto" w:fill="EDF0FC"/>
          </w:tcPr>
          <w:p>
            <w:pPr>
              <w:spacing w:after="0"/>
              <w:rPr>
                <w:sz w:val="21"/>
                <w:szCs w:val="21"/>
                <w:color w:val="auto"/>
              </w:rPr>
            </w:pPr>
          </w:p>
        </w:tc>
        <w:tc>
          <w:tcPr>
            <w:tcW w:w="680" w:type="dxa"/>
            <w:vAlign w:val="bottom"/>
            <w:shd w:val="clear" w:color="auto" w:fill="EDF0FC"/>
          </w:tcPr>
          <w:p>
            <w:pPr>
              <w:spacing w:after="0"/>
              <w:rPr>
                <w:sz w:val="21"/>
                <w:szCs w:val="21"/>
                <w:color w:val="auto"/>
              </w:rPr>
            </w:pPr>
          </w:p>
        </w:tc>
        <w:tc>
          <w:tcPr>
            <w:tcW w:w="420" w:type="dxa"/>
            <w:vAlign w:val="bottom"/>
            <w:shd w:val="clear" w:color="auto" w:fill="EDF0FC"/>
          </w:tcPr>
          <w:p>
            <w:pPr>
              <w:spacing w:after="0"/>
              <w:rPr>
                <w:sz w:val="21"/>
                <w:szCs w:val="21"/>
                <w:color w:val="auto"/>
              </w:rPr>
            </w:pPr>
          </w:p>
        </w:tc>
        <w:tc>
          <w:tcPr>
            <w:tcW w:w="420" w:type="dxa"/>
            <w:vAlign w:val="bottom"/>
            <w:shd w:val="clear" w:color="auto" w:fill="EDF0FC"/>
          </w:tcPr>
          <w:p>
            <w:pPr>
              <w:spacing w:after="0"/>
              <w:rPr>
                <w:sz w:val="21"/>
                <w:szCs w:val="21"/>
                <w:color w:val="auto"/>
              </w:rPr>
            </w:pPr>
          </w:p>
        </w:tc>
        <w:tc>
          <w:tcPr>
            <w:tcW w:w="420" w:type="dxa"/>
            <w:vAlign w:val="bottom"/>
            <w:shd w:val="clear" w:color="auto" w:fill="EDF0FC"/>
          </w:tcPr>
          <w:p>
            <w:pPr>
              <w:spacing w:after="0"/>
              <w:rPr>
                <w:sz w:val="21"/>
                <w:szCs w:val="21"/>
                <w:color w:val="auto"/>
              </w:rPr>
            </w:pPr>
          </w:p>
        </w:tc>
        <w:tc>
          <w:tcPr>
            <w:tcW w:w="340" w:type="dxa"/>
            <w:vAlign w:val="bottom"/>
            <w:shd w:val="clear" w:color="auto" w:fill="EDF0FC"/>
          </w:tcPr>
          <w:p>
            <w:pPr>
              <w:spacing w:after="0"/>
              <w:rPr>
                <w:sz w:val="21"/>
                <w:szCs w:val="21"/>
                <w:color w:val="auto"/>
              </w:rPr>
            </w:pPr>
          </w:p>
        </w:tc>
        <w:tc>
          <w:tcPr>
            <w:tcW w:w="480" w:type="dxa"/>
            <w:vAlign w:val="bottom"/>
            <w:shd w:val="clear" w:color="auto" w:fill="EDF0FC"/>
          </w:tcPr>
          <w:p>
            <w:pPr>
              <w:spacing w:after="0"/>
              <w:rPr>
                <w:sz w:val="21"/>
                <w:szCs w:val="21"/>
                <w:color w:val="auto"/>
              </w:rPr>
            </w:pPr>
          </w:p>
        </w:tc>
        <w:tc>
          <w:tcPr>
            <w:tcW w:w="440" w:type="dxa"/>
            <w:vAlign w:val="bottom"/>
            <w:shd w:val="clear" w:color="auto" w:fill="EDF0FC"/>
          </w:tcPr>
          <w:p>
            <w:pPr>
              <w:spacing w:after="0"/>
              <w:rPr>
                <w:sz w:val="21"/>
                <w:szCs w:val="21"/>
                <w:color w:val="auto"/>
              </w:rPr>
            </w:pPr>
          </w:p>
        </w:tc>
        <w:tc>
          <w:tcPr>
            <w:tcW w:w="420" w:type="dxa"/>
            <w:vAlign w:val="bottom"/>
            <w:shd w:val="clear" w:color="auto" w:fill="EDF0FC"/>
          </w:tcPr>
          <w:p>
            <w:pPr>
              <w:spacing w:after="0"/>
              <w:rPr>
                <w:sz w:val="21"/>
                <w:szCs w:val="21"/>
                <w:color w:val="auto"/>
              </w:rPr>
            </w:pPr>
          </w:p>
        </w:tc>
        <w:tc>
          <w:tcPr>
            <w:tcW w:w="420" w:type="dxa"/>
            <w:vAlign w:val="bottom"/>
            <w:shd w:val="clear" w:color="auto" w:fill="EDF0FC"/>
          </w:tcPr>
          <w:p>
            <w:pPr>
              <w:spacing w:after="0"/>
              <w:rPr>
                <w:sz w:val="21"/>
                <w:szCs w:val="21"/>
                <w:color w:val="auto"/>
              </w:rPr>
            </w:pPr>
          </w:p>
        </w:tc>
        <w:tc>
          <w:tcPr>
            <w:tcW w:w="420" w:type="dxa"/>
            <w:vAlign w:val="bottom"/>
            <w:shd w:val="clear" w:color="auto" w:fill="EDF0FC"/>
          </w:tcPr>
          <w:p>
            <w:pPr>
              <w:spacing w:after="0"/>
              <w:rPr>
                <w:sz w:val="21"/>
                <w:szCs w:val="21"/>
                <w:color w:val="auto"/>
              </w:rPr>
            </w:pPr>
          </w:p>
        </w:tc>
        <w:tc>
          <w:tcPr>
            <w:tcW w:w="500" w:type="dxa"/>
            <w:vAlign w:val="bottom"/>
            <w:shd w:val="clear" w:color="auto" w:fill="EDF0FC"/>
          </w:tcPr>
          <w:p>
            <w:pPr>
              <w:spacing w:after="0"/>
              <w:rPr>
                <w:sz w:val="21"/>
                <w:szCs w:val="21"/>
                <w:color w:val="auto"/>
              </w:rPr>
            </w:pPr>
          </w:p>
        </w:tc>
        <w:tc>
          <w:tcPr>
            <w:tcW w:w="340" w:type="dxa"/>
            <w:vAlign w:val="bottom"/>
            <w:shd w:val="clear" w:color="auto" w:fill="EDF0FC"/>
          </w:tcPr>
          <w:p>
            <w:pPr>
              <w:spacing w:after="0"/>
              <w:rPr>
                <w:sz w:val="21"/>
                <w:szCs w:val="21"/>
                <w:color w:val="auto"/>
              </w:rPr>
            </w:pPr>
          </w:p>
        </w:tc>
        <w:tc>
          <w:tcPr>
            <w:tcW w:w="20" w:type="dxa"/>
            <w:vAlign w:val="bottom"/>
            <w:shd w:val="clear" w:color="auto" w:fill="EDF0FC"/>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980" w:type="dxa"/>
            <w:vAlign w:val="bottom"/>
            <w:gridSpan w:val="3"/>
          </w:tcPr>
          <w:p>
            <w:pPr>
              <w:ind w:left="20"/>
              <w:spacing w:after="0" w:line="148" w:lineRule="exact"/>
              <w:rPr>
                <w:sz w:val="20"/>
                <w:szCs w:val="20"/>
                <w:color w:val="auto"/>
              </w:rPr>
            </w:pPr>
            <w:r>
              <w:rPr>
                <w:rFonts w:ascii="Arial" w:cs="Arial" w:eastAsia="Arial" w:hAnsi="Arial"/>
                <w:sz w:val="16"/>
                <w:szCs w:val="16"/>
                <w:color w:val="auto"/>
              </w:rPr>
              <w:t>Asian/South Asian</w:t>
            </w:r>
          </w:p>
        </w:tc>
        <w:tc>
          <w:tcPr>
            <w:tcW w:w="2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vMerge w:val="restart"/>
          </w:tcPr>
          <w:p>
            <w:pPr>
              <w:ind w:left="180"/>
              <w:spacing w:after="0"/>
              <w:rPr>
                <w:sz w:val="20"/>
                <w:szCs w:val="20"/>
                <w:color w:val="auto"/>
              </w:rPr>
            </w:pPr>
            <w:r>
              <w:rPr>
                <w:rFonts w:ascii="Webdings" w:cs="Webdings" w:eastAsia="Webdings" w:hAnsi="Webdings"/>
                <w:sz w:val="11"/>
                <w:szCs w:val="11"/>
                <w:b w:val="1"/>
                <w:bCs w:val="1"/>
                <w:color w:val="0626A9"/>
              </w:rPr>
              <w:t>n</w:t>
            </w:r>
          </w:p>
        </w:tc>
        <w:tc>
          <w:tcPr>
            <w:tcW w:w="500" w:type="dxa"/>
            <w:vAlign w:val="bottom"/>
          </w:tcPr>
          <w:p>
            <w:pPr>
              <w:spacing w:after="0"/>
              <w:rPr>
                <w:sz w:val="12"/>
                <w:szCs w:val="12"/>
                <w:color w:val="auto"/>
              </w:rPr>
            </w:pPr>
          </w:p>
        </w:tc>
        <w:tc>
          <w:tcPr>
            <w:tcW w:w="360" w:type="dxa"/>
            <w:vAlign w:val="bottom"/>
            <w:gridSpan w:val="2"/>
            <w:vMerge w:val="restart"/>
          </w:tcPr>
          <w:p>
            <w:pPr>
              <w:ind w:left="100"/>
              <w:spacing w:after="0"/>
              <w:rPr>
                <w:sz w:val="20"/>
                <w:szCs w:val="20"/>
                <w:color w:val="auto"/>
              </w:rPr>
            </w:pPr>
            <w:r>
              <w:rPr>
                <w:rFonts w:ascii="Webdings" w:cs="Webdings" w:eastAsia="Webdings" w:hAnsi="Webdings"/>
                <w:sz w:val="11"/>
                <w:szCs w:val="11"/>
                <w:b w:val="1"/>
                <w:bCs w:val="1"/>
                <w:color w:val="0626A9"/>
              </w:rPr>
              <w:t>n</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980" w:type="dxa"/>
            <w:vAlign w:val="bottom"/>
            <w:gridSpan w:val="3"/>
            <w:shd w:val="clear" w:color="auto" w:fill="EDF0FC"/>
          </w:tcPr>
          <w:p>
            <w:pPr>
              <w:ind w:left="20"/>
              <w:spacing w:after="0" w:line="148" w:lineRule="exact"/>
              <w:rPr>
                <w:sz w:val="20"/>
                <w:szCs w:val="20"/>
                <w:color w:val="auto"/>
              </w:rPr>
            </w:pPr>
            <w:r>
              <w:rPr>
                <w:rFonts w:ascii="Arial" w:cs="Arial" w:eastAsia="Arial" w:hAnsi="Arial"/>
                <w:sz w:val="16"/>
                <w:szCs w:val="16"/>
                <w:color w:val="auto"/>
              </w:rPr>
              <w:t>Caucasian/White</w:t>
            </w:r>
          </w:p>
        </w:tc>
        <w:tc>
          <w:tcPr>
            <w:tcW w:w="2680" w:type="dxa"/>
            <w:vAlign w:val="bottom"/>
            <w:shd w:val="clear" w:color="auto" w:fill="EDF0FC"/>
          </w:tcPr>
          <w:p>
            <w:pPr>
              <w:spacing w:after="0"/>
              <w:rPr>
                <w:sz w:val="12"/>
                <w:szCs w:val="12"/>
                <w:color w:val="auto"/>
              </w:rPr>
            </w:pPr>
          </w:p>
        </w:tc>
        <w:tc>
          <w:tcPr>
            <w:tcW w:w="260" w:type="dxa"/>
            <w:vAlign w:val="bottom"/>
            <w:shd w:val="clear" w:color="auto" w:fill="EDF0FC"/>
          </w:tcPr>
          <w:p>
            <w:pPr>
              <w:spacing w:after="0"/>
              <w:rPr>
                <w:sz w:val="12"/>
                <w:szCs w:val="12"/>
                <w:color w:val="auto"/>
              </w:rPr>
            </w:pPr>
          </w:p>
        </w:tc>
        <w:tc>
          <w:tcPr>
            <w:tcW w:w="680" w:type="dxa"/>
            <w:vAlign w:val="bottom"/>
            <w:vMerge w:val="restart"/>
            <w:shd w:val="clear" w:color="auto" w:fill="EDF0FC"/>
          </w:tcPr>
          <w:p>
            <w:pPr>
              <w:jc w:val="center"/>
              <w:ind w:left="301"/>
              <w:spacing w:after="0"/>
              <w:rPr>
                <w:sz w:val="20"/>
                <w:szCs w:val="20"/>
                <w:color w:val="auto"/>
              </w:rPr>
            </w:pPr>
            <w:r>
              <w:rPr>
                <w:rFonts w:ascii="Webdings" w:cs="Webdings" w:eastAsia="Webdings" w:hAnsi="Webdings"/>
                <w:sz w:val="11"/>
                <w:szCs w:val="11"/>
                <w:b w:val="1"/>
                <w:bCs w:val="1"/>
                <w:color w:val="0626A9"/>
                <w:w w:val="90"/>
              </w:rPr>
              <w:t>n</w:t>
            </w:r>
          </w:p>
        </w:tc>
        <w:tc>
          <w:tcPr>
            <w:tcW w:w="420" w:type="dxa"/>
            <w:vAlign w:val="bottom"/>
            <w:shd w:val="clear" w:color="auto" w:fill="EDF0FC"/>
          </w:tcPr>
          <w:p>
            <w:pPr>
              <w:spacing w:after="0"/>
              <w:rPr>
                <w:sz w:val="12"/>
                <w:szCs w:val="12"/>
                <w:color w:val="auto"/>
              </w:rPr>
            </w:pPr>
          </w:p>
        </w:tc>
        <w:tc>
          <w:tcPr>
            <w:tcW w:w="420" w:type="dxa"/>
            <w:vAlign w:val="bottom"/>
            <w:vMerge w:val="restart"/>
            <w:shd w:val="clear" w:color="auto" w:fill="EDF0FC"/>
          </w:tcPr>
          <w:p>
            <w:pPr>
              <w:ind w:left="200"/>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vMerge w:val="restart"/>
            <w:shd w:val="clear" w:color="auto" w:fill="EDF0FC"/>
          </w:tcPr>
          <w:p>
            <w:pPr>
              <w:ind w:left="180"/>
              <w:spacing w:after="0"/>
              <w:rPr>
                <w:sz w:val="20"/>
                <w:szCs w:val="20"/>
                <w:color w:val="auto"/>
              </w:rPr>
            </w:pPr>
            <w:r>
              <w:rPr>
                <w:rFonts w:ascii="Webdings" w:cs="Webdings" w:eastAsia="Webdings" w:hAnsi="Webdings"/>
                <w:sz w:val="11"/>
                <w:szCs w:val="11"/>
                <w:b w:val="1"/>
                <w:bCs w:val="1"/>
                <w:color w:val="0626A9"/>
              </w:rPr>
              <w:t>n</w:t>
            </w:r>
          </w:p>
        </w:tc>
        <w:tc>
          <w:tcPr>
            <w:tcW w:w="340" w:type="dxa"/>
            <w:vAlign w:val="bottom"/>
            <w:vMerge w:val="restart"/>
            <w:shd w:val="clear" w:color="auto" w:fill="EDF0FC"/>
          </w:tcPr>
          <w:p>
            <w:pPr>
              <w:jc w:val="right"/>
              <w:spacing w:after="0"/>
              <w:rPr>
                <w:sz w:val="20"/>
                <w:szCs w:val="20"/>
                <w:color w:val="auto"/>
              </w:rPr>
            </w:pPr>
            <w:r>
              <w:rPr>
                <w:rFonts w:ascii="Webdings" w:cs="Webdings" w:eastAsia="Webdings" w:hAnsi="Webdings"/>
                <w:sz w:val="11"/>
                <w:szCs w:val="11"/>
                <w:b w:val="1"/>
                <w:bCs w:val="1"/>
                <w:color w:val="0626A9"/>
              </w:rPr>
              <w:t>n</w:t>
            </w:r>
          </w:p>
        </w:tc>
        <w:tc>
          <w:tcPr>
            <w:tcW w:w="480" w:type="dxa"/>
            <w:vAlign w:val="bottom"/>
            <w:vMerge w:val="restart"/>
            <w:shd w:val="clear" w:color="auto" w:fill="EDF0FC"/>
          </w:tcPr>
          <w:p>
            <w:pPr>
              <w:jc w:val="center"/>
              <w:ind w:left="99"/>
              <w:spacing w:after="0"/>
              <w:rPr>
                <w:sz w:val="20"/>
                <w:szCs w:val="20"/>
                <w:color w:val="auto"/>
              </w:rPr>
            </w:pPr>
            <w:r>
              <w:rPr>
                <w:rFonts w:ascii="Webdings" w:cs="Webdings" w:eastAsia="Webdings" w:hAnsi="Webdings"/>
                <w:sz w:val="11"/>
                <w:szCs w:val="11"/>
                <w:b w:val="1"/>
                <w:bCs w:val="1"/>
                <w:color w:val="0626A9"/>
              </w:rPr>
              <w:t>n</w:t>
            </w:r>
          </w:p>
        </w:tc>
        <w:tc>
          <w:tcPr>
            <w:tcW w:w="440" w:type="dxa"/>
            <w:vAlign w:val="bottom"/>
            <w:vMerge w:val="restart"/>
            <w:shd w:val="clear" w:color="auto" w:fill="EDF0FC"/>
          </w:tcPr>
          <w:p>
            <w:pPr>
              <w:jc w:val="center"/>
              <w:ind w:left="16"/>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vMerge w:val="restart"/>
            <w:shd w:val="clear" w:color="auto" w:fill="EDF0FC"/>
          </w:tcPr>
          <w:p>
            <w:pPr>
              <w:jc w:val="right"/>
              <w:ind w:right="59"/>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shd w:val="clear" w:color="auto" w:fill="EDF0FC"/>
          </w:tcPr>
          <w:p>
            <w:pPr>
              <w:spacing w:after="0"/>
              <w:rPr>
                <w:sz w:val="12"/>
                <w:szCs w:val="12"/>
                <w:color w:val="auto"/>
              </w:rPr>
            </w:pPr>
          </w:p>
        </w:tc>
        <w:tc>
          <w:tcPr>
            <w:tcW w:w="420" w:type="dxa"/>
            <w:vAlign w:val="bottom"/>
            <w:shd w:val="clear" w:color="auto" w:fill="EDF0FC"/>
          </w:tcPr>
          <w:p>
            <w:pPr>
              <w:spacing w:after="0"/>
              <w:rPr>
                <w:sz w:val="12"/>
                <w:szCs w:val="12"/>
                <w:color w:val="auto"/>
              </w:rPr>
            </w:pPr>
          </w:p>
        </w:tc>
        <w:tc>
          <w:tcPr>
            <w:tcW w:w="500" w:type="dxa"/>
            <w:vAlign w:val="bottom"/>
            <w:vMerge w:val="restart"/>
            <w:shd w:val="clear" w:color="auto" w:fill="EDF0FC"/>
          </w:tcPr>
          <w:p>
            <w:pPr>
              <w:ind w:left="180"/>
              <w:spacing w:after="0"/>
              <w:rPr>
                <w:sz w:val="20"/>
                <w:szCs w:val="20"/>
                <w:color w:val="auto"/>
              </w:rPr>
            </w:pPr>
            <w:r>
              <w:rPr>
                <w:rFonts w:ascii="Webdings" w:cs="Webdings" w:eastAsia="Webdings" w:hAnsi="Webdings"/>
                <w:sz w:val="11"/>
                <w:szCs w:val="11"/>
                <w:b w:val="1"/>
                <w:bCs w:val="1"/>
                <w:color w:val="0626A9"/>
              </w:rPr>
              <w:t>n</w:t>
            </w:r>
          </w:p>
        </w:tc>
        <w:tc>
          <w:tcPr>
            <w:tcW w:w="340" w:type="dxa"/>
            <w:vAlign w:val="bottom"/>
            <w:shd w:val="clear" w:color="auto" w:fill="EDF0FC"/>
          </w:tcPr>
          <w:p>
            <w:pPr>
              <w:spacing w:after="0"/>
              <w:rPr>
                <w:sz w:val="12"/>
                <w:szCs w:val="12"/>
                <w:color w:val="auto"/>
              </w:rPr>
            </w:pPr>
          </w:p>
        </w:tc>
        <w:tc>
          <w:tcPr>
            <w:tcW w:w="20" w:type="dxa"/>
            <w:vAlign w:val="bottom"/>
            <w:shd w:val="clear" w:color="auto" w:fill="ED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EDF0FC"/>
          </w:tcPr>
          <w:p>
            <w:pPr>
              <w:spacing w:after="0" w:line="20" w:lineRule="exact"/>
              <w:rPr>
                <w:sz w:val="1"/>
                <w:szCs w:val="1"/>
                <w:color w:val="auto"/>
              </w:rPr>
            </w:pPr>
          </w:p>
        </w:tc>
        <w:tc>
          <w:tcPr>
            <w:tcW w:w="260" w:type="dxa"/>
            <w:vAlign w:val="bottom"/>
            <w:shd w:val="clear" w:color="auto" w:fill="EDF0FC"/>
          </w:tcPr>
          <w:p>
            <w:pPr>
              <w:spacing w:after="0" w:line="20" w:lineRule="exact"/>
              <w:rPr>
                <w:sz w:val="1"/>
                <w:szCs w:val="1"/>
                <w:color w:val="auto"/>
              </w:rPr>
            </w:pPr>
          </w:p>
        </w:tc>
        <w:tc>
          <w:tcPr>
            <w:tcW w:w="20" w:type="dxa"/>
            <w:vAlign w:val="bottom"/>
            <w:shd w:val="clear" w:color="auto" w:fill="EDF0FC"/>
          </w:tcPr>
          <w:p>
            <w:pPr>
              <w:spacing w:after="0" w:line="20" w:lineRule="exact"/>
              <w:rPr>
                <w:sz w:val="1"/>
                <w:szCs w:val="1"/>
                <w:color w:val="auto"/>
              </w:rPr>
            </w:pPr>
          </w:p>
        </w:tc>
        <w:tc>
          <w:tcPr>
            <w:tcW w:w="2680" w:type="dxa"/>
            <w:vAlign w:val="bottom"/>
            <w:shd w:val="clear" w:color="auto" w:fill="EDF0FC"/>
          </w:tcPr>
          <w:p>
            <w:pPr>
              <w:spacing w:after="0" w:line="20" w:lineRule="exact"/>
              <w:rPr>
                <w:sz w:val="1"/>
                <w:szCs w:val="1"/>
                <w:color w:val="auto"/>
              </w:rPr>
            </w:pPr>
          </w:p>
        </w:tc>
        <w:tc>
          <w:tcPr>
            <w:tcW w:w="260" w:type="dxa"/>
            <w:vAlign w:val="bottom"/>
            <w:shd w:val="clear" w:color="auto" w:fill="EDF0FC"/>
          </w:tcPr>
          <w:p>
            <w:pPr>
              <w:spacing w:after="0" w:line="20" w:lineRule="exact"/>
              <w:rPr>
                <w:sz w:val="1"/>
                <w:szCs w:val="1"/>
                <w:color w:val="auto"/>
              </w:rPr>
            </w:pPr>
          </w:p>
        </w:tc>
        <w:tc>
          <w:tcPr>
            <w:tcW w:w="680" w:type="dxa"/>
            <w:vAlign w:val="bottom"/>
            <w:vMerge w:val="continue"/>
            <w:shd w:val="clear" w:color="auto" w:fill="EDF0FC"/>
          </w:tcPr>
          <w:p>
            <w:pPr>
              <w:spacing w:after="0" w:line="20" w:lineRule="exact"/>
              <w:rPr>
                <w:sz w:val="1"/>
                <w:szCs w:val="1"/>
                <w:color w:val="auto"/>
              </w:rPr>
            </w:pPr>
          </w:p>
        </w:tc>
        <w:tc>
          <w:tcPr>
            <w:tcW w:w="420" w:type="dxa"/>
            <w:vAlign w:val="bottom"/>
            <w:shd w:val="clear" w:color="auto" w:fill="EDF0FC"/>
          </w:tcPr>
          <w:p>
            <w:pPr>
              <w:spacing w:after="0" w:line="20" w:lineRule="exact"/>
              <w:rPr>
                <w:sz w:val="1"/>
                <w:szCs w:val="1"/>
                <w:color w:val="auto"/>
              </w:rPr>
            </w:pPr>
          </w:p>
        </w:tc>
        <w:tc>
          <w:tcPr>
            <w:tcW w:w="420" w:type="dxa"/>
            <w:vAlign w:val="bottom"/>
            <w:vMerge w:val="continue"/>
            <w:shd w:val="clear" w:color="auto" w:fill="EDF0FC"/>
          </w:tcPr>
          <w:p>
            <w:pPr>
              <w:spacing w:after="0" w:line="20" w:lineRule="exact"/>
              <w:rPr>
                <w:sz w:val="1"/>
                <w:szCs w:val="1"/>
                <w:color w:val="auto"/>
              </w:rPr>
            </w:pPr>
          </w:p>
        </w:tc>
        <w:tc>
          <w:tcPr>
            <w:tcW w:w="420" w:type="dxa"/>
            <w:vAlign w:val="bottom"/>
            <w:vMerge w:val="continue"/>
            <w:shd w:val="clear" w:color="auto" w:fill="EDF0FC"/>
          </w:tcPr>
          <w:p>
            <w:pPr>
              <w:spacing w:after="0" w:line="20" w:lineRule="exact"/>
              <w:rPr>
                <w:sz w:val="1"/>
                <w:szCs w:val="1"/>
                <w:color w:val="auto"/>
              </w:rPr>
            </w:pPr>
          </w:p>
        </w:tc>
        <w:tc>
          <w:tcPr>
            <w:tcW w:w="340" w:type="dxa"/>
            <w:vAlign w:val="bottom"/>
            <w:vMerge w:val="continue"/>
            <w:shd w:val="clear" w:color="auto" w:fill="EDF0FC"/>
          </w:tcPr>
          <w:p>
            <w:pPr>
              <w:spacing w:after="0" w:line="20" w:lineRule="exact"/>
              <w:rPr>
                <w:sz w:val="1"/>
                <w:szCs w:val="1"/>
                <w:color w:val="auto"/>
              </w:rPr>
            </w:pPr>
          </w:p>
        </w:tc>
        <w:tc>
          <w:tcPr>
            <w:tcW w:w="480" w:type="dxa"/>
            <w:vAlign w:val="bottom"/>
            <w:vMerge w:val="continue"/>
            <w:shd w:val="clear" w:color="auto" w:fill="EDF0FC"/>
          </w:tcPr>
          <w:p>
            <w:pPr>
              <w:spacing w:after="0" w:line="20" w:lineRule="exact"/>
              <w:rPr>
                <w:sz w:val="1"/>
                <w:szCs w:val="1"/>
                <w:color w:val="auto"/>
              </w:rPr>
            </w:pPr>
          </w:p>
        </w:tc>
        <w:tc>
          <w:tcPr>
            <w:tcW w:w="440" w:type="dxa"/>
            <w:vAlign w:val="bottom"/>
            <w:vMerge w:val="continue"/>
            <w:shd w:val="clear" w:color="auto" w:fill="EDF0FC"/>
          </w:tcPr>
          <w:p>
            <w:pPr>
              <w:spacing w:after="0" w:line="20" w:lineRule="exact"/>
              <w:rPr>
                <w:sz w:val="1"/>
                <w:szCs w:val="1"/>
                <w:color w:val="auto"/>
              </w:rPr>
            </w:pPr>
          </w:p>
        </w:tc>
        <w:tc>
          <w:tcPr>
            <w:tcW w:w="420" w:type="dxa"/>
            <w:vAlign w:val="bottom"/>
            <w:vMerge w:val="continue"/>
            <w:shd w:val="clear" w:color="auto" w:fill="EDF0FC"/>
          </w:tcPr>
          <w:p>
            <w:pPr>
              <w:spacing w:after="0" w:line="20" w:lineRule="exact"/>
              <w:rPr>
                <w:sz w:val="1"/>
                <w:szCs w:val="1"/>
                <w:color w:val="auto"/>
              </w:rPr>
            </w:pPr>
          </w:p>
        </w:tc>
        <w:tc>
          <w:tcPr>
            <w:tcW w:w="420" w:type="dxa"/>
            <w:vAlign w:val="bottom"/>
            <w:shd w:val="clear" w:color="auto" w:fill="EDF0FC"/>
          </w:tcPr>
          <w:p>
            <w:pPr>
              <w:spacing w:after="0" w:line="20" w:lineRule="exact"/>
              <w:rPr>
                <w:sz w:val="1"/>
                <w:szCs w:val="1"/>
                <w:color w:val="auto"/>
              </w:rPr>
            </w:pPr>
          </w:p>
        </w:tc>
        <w:tc>
          <w:tcPr>
            <w:tcW w:w="420" w:type="dxa"/>
            <w:vAlign w:val="bottom"/>
            <w:shd w:val="clear" w:color="auto" w:fill="EDF0FC"/>
          </w:tcPr>
          <w:p>
            <w:pPr>
              <w:spacing w:after="0" w:line="20" w:lineRule="exact"/>
              <w:rPr>
                <w:sz w:val="1"/>
                <w:szCs w:val="1"/>
                <w:color w:val="auto"/>
              </w:rPr>
            </w:pPr>
          </w:p>
        </w:tc>
        <w:tc>
          <w:tcPr>
            <w:tcW w:w="500" w:type="dxa"/>
            <w:vAlign w:val="bottom"/>
            <w:vMerge w:val="continue"/>
            <w:shd w:val="clear" w:color="auto" w:fill="EDF0FC"/>
          </w:tcPr>
          <w:p>
            <w:pPr>
              <w:spacing w:after="0" w:line="20" w:lineRule="exact"/>
              <w:rPr>
                <w:sz w:val="1"/>
                <w:szCs w:val="1"/>
                <w:color w:val="auto"/>
              </w:rPr>
            </w:pPr>
          </w:p>
        </w:tc>
        <w:tc>
          <w:tcPr>
            <w:tcW w:w="340" w:type="dxa"/>
            <w:vAlign w:val="bottom"/>
            <w:shd w:val="clear" w:color="auto" w:fill="EDF0FC"/>
          </w:tcPr>
          <w:p>
            <w:pPr>
              <w:spacing w:after="0" w:line="20" w:lineRule="exact"/>
              <w:rPr>
                <w:sz w:val="1"/>
                <w:szCs w:val="1"/>
                <w:color w:val="auto"/>
              </w:rPr>
            </w:pPr>
          </w:p>
        </w:tc>
        <w:tc>
          <w:tcPr>
            <w:tcW w:w="20" w:type="dxa"/>
            <w:vAlign w:val="bottom"/>
            <w:shd w:val="clear" w:color="auto" w:fill="ED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700" w:type="dxa"/>
            <w:vAlign w:val="bottom"/>
            <w:shd w:val="clear" w:color="auto" w:fill="EDF0FC"/>
          </w:tcPr>
          <w:p>
            <w:pPr>
              <w:spacing w:after="0"/>
              <w:rPr>
                <w:sz w:val="6"/>
                <w:szCs w:val="6"/>
                <w:color w:val="auto"/>
              </w:rPr>
            </w:pPr>
          </w:p>
        </w:tc>
        <w:tc>
          <w:tcPr>
            <w:tcW w:w="260" w:type="dxa"/>
            <w:vAlign w:val="bottom"/>
            <w:shd w:val="clear" w:color="auto" w:fill="EDF0FC"/>
          </w:tcPr>
          <w:p>
            <w:pPr>
              <w:spacing w:after="0"/>
              <w:rPr>
                <w:sz w:val="6"/>
                <w:szCs w:val="6"/>
                <w:color w:val="auto"/>
              </w:rPr>
            </w:pPr>
          </w:p>
        </w:tc>
        <w:tc>
          <w:tcPr>
            <w:tcW w:w="20" w:type="dxa"/>
            <w:vAlign w:val="bottom"/>
            <w:shd w:val="clear" w:color="auto" w:fill="EDF0FC"/>
          </w:tcPr>
          <w:p>
            <w:pPr>
              <w:spacing w:after="0"/>
              <w:rPr>
                <w:sz w:val="6"/>
                <w:szCs w:val="6"/>
                <w:color w:val="auto"/>
              </w:rPr>
            </w:pPr>
          </w:p>
        </w:tc>
        <w:tc>
          <w:tcPr>
            <w:tcW w:w="2680" w:type="dxa"/>
            <w:vAlign w:val="bottom"/>
            <w:shd w:val="clear" w:color="auto" w:fill="EDF0FC"/>
          </w:tcPr>
          <w:p>
            <w:pPr>
              <w:spacing w:after="0"/>
              <w:rPr>
                <w:sz w:val="6"/>
                <w:szCs w:val="6"/>
                <w:color w:val="auto"/>
              </w:rPr>
            </w:pPr>
          </w:p>
        </w:tc>
        <w:tc>
          <w:tcPr>
            <w:tcW w:w="260" w:type="dxa"/>
            <w:vAlign w:val="bottom"/>
            <w:shd w:val="clear" w:color="auto" w:fill="EDF0FC"/>
          </w:tcPr>
          <w:p>
            <w:pPr>
              <w:spacing w:after="0"/>
              <w:rPr>
                <w:sz w:val="6"/>
                <w:szCs w:val="6"/>
                <w:color w:val="auto"/>
              </w:rPr>
            </w:pPr>
          </w:p>
        </w:tc>
        <w:tc>
          <w:tcPr>
            <w:tcW w:w="68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340" w:type="dxa"/>
            <w:vAlign w:val="bottom"/>
            <w:shd w:val="clear" w:color="auto" w:fill="EDF0FC"/>
          </w:tcPr>
          <w:p>
            <w:pPr>
              <w:spacing w:after="0"/>
              <w:rPr>
                <w:sz w:val="6"/>
                <w:szCs w:val="6"/>
                <w:color w:val="auto"/>
              </w:rPr>
            </w:pPr>
          </w:p>
        </w:tc>
        <w:tc>
          <w:tcPr>
            <w:tcW w:w="480" w:type="dxa"/>
            <w:vAlign w:val="bottom"/>
            <w:shd w:val="clear" w:color="auto" w:fill="EDF0FC"/>
          </w:tcPr>
          <w:p>
            <w:pPr>
              <w:spacing w:after="0"/>
              <w:rPr>
                <w:sz w:val="6"/>
                <w:szCs w:val="6"/>
                <w:color w:val="auto"/>
              </w:rPr>
            </w:pPr>
          </w:p>
        </w:tc>
        <w:tc>
          <w:tcPr>
            <w:tcW w:w="44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420" w:type="dxa"/>
            <w:vAlign w:val="bottom"/>
            <w:shd w:val="clear" w:color="auto" w:fill="EDF0FC"/>
          </w:tcPr>
          <w:p>
            <w:pPr>
              <w:spacing w:after="0"/>
              <w:rPr>
                <w:sz w:val="6"/>
                <w:szCs w:val="6"/>
                <w:color w:val="auto"/>
              </w:rPr>
            </w:pPr>
          </w:p>
        </w:tc>
        <w:tc>
          <w:tcPr>
            <w:tcW w:w="500" w:type="dxa"/>
            <w:vAlign w:val="bottom"/>
            <w:shd w:val="clear" w:color="auto" w:fill="EDF0FC"/>
          </w:tcPr>
          <w:p>
            <w:pPr>
              <w:spacing w:after="0"/>
              <w:rPr>
                <w:sz w:val="6"/>
                <w:szCs w:val="6"/>
                <w:color w:val="auto"/>
              </w:rPr>
            </w:pPr>
          </w:p>
        </w:tc>
        <w:tc>
          <w:tcPr>
            <w:tcW w:w="340" w:type="dxa"/>
            <w:vAlign w:val="bottom"/>
            <w:shd w:val="clear" w:color="auto" w:fill="EDF0FC"/>
          </w:tcPr>
          <w:p>
            <w:pPr>
              <w:spacing w:after="0"/>
              <w:rPr>
                <w:sz w:val="6"/>
                <w:szCs w:val="6"/>
                <w:color w:val="auto"/>
              </w:rPr>
            </w:pPr>
          </w:p>
        </w:tc>
        <w:tc>
          <w:tcPr>
            <w:tcW w:w="20" w:type="dxa"/>
            <w:vAlign w:val="bottom"/>
            <w:shd w:val="clear" w:color="auto" w:fill="EDF0FC"/>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980" w:type="dxa"/>
            <w:vAlign w:val="bottom"/>
            <w:gridSpan w:val="3"/>
          </w:tcPr>
          <w:p>
            <w:pPr>
              <w:ind w:left="20"/>
              <w:spacing w:after="0" w:line="148" w:lineRule="exact"/>
              <w:rPr>
                <w:sz w:val="20"/>
                <w:szCs w:val="20"/>
                <w:color w:val="auto"/>
              </w:rPr>
            </w:pPr>
            <w:r>
              <w:rPr>
                <w:rFonts w:ascii="Arial" w:cs="Arial" w:eastAsia="Arial" w:hAnsi="Arial"/>
                <w:sz w:val="16"/>
                <w:szCs w:val="16"/>
                <w:color w:val="auto"/>
              </w:rPr>
              <w:t>Hispanic/Latino</w:t>
            </w:r>
          </w:p>
        </w:tc>
        <w:tc>
          <w:tcPr>
            <w:tcW w:w="2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vMerge w:val="restart"/>
          </w:tcPr>
          <w:p>
            <w:pPr>
              <w:ind w:left="200"/>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980" w:type="dxa"/>
            <w:vAlign w:val="bottom"/>
            <w:gridSpan w:val="3"/>
            <w:shd w:val="clear" w:color="auto" w:fill="EDF0FC"/>
          </w:tcPr>
          <w:p>
            <w:pPr>
              <w:ind w:left="20"/>
              <w:spacing w:after="0"/>
              <w:rPr>
                <w:sz w:val="20"/>
                <w:szCs w:val="20"/>
                <w:color w:val="auto"/>
              </w:rPr>
            </w:pPr>
            <w:r>
              <w:rPr>
                <w:rFonts w:ascii="Arial" w:cs="Arial" w:eastAsia="Arial" w:hAnsi="Arial"/>
                <w:sz w:val="16"/>
                <w:szCs w:val="16"/>
                <w:color w:val="auto"/>
              </w:rPr>
              <w:t>Native Hawaiian or Pacific Islander</w:t>
            </w:r>
          </w:p>
        </w:tc>
        <w:tc>
          <w:tcPr>
            <w:tcW w:w="2680" w:type="dxa"/>
            <w:vAlign w:val="bottom"/>
            <w:shd w:val="clear" w:color="auto" w:fill="EDF0FC"/>
          </w:tcPr>
          <w:p>
            <w:pPr>
              <w:spacing w:after="0"/>
              <w:rPr>
                <w:sz w:val="21"/>
                <w:szCs w:val="21"/>
                <w:color w:val="auto"/>
              </w:rPr>
            </w:pPr>
          </w:p>
        </w:tc>
        <w:tc>
          <w:tcPr>
            <w:tcW w:w="260" w:type="dxa"/>
            <w:vAlign w:val="bottom"/>
            <w:shd w:val="clear" w:color="auto" w:fill="EDF0FC"/>
          </w:tcPr>
          <w:p>
            <w:pPr>
              <w:spacing w:after="0"/>
              <w:rPr>
                <w:sz w:val="21"/>
                <w:szCs w:val="21"/>
                <w:color w:val="auto"/>
              </w:rPr>
            </w:pPr>
          </w:p>
        </w:tc>
        <w:tc>
          <w:tcPr>
            <w:tcW w:w="680" w:type="dxa"/>
            <w:vAlign w:val="bottom"/>
            <w:shd w:val="clear" w:color="auto" w:fill="EDF0FC"/>
          </w:tcPr>
          <w:p>
            <w:pPr>
              <w:spacing w:after="0"/>
              <w:rPr>
                <w:sz w:val="21"/>
                <w:szCs w:val="21"/>
                <w:color w:val="auto"/>
              </w:rPr>
            </w:pPr>
          </w:p>
        </w:tc>
        <w:tc>
          <w:tcPr>
            <w:tcW w:w="420" w:type="dxa"/>
            <w:vAlign w:val="bottom"/>
            <w:shd w:val="clear" w:color="auto" w:fill="EDF0FC"/>
          </w:tcPr>
          <w:p>
            <w:pPr>
              <w:spacing w:after="0"/>
              <w:rPr>
                <w:sz w:val="21"/>
                <w:szCs w:val="21"/>
                <w:color w:val="auto"/>
              </w:rPr>
            </w:pPr>
          </w:p>
        </w:tc>
        <w:tc>
          <w:tcPr>
            <w:tcW w:w="420" w:type="dxa"/>
            <w:vAlign w:val="bottom"/>
            <w:shd w:val="clear" w:color="auto" w:fill="EDF0FC"/>
          </w:tcPr>
          <w:p>
            <w:pPr>
              <w:spacing w:after="0"/>
              <w:rPr>
                <w:sz w:val="21"/>
                <w:szCs w:val="21"/>
                <w:color w:val="auto"/>
              </w:rPr>
            </w:pPr>
          </w:p>
        </w:tc>
        <w:tc>
          <w:tcPr>
            <w:tcW w:w="420" w:type="dxa"/>
            <w:vAlign w:val="bottom"/>
            <w:shd w:val="clear" w:color="auto" w:fill="EDF0FC"/>
          </w:tcPr>
          <w:p>
            <w:pPr>
              <w:spacing w:after="0"/>
              <w:rPr>
                <w:sz w:val="21"/>
                <w:szCs w:val="21"/>
                <w:color w:val="auto"/>
              </w:rPr>
            </w:pPr>
          </w:p>
        </w:tc>
        <w:tc>
          <w:tcPr>
            <w:tcW w:w="340" w:type="dxa"/>
            <w:vAlign w:val="bottom"/>
            <w:shd w:val="clear" w:color="auto" w:fill="EDF0FC"/>
          </w:tcPr>
          <w:p>
            <w:pPr>
              <w:spacing w:after="0"/>
              <w:rPr>
                <w:sz w:val="21"/>
                <w:szCs w:val="21"/>
                <w:color w:val="auto"/>
              </w:rPr>
            </w:pPr>
          </w:p>
        </w:tc>
        <w:tc>
          <w:tcPr>
            <w:tcW w:w="480" w:type="dxa"/>
            <w:vAlign w:val="bottom"/>
            <w:shd w:val="clear" w:color="auto" w:fill="EDF0FC"/>
          </w:tcPr>
          <w:p>
            <w:pPr>
              <w:spacing w:after="0"/>
              <w:rPr>
                <w:sz w:val="21"/>
                <w:szCs w:val="21"/>
                <w:color w:val="auto"/>
              </w:rPr>
            </w:pPr>
          </w:p>
        </w:tc>
        <w:tc>
          <w:tcPr>
            <w:tcW w:w="440" w:type="dxa"/>
            <w:vAlign w:val="bottom"/>
            <w:shd w:val="clear" w:color="auto" w:fill="EDF0FC"/>
          </w:tcPr>
          <w:p>
            <w:pPr>
              <w:spacing w:after="0"/>
              <w:rPr>
                <w:sz w:val="21"/>
                <w:szCs w:val="21"/>
                <w:color w:val="auto"/>
              </w:rPr>
            </w:pPr>
          </w:p>
        </w:tc>
        <w:tc>
          <w:tcPr>
            <w:tcW w:w="420" w:type="dxa"/>
            <w:vAlign w:val="bottom"/>
            <w:shd w:val="clear" w:color="auto" w:fill="EDF0FC"/>
          </w:tcPr>
          <w:p>
            <w:pPr>
              <w:spacing w:after="0"/>
              <w:rPr>
                <w:sz w:val="21"/>
                <w:szCs w:val="21"/>
                <w:color w:val="auto"/>
              </w:rPr>
            </w:pPr>
          </w:p>
        </w:tc>
        <w:tc>
          <w:tcPr>
            <w:tcW w:w="420" w:type="dxa"/>
            <w:vAlign w:val="bottom"/>
            <w:shd w:val="clear" w:color="auto" w:fill="EDF0FC"/>
          </w:tcPr>
          <w:p>
            <w:pPr>
              <w:spacing w:after="0"/>
              <w:rPr>
                <w:sz w:val="21"/>
                <w:szCs w:val="21"/>
                <w:color w:val="auto"/>
              </w:rPr>
            </w:pPr>
          </w:p>
        </w:tc>
        <w:tc>
          <w:tcPr>
            <w:tcW w:w="420" w:type="dxa"/>
            <w:vAlign w:val="bottom"/>
            <w:shd w:val="clear" w:color="auto" w:fill="EDF0FC"/>
          </w:tcPr>
          <w:p>
            <w:pPr>
              <w:spacing w:after="0"/>
              <w:rPr>
                <w:sz w:val="21"/>
                <w:szCs w:val="21"/>
                <w:color w:val="auto"/>
              </w:rPr>
            </w:pPr>
          </w:p>
        </w:tc>
        <w:tc>
          <w:tcPr>
            <w:tcW w:w="500" w:type="dxa"/>
            <w:vAlign w:val="bottom"/>
            <w:shd w:val="clear" w:color="auto" w:fill="EDF0FC"/>
          </w:tcPr>
          <w:p>
            <w:pPr>
              <w:spacing w:after="0"/>
              <w:rPr>
                <w:sz w:val="21"/>
                <w:szCs w:val="21"/>
                <w:color w:val="auto"/>
              </w:rPr>
            </w:pPr>
          </w:p>
        </w:tc>
        <w:tc>
          <w:tcPr>
            <w:tcW w:w="340" w:type="dxa"/>
            <w:vAlign w:val="bottom"/>
            <w:shd w:val="clear" w:color="auto" w:fill="EDF0FC"/>
          </w:tcPr>
          <w:p>
            <w:pPr>
              <w:spacing w:after="0"/>
              <w:rPr>
                <w:sz w:val="21"/>
                <w:szCs w:val="21"/>
                <w:color w:val="auto"/>
              </w:rPr>
            </w:pPr>
          </w:p>
        </w:tc>
        <w:tc>
          <w:tcPr>
            <w:tcW w:w="20" w:type="dxa"/>
            <w:vAlign w:val="bottom"/>
            <w:shd w:val="clear" w:color="auto" w:fill="EDF0FC"/>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980" w:type="dxa"/>
            <w:vAlign w:val="bottom"/>
            <w:gridSpan w:val="3"/>
          </w:tcPr>
          <w:p>
            <w:pPr>
              <w:ind w:left="20"/>
              <w:spacing w:after="0"/>
              <w:rPr>
                <w:sz w:val="20"/>
                <w:szCs w:val="20"/>
                <w:color w:val="auto"/>
              </w:rPr>
            </w:pPr>
            <w:r>
              <w:rPr>
                <w:rFonts w:ascii="Arial" w:cs="Arial" w:eastAsia="Arial" w:hAnsi="Arial"/>
                <w:sz w:val="16"/>
                <w:szCs w:val="16"/>
                <w:color w:val="auto"/>
              </w:rPr>
              <w:t>Two or More Races</w:t>
            </w:r>
          </w:p>
        </w:tc>
        <w:tc>
          <w:tcPr>
            <w:tcW w:w="2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980" w:type="dxa"/>
            <w:vAlign w:val="bottom"/>
            <w:gridSpan w:val="3"/>
            <w:shd w:val="clear" w:color="auto" w:fill="EDF0FC"/>
          </w:tcPr>
          <w:p>
            <w:pPr>
              <w:ind w:left="20"/>
              <w:spacing w:after="0"/>
              <w:rPr>
                <w:sz w:val="20"/>
                <w:szCs w:val="20"/>
                <w:color w:val="auto"/>
              </w:rPr>
            </w:pPr>
            <w:r>
              <w:rPr>
                <w:rFonts w:ascii="Arial" w:cs="Arial" w:eastAsia="Arial" w:hAnsi="Arial"/>
                <w:sz w:val="16"/>
                <w:szCs w:val="16"/>
                <w:color w:val="auto"/>
              </w:rPr>
              <w:t>LGBTQ+</w:t>
            </w:r>
          </w:p>
        </w:tc>
        <w:tc>
          <w:tcPr>
            <w:tcW w:w="2680" w:type="dxa"/>
            <w:vAlign w:val="bottom"/>
            <w:shd w:val="clear" w:color="auto" w:fill="EDF0FC"/>
          </w:tcPr>
          <w:p>
            <w:pPr>
              <w:spacing w:after="0"/>
              <w:rPr>
                <w:sz w:val="21"/>
                <w:szCs w:val="21"/>
                <w:color w:val="auto"/>
              </w:rPr>
            </w:pPr>
          </w:p>
        </w:tc>
        <w:tc>
          <w:tcPr>
            <w:tcW w:w="260" w:type="dxa"/>
            <w:vAlign w:val="bottom"/>
            <w:shd w:val="clear" w:color="auto" w:fill="EDF0FC"/>
          </w:tcPr>
          <w:p>
            <w:pPr>
              <w:spacing w:after="0"/>
              <w:rPr>
                <w:sz w:val="21"/>
                <w:szCs w:val="21"/>
                <w:color w:val="auto"/>
              </w:rPr>
            </w:pPr>
          </w:p>
        </w:tc>
        <w:tc>
          <w:tcPr>
            <w:tcW w:w="680" w:type="dxa"/>
            <w:vAlign w:val="bottom"/>
            <w:shd w:val="clear" w:color="auto" w:fill="EDF0FC"/>
          </w:tcPr>
          <w:p>
            <w:pPr>
              <w:spacing w:after="0"/>
              <w:rPr>
                <w:sz w:val="21"/>
                <w:szCs w:val="21"/>
                <w:color w:val="auto"/>
              </w:rPr>
            </w:pPr>
          </w:p>
        </w:tc>
        <w:tc>
          <w:tcPr>
            <w:tcW w:w="420" w:type="dxa"/>
            <w:vAlign w:val="bottom"/>
            <w:shd w:val="clear" w:color="auto" w:fill="EDF0FC"/>
          </w:tcPr>
          <w:p>
            <w:pPr>
              <w:spacing w:after="0"/>
              <w:rPr>
                <w:sz w:val="21"/>
                <w:szCs w:val="21"/>
                <w:color w:val="auto"/>
              </w:rPr>
            </w:pPr>
          </w:p>
        </w:tc>
        <w:tc>
          <w:tcPr>
            <w:tcW w:w="420" w:type="dxa"/>
            <w:vAlign w:val="bottom"/>
            <w:shd w:val="clear" w:color="auto" w:fill="EDF0FC"/>
          </w:tcPr>
          <w:p>
            <w:pPr>
              <w:spacing w:after="0"/>
              <w:rPr>
                <w:sz w:val="21"/>
                <w:szCs w:val="21"/>
                <w:color w:val="auto"/>
              </w:rPr>
            </w:pPr>
          </w:p>
        </w:tc>
        <w:tc>
          <w:tcPr>
            <w:tcW w:w="420" w:type="dxa"/>
            <w:vAlign w:val="bottom"/>
            <w:shd w:val="clear" w:color="auto" w:fill="EDF0FC"/>
          </w:tcPr>
          <w:p>
            <w:pPr>
              <w:spacing w:after="0"/>
              <w:rPr>
                <w:sz w:val="21"/>
                <w:szCs w:val="21"/>
                <w:color w:val="auto"/>
              </w:rPr>
            </w:pPr>
          </w:p>
        </w:tc>
        <w:tc>
          <w:tcPr>
            <w:tcW w:w="340" w:type="dxa"/>
            <w:vAlign w:val="bottom"/>
            <w:shd w:val="clear" w:color="auto" w:fill="EDF0FC"/>
          </w:tcPr>
          <w:p>
            <w:pPr>
              <w:spacing w:after="0"/>
              <w:rPr>
                <w:sz w:val="21"/>
                <w:szCs w:val="21"/>
                <w:color w:val="auto"/>
              </w:rPr>
            </w:pPr>
          </w:p>
        </w:tc>
        <w:tc>
          <w:tcPr>
            <w:tcW w:w="480" w:type="dxa"/>
            <w:vAlign w:val="bottom"/>
            <w:shd w:val="clear" w:color="auto" w:fill="EDF0FC"/>
          </w:tcPr>
          <w:p>
            <w:pPr>
              <w:spacing w:after="0"/>
              <w:rPr>
                <w:sz w:val="21"/>
                <w:szCs w:val="21"/>
                <w:color w:val="auto"/>
              </w:rPr>
            </w:pPr>
          </w:p>
        </w:tc>
        <w:tc>
          <w:tcPr>
            <w:tcW w:w="440" w:type="dxa"/>
            <w:vAlign w:val="bottom"/>
            <w:shd w:val="clear" w:color="auto" w:fill="EDF0FC"/>
          </w:tcPr>
          <w:p>
            <w:pPr>
              <w:spacing w:after="0"/>
              <w:rPr>
                <w:sz w:val="21"/>
                <w:szCs w:val="21"/>
                <w:color w:val="auto"/>
              </w:rPr>
            </w:pPr>
          </w:p>
        </w:tc>
        <w:tc>
          <w:tcPr>
            <w:tcW w:w="420" w:type="dxa"/>
            <w:vAlign w:val="bottom"/>
            <w:shd w:val="clear" w:color="auto" w:fill="EDF0FC"/>
          </w:tcPr>
          <w:p>
            <w:pPr>
              <w:spacing w:after="0"/>
              <w:rPr>
                <w:sz w:val="21"/>
                <w:szCs w:val="21"/>
                <w:color w:val="auto"/>
              </w:rPr>
            </w:pPr>
          </w:p>
        </w:tc>
        <w:tc>
          <w:tcPr>
            <w:tcW w:w="420" w:type="dxa"/>
            <w:vAlign w:val="bottom"/>
            <w:shd w:val="clear" w:color="auto" w:fill="EDF0FC"/>
          </w:tcPr>
          <w:p>
            <w:pPr>
              <w:spacing w:after="0"/>
              <w:rPr>
                <w:sz w:val="21"/>
                <w:szCs w:val="21"/>
                <w:color w:val="auto"/>
              </w:rPr>
            </w:pPr>
          </w:p>
        </w:tc>
        <w:tc>
          <w:tcPr>
            <w:tcW w:w="420" w:type="dxa"/>
            <w:vAlign w:val="bottom"/>
            <w:shd w:val="clear" w:color="auto" w:fill="EDF0FC"/>
          </w:tcPr>
          <w:p>
            <w:pPr>
              <w:spacing w:after="0"/>
              <w:rPr>
                <w:sz w:val="21"/>
                <w:szCs w:val="21"/>
                <w:color w:val="auto"/>
              </w:rPr>
            </w:pPr>
          </w:p>
        </w:tc>
        <w:tc>
          <w:tcPr>
            <w:tcW w:w="500" w:type="dxa"/>
            <w:vAlign w:val="bottom"/>
            <w:shd w:val="clear" w:color="auto" w:fill="EDF0FC"/>
          </w:tcPr>
          <w:p>
            <w:pPr>
              <w:spacing w:after="0"/>
              <w:rPr>
                <w:sz w:val="21"/>
                <w:szCs w:val="21"/>
                <w:color w:val="auto"/>
              </w:rPr>
            </w:pPr>
          </w:p>
        </w:tc>
        <w:tc>
          <w:tcPr>
            <w:tcW w:w="340" w:type="dxa"/>
            <w:vAlign w:val="bottom"/>
            <w:shd w:val="clear" w:color="auto" w:fill="EDF0FC"/>
          </w:tcPr>
          <w:p>
            <w:pPr>
              <w:spacing w:after="0"/>
              <w:rPr>
                <w:sz w:val="21"/>
                <w:szCs w:val="21"/>
                <w:color w:val="auto"/>
              </w:rPr>
            </w:pPr>
          </w:p>
        </w:tc>
        <w:tc>
          <w:tcPr>
            <w:tcW w:w="20" w:type="dxa"/>
            <w:vAlign w:val="bottom"/>
            <w:shd w:val="clear" w:color="auto" w:fill="EDF0FC"/>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980" w:type="dxa"/>
            <w:vAlign w:val="bottom"/>
            <w:gridSpan w:val="3"/>
          </w:tcPr>
          <w:p>
            <w:pPr>
              <w:ind w:left="20"/>
              <w:spacing w:after="0" w:line="148" w:lineRule="exact"/>
              <w:rPr>
                <w:sz w:val="20"/>
                <w:szCs w:val="20"/>
                <w:color w:val="auto"/>
              </w:rPr>
            </w:pPr>
            <w:r>
              <w:rPr>
                <w:rFonts w:ascii="Arial" w:cs="Arial" w:eastAsia="Arial" w:hAnsi="Arial"/>
                <w:sz w:val="16"/>
                <w:szCs w:val="16"/>
                <w:color w:val="auto"/>
              </w:rPr>
              <w:t>Born Outside of the U.S.</w:t>
            </w:r>
          </w:p>
        </w:tc>
        <w:tc>
          <w:tcPr>
            <w:tcW w:w="2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restart"/>
          </w:tcPr>
          <w:p>
            <w:pPr>
              <w:jc w:val="center"/>
              <w:ind w:left="301"/>
              <w:spacing w:after="0"/>
              <w:rPr>
                <w:sz w:val="20"/>
                <w:szCs w:val="20"/>
                <w:color w:val="auto"/>
              </w:rPr>
            </w:pPr>
            <w:r>
              <w:rPr>
                <w:rFonts w:ascii="Webdings" w:cs="Webdings" w:eastAsia="Webdings" w:hAnsi="Webdings"/>
                <w:sz w:val="11"/>
                <w:szCs w:val="11"/>
                <w:b w:val="1"/>
                <w:bCs w:val="1"/>
                <w:color w:val="0626A9"/>
                <w:w w:val="90"/>
              </w:rPr>
              <w:t>n</w:t>
            </w:r>
          </w:p>
        </w:tc>
        <w:tc>
          <w:tcPr>
            <w:tcW w:w="420" w:type="dxa"/>
            <w:vAlign w:val="bottom"/>
            <w:vMerge w:val="restart"/>
          </w:tcPr>
          <w:p>
            <w:pPr>
              <w:ind w:left="200"/>
              <w:spacing w:after="0"/>
              <w:rPr>
                <w:sz w:val="20"/>
                <w:szCs w:val="20"/>
                <w:color w:val="auto"/>
              </w:rPr>
            </w:pPr>
            <w:r>
              <w:rPr>
                <w:rFonts w:ascii="Webdings" w:cs="Webdings" w:eastAsia="Webdings" w:hAnsi="Webdings"/>
                <w:sz w:val="11"/>
                <w:szCs w:val="11"/>
                <w:b w:val="1"/>
                <w:bCs w:val="1"/>
                <w:color w:val="0626A9"/>
              </w:rPr>
              <w:t>n</w:t>
            </w:r>
          </w:p>
        </w:tc>
        <w:tc>
          <w:tcPr>
            <w:tcW w:w="420" w:type="dxa"/>
            <w:vAlign w:val="bottom"/>
          </w:tcPr>
          <w:p>
            <w:pPr>
              <w:spacing w:after="0"/>
              <w:rPr>
                <w:sz w:val="12"/>
                <w:szCs w:val="12"/>
                <w:color w:val="auto"/>
              </w:rPr>
            </w:pPr>
          </w:p>
        </w:tc>
        <w:tc>
          <w:tcPr>
            <w:tcW w:w="420" w:type="dxa"/>
            <w:vAlign w:val="bottom"/>
            <w:vMerge w:val="restart"/>
          </w:tcPr>
          <w:p>
            <w:pPr>
              <w:ind w:left="180"/>
              <w:spacing w:after="0"/>
              <w:rPr>
                <w:sz w:val="20"/>
                <w:szCs w:val="20"/>
                <w:color w:val="auto"/>
              </w:rPr>
            </w:pPr>
            <w:r>
              <w:rPr>
                <w:rFonts w:ascii="Webdings" w:cs="Webdings" w:eastAsia="Webdings" w:hAnsi="Webdings"/>
                <w:sz w:val="11"/>
                <w:szCs w:val="11"/>
                <w:b w:val="1"/>
                <w:bCs w:val="1"/>
                <w:color w:val="0626A9"/>
              </w:rPr>
              <w:t>n</w:t>
            </w:r>
          </w:p>
        </w:tc>
        <w:tc>
          <w:tcPr>
            <w:tcW w:w="340" w:type="dxa"/>
            <w:vAlign w:val="bottom"/>
            <w:vMerge w:val="restart"/>
          </w:tcPr>
          <w:p>
            <w:pPr>
              <w:jc w:val="right"/>
              <w:spacing w:after="0"/>
              <w:rPr>
                <w:sz w:val="20"/>
                <w:szCs w:val="20"/>
                <w:color w:val="auto"/>
              </w:rPr>
            </w:pPr>
            <w:r>
              <w:rPr>
                <w:rFonts w:ascii="Webdings" w:cs="Webdings" w:eastAsia="Webdings" w:hAnsi="Webdings"/>
                <w:sz w:val="11"/>
                <w:szCs w:val="11"/>
                <w:b w:val="1"/>
                <w:bCs w:val="1"/>
                <w:color w:val="0626A9"/>
              </w:rPr>
              <w:t>n</w:t>
            </w:r>
          </w:p>
        </w:tc>
        <w:tc>
          <w:tcPr>
            <w:tcW w:w="480" w:type="dxa"/>
            <w:vAlign w:val="bottom"/>
            <w:vMerge w:val="restart"/>
          </w:tcPr>
          <w:p>
            <w:pPr>
              <w:jc w:val="center"/>
              <w:ind w:left="99"/>
              <w:spacing w:after="0"/>
              <w:rPr>
                <w:sz w:val="20"/>
                <w:szCs w:val="20"/>
                <w:color w:val="auto"/>
              </w:rPr>
            </w:pPr>
            <w:r>
              <w:rPr>
                <w:rFonts w:ascii="Webdings" w:cs="Webdings" w:eastAsia="Webdings" w:hAnsi="Webdings"/>
                <w:sz w:val="11"/>
                <w:szCs w:val="11"/>
                <w:b w:val="1"/>
                <w:bCs w:val="1"/>
                <w:color w:val="0626A9"/>
              </w:rPr>
              <w:t>n</w:t>
            </w: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vMerge w:val="restart"/>
          </w:tcPr>
          <w:p>
            <w:pPr>
              <w:ind w:left="180"/>
              <w:spacing w:after="0"/>
              <w:rPr>
                <w:sz w:val="20"/>
                <w:szCs w:val="20"/>
                <w:color w:val="auto"/>
              </w:rPr>
            </w:pPr>
            <w:r>
              <w:rPr>
                <w:rFonts w:ascii="Webdings" w:cs="Webdings" w:eastAsia="Webdings" w:hAnsi="Webdings"/>
                <w:sz w:val="11"/>
                <w:szCs w:val="11"/>
                <w:b w:val="1"/>
                <w:bCs w:val="1"/>
                <w:color w:val="0626A9"/>
              </w:rPr>
              <w:t>n</w:t>
            </w:r>
          </w:p>
        </w:tc>
        <w:tc>
          <w:tcPr>
            <w:tcW w:w="500" w:type="dxa"/>
            <w:vAlign w:val="bottom"/>
          </w:tcPr>
          <w:p>
            <w:pPr>
              <w:spacing w:after="0"/>
              <w:rPr>
                <w:sz w:val="12"/>
                <w:szCs w:val="12"/>
                <w:color w:val="auto"/>
              </w:rPr>
            </w:pPr>
          </w:p>
        </w:tc>
        <w:tc>
          <w:tcPr>
            <w:tcW w:w="360" w:type="dxa"/>
            <w:vAlign w:val="bottom"/>
            <w:gridSpan w:val="2"/>
            <w:vMerge w:val="restart"/>
          </w:tcPr>
          <w:p>
            <w:pPr>
              <w:ind w:left="100"/>
              <w:spacing w:after="0"/>
              <w:rPr>
                <w:sz w:val="20"/>
                <w:szCs w:val="20"/>
                <w:color w:val="auto"/>
              </w:rPr>
            </w:pPr>
            <w:r>
              <w:rPr>
                <w:rFonts w:ascii="Webdings" w:cs="Webdings" w:eastAsia="Webdings" w:hAnsi="Webdings"/>
                <w:sz w:val="11"/>
                <w:szCs w:val="11"/>
                <w:b w:val="1"/>
                <w:bCs w:val="1"/>
                <w:color w:val="0626A9"/>
              </w:rPr>
              <w:t>n</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7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6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gridSpan w:val="3"/>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gridSpan w:val="3"/>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90"/>
        </w:trPr>
        <w:tc>
          <w:tcPr>
            <w:tcW w:w="2980" w:type="dxa"/>
            <w:vAlign w:val="bottom"/>
            <w:gridSpan w:val="3"/>
          </w:tcPr>
          <w:p>
            <w:pPr>
              <w:ind w:left="20"/>
              <w:spacing w:after="0"/>
              <w:rPr>
                <w:sz w:val="20"/>
                <w:szCs w:val="20"/>
                <w:color w:val="auto"/>
              </w:rPr>
            </w:pPr>
            <w:r>
              <w:rPr>
                <w:rFonts w:ascii="Arial" w:cs="Arial" w:eastAsia="Arial" w:hAnsi="Arial"/>
                <w:sz w:val="20"/>
                <w:szCs w:val="20"/>
                <w:color w:val="1A3FD6"/>
              </w:rPr>
              <w:t>Director Demographics</w:t>
            </w:r>
          </w:p>
        </w:tc>
        <w:tc>
          <w:tcPr>
            <w:tcW w:w="2680" w:type="dxa"/>
            <w:vAlign w:val="bottom"/>
          </w:tcPr>
          <w:p>
            <w:pPr>
              <w:spacing w:after="0"/>
              <w:rPr>
                <w:sz w:val="20"/>
                <w:szCs w:val="20"/>
                <w:color w:val="auto"/>
              </w:rPr>
            </w:pPr>
            <w:r>
              <w:rPr>
                <w:rFonts w:ascii="Arial" w:cs="Arial" w:eastAsia="Arial" w:hAnsi="Arial"/>
                <w:sz w:val="20"/>
                <w:szCs w:val="20"/>
                <w:color w:val="1A3FD6"/>
              </w:rPr>
              <w:t>Director Independence</w:t>
            </w:r>
          </w:p>
        </w:tc>
        <w:tc>
          <w:tcPr>
            <w:tcW w:w="260" w:type="dxa"/>
            <w:vAlign w:val="bottom"/>
          </w:tcPr>
          <w:p>
            <w:pPr>
              <w:spacing w:after="0"/>
              <w:rPr>
                <w:sz w:val="24"/>
                <w:szCs w:val="24"/>
                <w:color w:val="auto"/>
              </w:rPr>
            </w:pPr>
          </w:p>
        </w:tc>
        <w:tc>
          <w:tcPr>
            <w:tcW w:w="1520" w:type="dxa"/>
            <w:vAlign w:val="bottom"/>
            <w:gridSpan w:val="3"/>
          </w:tcPr>
          <w:p>
            <w:pPr>
              <w:jc w:val="right"/>
              <w:ind w:right="78"/>
              <w:spacing w:after="0"/>
              <w:rPr>
                <w:sz w:val="20"/>
                <w:szCs w:val="20"/>
                <w:color w:val="auto"/>
              </w:rPr>
            </w:pPr>
            <w:r>
              <w:rPr>
                <w:rFonts w:ascii="Arial" w:cs="Arial" w:eastAsia="Arial" w:hAnsi="Arial"/>
                <w:sz w:val="20"/>
                <w:szCs w:val="20"/>
                <w:color w:val="1A3FD6"/>
                <w:w w:val="97"/>
              </w:rPr>
              <w:t>Director Tenure</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gridSpan w:val="3"/>
          </w:tcPr>
          <w:p>
            <w:pPr>
              <w:jc w:val="right"/>
              <w:ind w:right="98"/>
              <w:spacing w:after="0"/>
              <w:rPr>
                <w:sz w:val="20"/>
                <w:szCs w:val="20"/>
                <w:color w:val="auto"/>
              </w:rPr>
            </w:pPr>
            <w:r>
              <w:rPr>
                <w:rFonts w:ascii="Arial" w:cs="Arial" w:eastAsia="Arial" w:hAnsi="Arial"/>
                <w:sz w:val="20"/>
                <w:szCs w:val="20"/>
                <w:color w:val="1A3FD6"/>
                <w:w w:val="98"/>
              </w:rPr>
              <w:t>Director Age</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700" w:type="dxa"/>
            <w:vAlign w:val="bottom"/>
            <w:tcBorders>
              <w:bottom w:val="single" w:sz="8" w:color="1A3FD6"/>
            </w:tcBorders>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Borders>
              <w:bottom w:val="single" w:sz="8" w:color="1A3FD6"/>
            </w:tcBorders>
          </w:tcPr>
          <w:p>
            <w:pPr>
              <w:spacing w:after="0"/>
              <w:rPr>
                <w:sz w:val="7"/>
                <w:szCs w:val="7"/>
                <w:color w:val="auto"/>
              </w:rPr>
            </w:pPr>
          </w:p>
        </w:tc>
        <w:tc>
          <w:tcPr>
            <w:tcW w:w="2680" w:type="dxa"/>
            <w:vAlign w:val="bottom"/>
            <w:tcBorders>
              <w:bottom w:val="single" w:sz="8" w:color="1A3FD6"/>
            </w:tcBorders>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Borders>
              <w:bottom w:val="single" w:sz="8" w:color="1A3FD6"/>
            </w:tcBorders>
          </w:tcPr>
          <w:p>
            <w:pPr>
              <w:spacing w:after="0"/>
              <w:rPr>
                <w:sz w:val="7"/>
                <w:szCs w:val="7"/>
                <w:color w:val="auto"/>
              </w:rPr>
            </w:pPr>
          </w:p>
        </w:tc>
        <w:tc>
          <w:tcPr>
            <w:tcW w:w="420" w:type="dxa"/>
            <w:vAlign w:val="bottom"/>
            <w:tcBorders>
              <w:bottom w:val="single" w:sz="8" w:color="1A3FD6"/>
            </w:tcBorders>
          </w:tcPr>
          <w:p>
            <w:pPr>
              <w:spacing w:after="0"/>
              <w:rPr>
                <w:sz w:val="7"/>
                <w:szCs w:val="7"/>
                <w:color w:val="auto"/>
              </w:rPr>
            </w:pPr>
          </w:p>
        </w:tc>
        <w:tc>
          <w:tcPr>
            <w:tcW w:w="420" w:type="dxa"/>
            <w:vAlign w:val="bottom"/>
            <w:tcBorders>
              <w:bottom w:val="single" w:sz="8" w:color="1A3FD6"/>
            </w:tcBorders>
          </w:tcPr>
          <w:p>
            <w:pPr>
              <w:spacing w:after="0"/>
              <w:rPr>
                <w:sz w:val="7"/>
                <w:szCs w:val="7"/>
                <w:color w:val="auto"/>
              </w:rPr>
            </w:pPr>
          </w:p>
        </w:tc>
        <w:tc>
          <w:tcPr>
            <w:tcW w:w="420" w:type="dxa"/>
            <w:vAlign w:val="bottom"/>
            <w:tcBorders>
              <w:bottom w:val="single" w:sz="8" w:color="1A3FD6"/>
            </w:tcBorders>
          </w:tcPr>
          <w:p>
            <w:pPr>
              <w:spacing w:after="0"/>
              <w:rPr>
                <w:sz w:val="7"/>
                <w:szCs w:val="7"/>
                <w:color w:val="auto"/>
              </w:rPr>
            </w:pPr>
          </w:p>
        </w:tc>
        <w:tc>
          <w:tcPr>
            <w:tcW w:w="340" w:type="dxa"/>
            <w:vAlign w:val="bottom"/>
            <w:tcBorders>
              <w:bottom w:val="single" w:sz="8" w:color="1A3FD6"/>
            </w:tcBorders>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Borders>
              <w:bottom w:val="single" w:sz="8" w:color="1A3FD6"/>
            </w:tcBorders>
          </w:tcPr>
          <w:p>
            <w:pPr>
              <w:spacing w:after="0"/>
              <w:rPr>
                <w:sz w:val="7"/>
                <w:szCs w:val="7"/>
                <w:color w:val="auto"/>
              </w:rPr>
            </w:pPr>
          </w:p>
        </w:tc>
        <w:tc>
          <w:tcPr>
            <w:tcW w:w="420" w:type="dxa"/>
            <w:vAlign w:val="bottom"/>
            <w:tcBorders>
              <w:bottom w:val="single" w:sz="8" w:color="1A3FD6"/>
            </w:tcBorders>
          </w:tcPr>
          <w:p>
            <w:pPr>
              <w:spacing w:after="0"/>
              <w:rPr>
                <w:sz w:val="7"/>
                <w:szCs w:val="7"/>
                <w:color w:val="auto"/>
              </w:rPr>
            </w:pPr>
          </w:p>
        </w:tc>
        <w:tc>
          <w:tcPr>
            <w:tcW w:w="420" w:type="dxa"/>
            <w:vAlign w:val="bottom"/>
            <w:tcBorders>
              <w:bottom w:val="single" w:sz="8" w:color="1A3FD6"/>
            </w:tcBorders>
          </w:tcPr>
          <w:p>
            <w:pPr>
              <w:spacing w:after="0"/>
              <w:rPr>
                <w:sz w:val="7"/>
                <w:szCs w:val="7"/>
                <w:color w:val="auto"/>
              </w:rPr>
            </w:pPr>
          </w:p>
        </w:tc>
        <w:tc>
          <w:tcPr>
            <w:tcW w:w="420" w:type="dxa"/>
            <w:vAlign w:val="bottom"/>
            <w:tcBorders>
              <w:bottom w:val="single" w:sz="8" w:color="1A3FD6"/>
            </w:tcBorders>
          </w:tcPr>
          <w:p>
            <w:pPr>
              <w:spacing w:after="0"/>
              <w:rPr>
                <w:sz w:val="7"/>
                <w:szCs w:val="7"/>
                <w:color w:val="auto"/>
              </w:rPr>
            </w:pPr>
          </w:p>
        </w:tc>
        <w:tc>
          <w:tcPr>
            <w:tcW w:w="500" w:type="dxa"/>
            <w:vAlign w:val="bottom"/>
            <w:tcBorders>
              <w:bottom w:val="single" w:sz="8" w:color="1A3FD6"/>
            </w:tcBorders>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6737985" cy="12344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37985"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40" w:type="dxa"/>
            <w:vAlign w:val="bottom"/>
          </w:tcPr>
          <w:p>
            <w:pPr>
              <w:spacing w:after="0"/>
              <w:rPr>
                <w:sz w:val="20"/>
                <w:szCs w:val="20"/>
                <w:color w:val="auto"/>
              </w:rPr>
            </w:pPr>
            <w:r>
              <w:rPr>
                <w:rFonts w:ascii="Arial" w:cs="Arial" w:eastAsia="Arial" w:hAnsi="Arial"/>
                <w:sz w:val="12"/>
                <w:szCs w:val="12"/>
                <w:b w:val="1"/>
                <w:bCs w:val="1"/>
                <w:color w:val="1A3FD6"/>
              </w:rPr>
              <w:t>¢</w:t>
            </w:r>
          </w:p>
        </w:tc>
        <w:tc>
          <w:tcPr>
            <w:tcW w:w="2180" w:type="dxa"/>
            <w:vAlign w:val="bottom"/>
          </w:tcPr>
          <w:p>
            <w:pPr>
              <w:ind w:left="100"/>
              <w:spacing w:after="0"/>
              <w:rPr>
                <w:sz w:val="20"/>
                <w:szCs w:val="20"/>
                <w:color w:val="auto"/>
              </w:rPr>
            </w:pPr>
            <w:r>
              <w:rPr>
                <w:rFonts w:ascii="Arial" w:cs="Arial" w:eastAsia="Arial" w:hAnsi="Arial"/>
                <w:sz w:val="14"/>
                <w:szCs w:val="14"/>
                <w:color w:val="auto"/>
              </w:rPr>
              <w:t>Women</w:t>
            </w:r>
          </w:p>
        </w:tc>
        <w:tc>
          <w:tcPr>
            <w:tcW w:w="780" w:type="dxa"/>
            <w:vAlign w:val="bottom"/>
          </w:tcPr>
          <w:p>
            <w:pPr>
              <w:ind w:left="540"/>
              <w:spacing w:after="0"/>
              <w:rPr>
                <w:sz w:val="20"/>
                <w:szCs w:val="20"/>
                <w:color w:val="auto"/>
              </w:rPr>
            </w:pPr>
            <w:r>
              <w:rPr>
                <w:rFonts w:ascii="Arial" w:cs="Arial" w:eastAsia="Arial" w:hAnsi="Arial"/>
                <w:sz w:val="12"/>
                <w:szCs w:val="12"/>
                <w:b w:val="1"/>
                <w:bCs w:val="1"/>
                <w:color w:val="1A3FD6"/>
              </w:rPr>
              <w:t>¢</w:t>
            </w:r>
          </w:p>
        </w:tc>
        <w:tc>
          <w:tcPr>
            <w:tcW w:w="1960" w:type="dxa"/>
            <w:vAlign w:val="bottom"/>
          </w:tcPr>
          <w:p>
            <w:pPr>
              <w:ind w:left="100"/>
              <w:spacing w:after="0"/>
              <w:rPr>
                <w:sz w:val="20"/>
                <w:szCs w:val="20"/>
                <w:color w:val="auto"/>
              </w:rPr>
            </w:pPr>
            <w:r>
              <w:rPr>
                <w:rFonts w:ascii="Arial" w:cs="Arial" w:eastAsia="Arial" w:hAnsi="Arial"/>
                <w:sz w:val="14"/>
                <w:szCs w:val="14"/>
                <w:color w:val="auto"/>
              </w:rPr>
              <w:t>Independent</w:t>
            </w:r>
          </w:p>
        </w:tc>
        <w:tc>
          <w:tcPr>
            <w:tcW w:w="1000" w:type="dxa"/>
            <w:vAlign w:val="bottom"/>
          </w:tcPr>
          <w:p>
            <w:pPr>
              <w:ind w:left="760"/>
              <w:spacing w:after="0"/>
              <w:rPr>
                <w:sz w:val="20"/>
                <w:szCs w:val="20"/>
                <w:color w:val="auto"/>
              </w:rPr>
            </w:pPr>
            <w:r>
              <w:rPr>
                <w:rFonts w:ascii="Arial" w:cs="Arial" w:eastAsia="Arial" w:hAnsi="Arial"/>
                <w:sz w:val="12"/>
                <w:szCs w:val="12"/>
                <w:b w:val="1"/>
                <w:bCs w:val="1"/>
                <w:color w:val="1A3FD6"/>
              </w:rPr>
              <w:t>¢</w:t>
            </w:r>
          </w:p>
        </w:tc>
        <w:tc>
          <w:tcPr>
            <w:tcW w:w="1680" w:type="dxa"/>
            <w:vAlign w:val="bottom"/>
          </w:tcPr>
          <w:p>
            <w:pPr>
              <w:ind w:left="80"/>
              <w:spacing w:after="0"/>
              <w:rPr>
                <w:sz w:val="20"/>
                <w:szCs w:val="20"/>
                <w:color w:val="auto"/>
              </w:rPr>
            </w:pPr>
            <w:r>
              <w:rPr>
                <w:rFonts w:ascii="Arial" w:cs="Arial" w:eastAsia="Arial" w:hAnsi="Arial"/>
                <w:sz w:val="14"/>
                <w:szCs w:val="14"/>
                <w:color w:val="auto"/>
              </w:rPr>
              <w:t>0 - 5 years</w:t>
            </w:r>
          </w:p>
        </w:tc>
        <w:tc>
          <w:tcPr>
            <w:tcW w:w="1060" w:type="dxa"/>
            <w:vAlign w:val="bottom"/>
          </w:tcPr>
          <w:p>
            <w:pPr>
              <w:ind w:left="840"/>
              <w:spacing w:after="0"/>
              <w:rPr>
                <w:sz w:val="20"/>
                <w:szCs w:val="20"/>
                <w:color w:val="auto"/>
              </w:rPr>
            </w:pPr>
            <w:r>
              <w:rPr>
                <w:rFonts w:ascii="Arial" w:cs="Arial" w:eastAsia="Arial" w:hAnsi="Arial"/>
                <w:sz w:val="12"/>
                <w:szCs w:val="12"/>
                <w:b w:val="1"/>
                <w:bCs w:val="1"/>
                <w:color w:val="1A3FD6"/>
              </w:rPr>
              <w:t>¢</w:t>
            </w:r>
          </w:p>
        </w:tc>
        <w:tc>
          <w:tcPr>
            <w:tcW w:w="1020" w:type="dxa"/>
            <w:vAlign w:val="bottom"/>
          </w:tcPr>
          <w:p>
            <w:pPr>
              <w:ind w:left="80"/>
              <w:spacing w:after="0"/>
              <w:rPr>
                <w:sz w:val="20"/>
                <w:szCs w:val="20"/>
                <w:color w:val="auto"/>
              </w:rPr>
            </w:pPr>
            <w:r>
              <w:rPr>
                <w:rFonts w:ascii="Arial" w:cs="Arial" w:eastAsia="Arial" w:hAnsi="Arial"/>
                <w:sz w:val="14"/>
                <w:szCs w:val="14"/>
                <w:color w:val="auto"/>
              </w:rPr>
              <w:t>50 - 56 years</w:t>
            </w:r>
          </w:p>
        </w:tc>
      </w:tr>
      <w:tr>
        <w:trPr>
          <w:trHeight w:val="257"/>
        </w:trPr>
        <w:tc>
          <w:tcPr>
            <w:tcW w:w="240" w:type="dxa"/>
            <w:vAlign w:val="bottom"/>
          </w:tcPr>
          <w:p>
            <w:pPr>
              <w:spacing w:after="0"/>
              <w:rPr>
                <w:sz w:val="20"/>
                <w:szCs w:val="20"/>
                <w:color w:val="auto"/>
              </w:rPr>
            </w:pPr>
            <w:r>
              <w:rPr>
                <w:rFonts w:ascii="Arial" w:cs="Arial" w:eastAsia="Arial" w:hAnsi="Arial"/>
                <w:sz w:val="10"/>
                <w:szCs w:val="10"/>
                <w:b w:val="1"/>
                <w:bCs w:val="1"/>
                <w:color w:val="AEBAF0"/>
              </w:rPr>
              <w:t>¢</w:t>
            </w:r>
          </w:p>
        </w:tc>
        <w:tc>
          <w:tcPr>
            <w:tcW w:w="2180" w:type="dxa"/>
            <w:vAlign w:val="bottom"/>
          </w:tcPr>
          <w:p>
            <w:pPr>
              <w:ind w:left="100"/>
              <w:spacing w:after="0"/>
              <w:rPr>
                <w:sz w:val="20"/>
                <w:szCs w:val="20"/>
                <w:color w:val="auto"/>
              </w:rPr>
            </w:pPr>
            <w:r>
              <w:rPr>
                <w:rFonts w:ascii="Arial" w:cs="Arial" w:eastAsia="Arial" w:hAnsi="Arial"/>
                <w:sz w:val="14"/>
                <w:szCs w:val="14"/>
                <w:color w:val="auto"/>
              </w:rPr>
              <w:t>Men</w:t>
            </w:r>
          </w:p>
        </w:tc>
        <w:tc>
          <w:tcPr>
            <w:tcW w:w="780" w:type="dxa"/>
            <w:vAlign w:val="bottom"/>
          </w:tcPr>
          <w:p>
            <w:pPr>
              <w:ind w:left="540"/>
              <w:spacing w:after="0"/>
              <w:rPr>
                <w:sz w:val="20"/>
                <w:szCs w:val="20"/>
                <w:color w:val="auto"/>
              </w:rPr>
            </w:pPr>
            <w:r>
              <w:rPr>
                <w:rFonts w:ascii="Arial" w:cs="Arial" w:eastAsia="Arial" w:hAnsi="Arial"/>
                <w:sz w:val="10"/>
                <w:szCs w:val="10"/>
                <w:b w:val="1"/>
                <w:bCs w:val="1"/>
                <w:color w:val="AEBAF0"/>
              </w:rPr>
              <w:t>¢</w:t>
            </w:r>
          </w:p>
        </w:tc>
        <w:tc>
          <w:tcPr>
            <w:tcW w:w="1960" w:type="dxa"/>
            <w:vAlign w:val="bottom"/>
          </w:tcPr>
          <w:p>
            <w:pPr>
              <w:ind w:left="100"/>
              <w:spacing w:after="0"/>
              <w:rPr>
                <w:sz w:val="20"/>
                <w:szCs w:val="20"/>
                <w:color w:val="auto"/>
              </w:rPr>
            </w:pPr>
            <w:r>
              <w:rPr>
                <w:rFonts w:ascii="Arial" w:cs="Arial" w:eastAsia="Arial" w:hAnsi="Arial"/>
                <w:sz w:val="14"/>
                <w:szCs w:val="14"/>
                <w:color w:val="auto"/>
              </w:rPr>
              <w:t>Non-Independent</w:t>
            </w:r>
          </w:p>
        </w:tc>
        <w:tc>
          <w:tcPr>
            <w:tcW w:w="1000" w:type="dxa"/>
            <w:vAlign w:val="bottom"/>
          </w:tcPr>
          <w:p>
            <w:pPr>
              <w:ind w:left="760"/>
              <w:spacing w:after="0"/>
              <w:rPr>
                <w:sz w:val="20"/>
                <w:szCs w:val="20"/>
                <w:color w:val="auto"/>
              </w:rPr>
            </w:pPr>
            <w:r>
              <w:rPr>
                <w:rFonts w:ascii="Arial" w:cs="Arial" w:eastAsia="Arial" w:hAnsi="Arial"/>
                <w:sz w:val="10"/>
                <w:szCs w:val="10"/>
                <w:b w:val="1"/>
                <w:bCs w:val="1"/>
                <w:color w:val="AEBAF0"/>
              </w:rPr>
              <w:t>¢</w:t>
            </w:r>
          </w:p>
        </w:tc>
        <w:tc>
          <w:tcPr>
            <w:tcW w:w="1680" w:type="dxa"/>
            <w:vAlign w:val="bottom"/>
          </w:tcPr>
          <w:p>
            <w:pPr>
              <w:ind w:left="80"/>
              <w:spacing w:after="0"/>
              <w:rPr>
                <w:sz w:val="20"/>
                <w:szCs w:val="20"/>
                <w:color w:val="auto"/>
              </w:rPr>
            </w:pPr>
            <w:r>
              <w:rPr>
                <w:rFonts w:ascii="Arial" w:cs="Arial" w:eastAsia="Arial" w:hAnsi="Arial"/>
                <w:sz w:val="14"/>
                <w:szCs w:val="14"/>
                <w:color w:val="auto"/>
              </w:rPr>
              <w:t>&gt;5 - 9 years</w:t>
            </w:r>
          </w:p>
        </w:tc>
        <w:tc>
          <w:tcPr>
            <w:tcW w:w="1060" w:type="dxa"/>
            <w:vAlign w:val="bottom"/>
          </w:tcPr>
          <w:p>
            <w:pPr>
              <w:ind w:left="840"/>
              <w:spacing w:after="0"/>
              <w:rPr>
                <w:sz w:val="20"/>
                <w:szCs w:val="20"/>
                <w:color w:val="auto"/>
              </w:rPr>
            </w:pPr>
            <w:r>
              <w:rPr>
                <w:rFonts w:ascii="Arial" w:cs="Arial" w:eastAsia="Arial" w:hAnsi="Arial"/>
                <w:sz w:val="10"/>
                <w:szCs w:val="10"/>
                <w:b w:val="1"/>
                <w:bCs w:val="1"/>
                <w:color w:val="AEBAF0"/>
              </w:rPr>
              <w:t>¢</w:t>
            </w:r>
          </w:p>
        </w:tc>
        <w:tc>
          <w:tcPr>
            <w:tcW w:w="1020" w:type="dxa"/>
            <w:vAlign w:val="bottom"/>
          </w:tcPr>
          <w:p>
            <w:pPr>
              <w:ind w:left="80"/>
              <w:spacing w:after="0"/>
              <w:rPr>
                <w:sz w:val="20"/>
                <w:szCs w:val="20"/>
                <w:color w:val="auto"/>
              </w:rPr>
            </w:pPr>
            <w:r>
              <w:rPr>
                <w:rFonts w:ascii="Arial" w:cs="Arial" w:eastAsia="Arial" w:hAnsi="Arial"/>
                <w:sz w:val="14"/>
                <w:szCs w:val="14"/>
                <w:color w:val="auto"/>
              </w:rPr>
              <w:t>&gt;56 - 63 years</w:t>
            </w:r>
          </w:p>
        </w:tc>
      </w:tr>
      <w:tr>
        <w:trPr>
          <w:trHeight w:val="243"/>
        </w:trPr>
        <w:tc>
          <w:tcPr>
            <w:tcW w:w="240" w:type="dxa"/>
            <w:vAlign w:val="bottom"/>
          </w:tcPr>
          <w:p>
            <w:pPr>
              <w:spacing w:after="0"/>
              <w:rPr>
                <w:sz w:val="20"/>
                <w:szCs w:val="20"/>
                <w:color w:val="auto"/>
              </w:rPr>
            </w:pPr>
            <w:r>
              <w:rPr>
                <w:rFonts w:ascii="Arial" w:cs="Arial" w:eastAsia="Arial" w:hAnsi="Arial"/>
                <w:sz w:val="10"/>
                <w:szCs w:val="10"/>
                <w:b w:val="1"/>
                <w:bCs w:val="1"/>
                <w:color w:val="BFBFBF"/>
              </w:rPr>
              <w:t>¢</w:t>
            </w:r>
          </w:p>
        </w:tc>
        <w:tc>
          <w:tcPr>
            <w:tcW w:w="2180" w:type="dxa"/>
            <w:vAlign w:val="bottom"/>
          </w:tcPr>
          <w:p>
            <w:pPr>
              <w:ind w:left="100"/>
              <w:spacing w:after="0"/>
              <w:rPr>
                <w:sz w:val="20"/>
                <w:szCs w:val="20"/>
                <w:color w:val="auto"/>
              </w:rPr>
            </w:pPr>
            <w:r>
              <w:rPr>
                <w:rFonts w:ascii="Arial" w:cs="Arial" w:eastAsia="Arial" w:hAnsi="Arial"/>
                <w:sz w:val="14"/>
                <w:szCs w:val="14"/>
                <w:color w:val="auto"/>
              </w:rPr>
              <w:t>African American/ Black</w:t>
            </w:r>
          </w:p>
        </w:tc>
        <w:tc>
          <w:tcPr>
            <w:tcW w:w="7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0" w:type="dxa"/>
            <w:vAlign w:val="bottom"/>
          </w:tcPr>
          <w:p>
            <w:pPr>
              <w:ind w:left="760"/>
              <w:spacing w:after="0"/>
              <w:rPr>
                <w:sz w:val="20"/>
                <w:szCs w:val="20"/>
                <w:color w:val="auto"/>
              </w:rPr>
            </w:pPr>
            <w:r>
              <w:rPr>
                <w:rFonts w:ascii="Arial" w:cs="Arial" w:eastAsia="Arial" w:hAnsi="Arial"/>
                <w:sz w:val="10"/>
                <w:szCs w:val="10"/>
                <w:b w:val="1"/>
                <w:bCs w:val="1"/>
                <w:color w:val="00A798"/>
              </w:rPr>
              <w:t>¢</w:t>
            </w:r>
          </w:p>
        </w:tc>
        <w:tc>
          <w:tcPr>
            <w:tcW w:w="1680" w:type="dxa"/>
            <w:vAlign w:val="bottom"/>
          </w:tcPr>
          <w:p>
            <w:pPr>
              <w:ind w:left="80"/>
              <w:spacing w:after="0"/>
              <w:rPr>
                <w:sz w:val="20"/>
                <w:szCs w:val="20"/>
                <w:color w:val="auto"/>
              </w:rPr>
            </w:pPr>
            <w:r>
              <w:rPr>
                <w:rFonts w:ascii="Arial" w:cs="Arial" w:eastAsia="Arial" w:hAnsi="Arial"/>
                <w:sz w:val="14"/>
                <w:szCs w:val="14"/>
                <w:color w:val="auto"/>
              </w:rPr>
              <w:t>&gt;9 years</w:t>
            </w:r>
          </w:p>
        </w:tc>
        <w:tc>
          <w:tcPr>
            <w:tcW w:w="1060" w:type="dxa"/>
            <w:vAlign w:val="bottom"/>
          </w:tcPr>
          <w:p>
            <w:pPr>
              <w:ind w:left="840"/>
              <w:spacing w:after="0"/>
              <w:rPr>
                <w:sz w:val="20"/>
                <w:szCs w:val="20"/>
                <w:color w:val="auto"/>
              </w:rPr>
            </w:pPr>
            <w:r>
              <w:rPr>
                <w:rFonts w:ascii="Arial" w:cs="Arial" w:eastAsia="Arial" w:hAnsi="Arial"/>
                <w:sz w:val="10"/>
                <w:szCs w:val="10"/>
                <w:b w:val="1"/>
                <w:bCs w:val="1"/>
                <w:color w:val="00A798"/>
              </w:rPr>
              <w:t>¢</w:t>
            </w:r>
          </w:p>
        </w:tc>
        <w:tc>
          <w:tcPr>
            <w:tcW w:w="1020" w:type="dxa"/>
            <w:vAlign w:val="bottom"/>
          </w:tcPr>
          <w:p>
            <w:pPr>
              <w:ind w:left="80"/>
              <w:spacing w:after="0"/>
              <w:rPr>
                <w:sz w:val="20"/>
                <w:szCs w:val="20"/>
                <w:color w:val="auto"/>
              </w:rPr>
            </w:pPr>
            <w:r>
              <w:rPr>
                <w:rFonts w:ascii="Arial" w:cs="Arial" w:eastAsia="Arial" w:hAnsi="Arial"/>
                <w:sz w:val="14"/>
                <w:szCs w:val="14"/>
                <w:color w:val="auto"/>
              </w:rPr>
              <w:t>&gt;63 years</w:t>
            </w:r>
          </w:p>
        </w:tc>
      </w:tr>
    </w:tbl>
    <w:p>
      <w:pPr>
        <w:spacing w:after="0" w:line="53" w:lineRule="exact"/>
        <w:rPr>
          <w:sz w:val="20"/>
          <w:szCs w:val="20"/>
          <w:color w:val="auto"/>
        </w:rPr>
      </w:pPr>
    </w:p>
    <w:p>
      <w:pPr>
        <w:ind w:left="360" w:hanging="334"/>
        <w:spacing w:after="0"/>
        <w:tabs>
          <w:tab w:leader="none" w:pos="360" w:val="left"/>
        </w:tabs>
        <w:numPr>
          <w:ilvl w:val="0"/>
          <w:numId w:val="18"/>
        </w:numPr>
        <w:rPr>
          <w:rFonts w:ascii="Arial" w:cs="Arial" w:eastAsia="Arial" w:hAnsi="Arial"/>
          <w:sz w:val="10"/>
          <w:szCs w:val="10"/>
          <w:b w:val="1"/>
          <w:bCs w:val="1"/>
          <w:color w:val="00A798"/>
        </w:rPr>
      </w:pPr>
      <w:r>
        <w:rPr>
          <w:rFonts w:ascii="Arial" w:cs="Arial" w:eastAsia="Arial" w:hAnsi="Arial"/>
          <w:sz w:val="14"/>
          <w:szCs w:val="14"/>
          <w:color w:val="auto"/>
        </w:rPr>
        <w:t>Asian/South Asian</w:t>
      </w:r>
    </w:p>
    <w:p>
      <w:pPr>
        <w:spacing w:after="0" w:line="82" w:lineRule="exact"/>
        <w:rPr>
          <w:rFonts w:ascii="Arial" w:cs="Arial" w:eastAsia="Arial" w:hAnsi="Arial"/>
          <w:sz w:val="10"/>
          <w:szCs w:val="10"/>
          <w:b w:val="1"/>
          <w:bCs w:val="1"/>
          <w:color w:val="00A798"/>
        </w:rPr>
      </w:pPr>
    </w:p>
    <w:p>
      <w:pPr>
        <w:ind w:left="360" w:hanging="334"/>
        <w:spacing w:after="0"/>
        <w:tabs>
          <w:tab w:leader="none" w:pos="360" w:val="left"/>
        </w:tabs>
        <w:numPr>
          <w:ilvl w:val="0"/>
          <w:numId w:val="18"/>
        </w:numPr>
        <w:rPr>
          <w:rFonts w:ascii="Arial" w:cs="Arial" w:eastAsia="Arial" w:hAnsi="Arial"/>
          <w:sz w:val="10"/>
          <w:szCs w:val="10"/>
          <w:b w:val="1"/>
          <w:bCs w:val="1"/>
          <w:color w:val="80D3CB"/>
        </w:rPr>
      </w:pPr>
      <w:r>
        <w:rPr>
          <w:rFonts w:ascii="Arial" w:cs="Arial" w:eastAsia="Arial" w:hAnsi="Arial"/>
          <w:sz w:val="14"/>
          <w:szCs w:val="14"/>
          <w:color w:val="auto"/>
        </w:rPr>
        <w:t>Hispanic/Latino</w:t>
      </w:r>
    </w:p>
    <w:p>
      <w:pPr>
        <w:spacing w:after="0" w:line="82" w:lineRule="exact"/>
        <w:rPr>
          <w:rFonts w:ascii="Arial" w:cs="Arial" w:eastAsia="Arial" w:hAnsi="Arial"/>
          <w:sz w:val="10"/>
          <w:szCs w:val="10"/>
          <w:b w:val="1"/>
          <w:bCs w:val="1"/>
          <w:color w:val="80D3CB"/>
        </w:rPr>
      </w:pPr>
    </w:p>
    <w:p>
      <w:pPr>
        <w:ind w:left="360" w:hanging="334"/>
        <w:spacing w:after="0"/>
        <w:tabs>
          <w:tab w:leader="none" w:pos="360" w:val="left"/>
        </w:tabs>
        <w:numPr>
          <w:ilvl w:val="0"/>
          <w:numId w:val="18"/>
        </w:numPr>
        <w:rPr>
          <w:rFonts w:ascii="Arial" w:cs="Arial" w:eastAsia="Arial" w:hAnsi="Arial"/>
          <w:sz w:val="10"/>
          <w:szCs w:val="10"/>
          <w:b w:val="1"/>
          <w:bCs w:val="1"/>
          <w:color w:val="808080"/>
        </w:rPr>
      </w:pPr>
      <w:r>
        <w:rPr>
          <w:rFonts w:ascii="Arial" w:cs="Arial" w:eastAsia="Arial" w:hAnsi="Arial"/>
          <w:sz w:val="14"/>
          <w:szCs w:val="14"/>
          <w:color w:val="auto"/>
        </w:rPr>
        <w:t>Caucasian/White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23" w:name="page24"/>
    <w:bookmarkEnd w:id="23"/>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22</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2025 Director Nominees</w:t>
      </w:r>
    </w:p>
    <w:p>
      <w:pPr>
        <w:sectPr>
          <w:pgSz w:w="11900" w:h="16838" w:orient="portrait"/>
          <w:cols w:equalWidth="0" w:num="1">
            <w:col w:w="11220"/>
          </w:cols>
          <w:pgMar w:left="320" w:top="2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right="280"/>
        <w:spacing w:after="0" w:line="346" w:lineRule="auto"/>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2013</w:t>
      </w:r>
      <w:r>
        <w:rPr>
          <w:rFonts w:ascii="Arial" w:cs="Arial" w:eastAsia="Arial" w:hAnsi="Arial"/>
          <w:sz w:val="16"/>
          <w:szCs w:val="16"/>
          <w:b w:val="1"/>
          <w:bCs w:val="1"/>
          <w:color w:val="auto"/>
        </w:rPr>
        <w:t xml:space="preserve"> Age: </w:t>
      </w:r>
      <w:r>
        <w:rPr>
          <w:rFonts w:ascii="Arial" w:cs="Arial" w:eastAsia="Arial" w:hAnsi="Arial"/>
          <w:sz w:val="16"/>
          <w:szCs w:val="16"/>
          <w:color w:val="auto"/>
        </w:rPr>
        <w:t>65 years old</w:t>
      </w:r>
      <w:r>
        <w:rPr>
          <w:rFonts w:ascii="Arial" w:cs="Arial" w:eastAsia="Arial" w:hAnsi="Arial"/>
          <w:sz w:val="16"/>
          <w:szCs w:val="16"/>
          <w:b w:val="1"/>
          <w:bCs w:val="1"/>
          <w:color w:val="auto"/>
        </w:rPr>
        <w:t xml:space="preserv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-1841500</wp:posOffset>
            </wp:positionV>
            <wp:extent cx="1148715" cy="1148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48715" cy="1148715"/>
                    </a:xfrm>
                    <a:prstGeom prst="rect">
                      <a:avLst/>
                    </a:prstGeom>
                    <a:noFill/>
                  </pic:spPr>
                </pic:pic>
              </a:graphicData>
            </a:graphic>
          </wp:anchor>
        </w:drawing>
      </w:r>
    </w:p>
    <w:p>
      <w:pPr>
        <w:ind w:left="20" w:right="100"/>
        <w:spacing w:after="0" w:line="427" w:lineRule="auto"/>
        <w:rPr>
          <w:sz w:val="20"/>
          <w:szCs w:val="20"/>
          <w:color w:val="auto"/>
        </w:rPr>
      </w:pPr>
      <w:r>
        <w:rPr>
          <w:rFonts w:ascii="Arial" w:cs="Arial" w:eastAsia="Arial" w:hAnsi="Arial"/>
          <w:sz w:val="16"/>
          <w:szCs w:val="16"/>
          <w:color w:val="auto"/>
        </w:rPr>
        <w:t>Audit Committee Governance Committee</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tabs>
          <w:tab w:leader="none" w:pos="6580" w:val="left"/>
        </w:tabs>
        <w:rPr>
          <w:sz w:val="20"/>
          <w:szCs w:val="20"/>
          <w:color w:val="auto"/>
        </w:rPr>
      </w:pPr>
      <w:r>
        <w:rPr>
          <w:rFonts w:ascii="Arial" w:cs="Arial" w:eastAsia="Arial" w:hAnsi="Arial"/>
          <w:sz w:val="18"/>
          <w:szCs w:val="18"/>
          <w:b w:val="1"/>
          <w:bCs w:val="1"/>
          <w:color w:val="1A3FD6"/>
        </w:rPr>
        <w:t>ROBERT G. ASHE</w:t>
      </w:r>
      <w:r>
        <w:rPr>
          <w:sz w:val="20"/>
          <w:szCs w:val="20"/>
          <w:color w:val="auto"/>
        </w:rPr>
        <w:tab/>
      </w:r>
      <w:r>
        <w:rPr>
          <w:rFonts w:ascii="Arial" w:cs="Arial" w:eastAsia="Arial" w:hAnsi="Arial"/>
          <w:sz w:val="16"/>
          <w:szCs w:val="16"/>
          <w:b w:val="1"/>
          <w:bCs w:val="1"/>
          <w:color w:val="auto"/>
        </w:rPr>
        <w:t>Independent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552069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20690" cy="34290"/>
                    </a:xfrm>
                    <a:prstGeom prst="rect">
                      <a:avLst/>
                    </a:prstGeom>
                    <a:noFill/>
                  </pic:spPr>
                </pic:pic>
              </a:graphicData>
            </a:graphic>
          </wp:anchor>
        </w:drawing>
      </w:r>
    </w:p>
    <w:p>
      <w:pPr>
        <w:spacing w:after="0" w:line="318"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Mr. Ashe retired from IBM Corp. (“IBM”) in January 2012, where he had most recently served as General Manager of Business Analytics from 2010 to 2012 and before that as General Manager of Business Intelligence and Performance Management since 2008, following IBM’s acquisition of Cognos Inc. (“Cognos”), a Canadian provider of business intelligence and performance management software. Mr. Ashe worked for Cognos from 1984 to 2008, holding various executive positions, including most recently President and Chief Executive Officer from 2004 to 2008, President and Chief Operating Officer from 2002 to 2004 and Chief Corporate Officer from 2001 to 2002, during a portion of which time he also served as Chief Financial Officer. He also held various leadership roles in Worldwide Field Operations, Products, Application Development Tools, Product Development, and Corporate Finance. Mr. Ashe holds an Honours Bachelor of Commerce with a major in Accounting from the University of Ottawa. Mr. Ashe is also a Certified Public Accountant in Canada.</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CURRENT OTHER PUBLIC COMPANY DIRECTORSHIPS: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Shopify Inc. (December 2014 to present)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PRIOR OTHER PUBLIC COMPANY DIRECTORSHIPS: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ServiceSource International, Inc. (March 2013 to May 2020) and Halogen Software Inc. (February 2013 to April 2017)</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QUALIFICATIONS:</w:t>
      </w:r>
    </w:p>
    <w:p>
      <w:pPr>
        <w:spacing w:after="0" w:line="5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believe Mr. Ashe’s over 30 years of experience in finance, product marketing, software development, revenue growth and strategic transactions qualify him to serve as a director. As CEO and CFO of Cognos, he executed strategic acquisitions and led its integration into IBM, providing valuable insight into investment, organic growth and M&amp;A strategies. His background as a former CFO brings expertise in corporate finance, accounting and internal controls. His experience in the technology sector also allows him to provide valuable insights on MSCI’s technology strategy. As a former public company CEO, lead director and board member, he also provides governance and leadership expertise in his role as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640080</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40" w:space="720"/>
            <w:col w:w="8660"/>
          </w:cols>
          <w:pgMar w:left="320" w:top="29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-1461770</wp:posOffset>
            </wp:positionV>
            <wp:extent cx="1148715" cy="1148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48715" cy="114871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66 years old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7160" w:val="left"/>
        </w:tabs>
        <w:rPr>
          <w:sz w:val="20"/>
          <w:szCs w:val="20"/>
          <w:color w:val="auto"/>
        </w:rPr>
      </w:pPr>
      <w:r>
        <w:rPr>
          <w:rFonts w:ascii="Arial" w:cs="Arial" w:eastAsia="Arial" w:hAnsi="Arial"/>
          <w:sz w:val="18"/>
          <w:szCs w:val="18"/>
          <w:b w:val="1"/>
          <w:bCs w:val="1"/>
          <w:color w:val="1A3FD6"/>
        </w:rPr>
        <w:t>HENRY A. FERNANDEZ</w:t>
      </w:r>
      <w:r>
        <w:rPr>
          <w:sz w:val="20"/>
          <w:szCs w:val="20"/>
          <w:color w:val="auto"/>
        </w:rPr>
        <w:tab/>
      </w:r>
      <w:r>
        <w:rPr>
          <w:rFonts w:ascii="Arial" w:cs="Arial" w:eastAsia="Arial" w:hAnsi="Arial"/>
          <w:sz w:val="16"/>
          <w:szCs w:val="16"/>
          <w:b w:val="1"/>
          <w:bCs w:val="1"/>
          <w:color w:val="auto"/>
        </w:rPr>
        <w:t>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86360</wp:posOffset>
            </wp:positionV>
            <wp:extent cx="552069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20690" cy="34290"/>
                    </a:xfrm>
                    <a:prstGeom prst="rect">
                      <a:avLst/>
                    </a:prstGeom>
                    <a:noFill/>
                  </pic:spPr>
                </pic:pic>
              </a:graphicData>
            </a:graphic>
          </wp:anchor>
        </w:drawing>
      </w:r>
    </w:p>
    <w:p>
      <w:pPr>
        <w:spacing w:after="0" w:line="250" w:lineRule="exact"/>
        <w:rPr>
          <w:sz w:val="20"/>
          <w:szCs w:val="20"/>
          <w:color w:val="auto"/>
        </w:rPr>
      </w:pPr>
    </w:p>
    <w:p>
      <w:pPr>
        <w:jc w:val="both"/>
        <w:ind w:right="140"/>
        <w:spacing w:after="0" w:line="247" w:lineRule="auto"/>
        <w:rPr>
          <w:sz w:val="20"/>
          <w:szCs w:val="20"/>
          <w:color w:val="auto"/>
        </w:rPr>
      </w:pPr>
      <w:r>
        <w:rPr>
          <w:rFonts w:ascii="Arial" w:cs="Arial" w:eastAsia="Arial" w:hAnsi="Arial"/>
          <w:sz w:val="16"/>
          <w:szCs w:val="16"/>
          <w:color w:val="auto"/>
        </w:rPr>
        <w:t>Mr. Fernandez has served as Chairman of our Board since 2007 and as our CEO and a director since 1998. He served as head of the MSCI business from 1996 to 1998 and as President from 1998 to October 2017. MSCI was previously a business unit within Morgan Stanley prior to its IPO in 2007. Before leading MSCI, he was a Managing Director</w:t>
      </w:r>
    </w:p>
    <w:p>
      <w:pPr>
        <w:spacing w:after="0" w:line="1"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at Morgan Stanley, where he worked from 1983 to 1991 and from 1994 to 2007, in emerging markets business strategy, equity derivatives sales and trading, mergers and acquisitions, and corporate and mortgage finance. Mr. Fernandez holds a Bachelor of Arts in economics from Georgetown University, an M.B.A. from the Stanford University Graduate School of Business and pursued doctoral studies in economics at Princeton University.</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CURRENT OTHER PUBLIC COMPANY DIRECTORSHIPS: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Royalty Pharma plc (August 2020 to present)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QUALIFICATIONS:</w:t>
      </w:r>
    </w:p>
    <w:p>
      <w:pPr>
        <w:spacing w:after="0" w:line="5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believe that Mr. Fernandez’s extensive experience and leadership in the financial services industry, as well as his unparalleled knowledge of MSCI and its business, render him qualified to serve as one of our directors. As MSCI’s Chief Executive Officer, he brings significant senior leadership, and direct knowledge and experience, in the Company’s culture, business development, strategy, growth and long-term success. In addition, as the lead director of another public company, Mr. Fernandez also brings to the Board additional experience and insight with respect to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1477010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666750</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1840" w:space="720"/>
            <w:col w:w="8660"/>
          </w:cols>
          <w:pgMar w:left="320" w:top="292" w:right="35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7480"/>
              <w:spacing w:after="0"/>
              <w:rPr>
                <w:sz w:val="20"/>
                <w:szCs w:val="20"/>
                <w:color w:val="auto"/>
              </w:rPr>
            </w:pPr>
            <w:r>
              <w:rPr>
                <w:rFonts w:ascii="Arial" w:cs="Arial" w:eastAsia="Arial" w:hAnsi="Arial"/>
                <w:sz w:val="14"/>
                <w:szCs w:val="14"/>
                <w:b w:val="1"/>
                <w:bCs w:val="1"/>
                <w:color w:val="1A3FD6"/>
              </w:rPr>
              <w:t>Proposal No. 1: Election of Directors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23</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240"/>
          </w:cols>
          <w:pgMar w:left="320" w:top="1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right="340"/>
        <w:spacing w:after="0" w:line="346" w:lineRule="auto"/>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2022</w:t>
      </w:r>
      <w:r>
        <w:rPr>
          <w:rFonts w:ascii="Arial" w:cs="Arial" w:eastAsia="Arial" w:hAnsi="Arial"/>
          <w:sz w:val="16"/>
          <w:szCs w:val="16"/>
          <w:b w:val="1"/>
          <w:bCs w:val="1"/>
          <w:color w:val="auto"/>
        </w:rPr>
        <w:t xml:space="preserve"> Age: </w:t>
      </w:r>
      <w:r>
        <w:rPr>
          <w:rFonts w:ascii="Arial" w:cs="Arial" w:eastAsia="Arial" w:hAnsi="Arial"/>
          <w:sz w:val="16"/>
          <w:szCs w:val="16"/>
          <w:color w:val="auto"/>
        </w:rPr>
        <w:t>59 years old</w:t>
      </w:r>
      <w:r>
        <w:rPr>
          <w:rFonts w:ascii="Arial" w:cs="Arial" w:eastAsia="Arial" w:hAnsi="Arial"/>
          <w:sz w:val="16"/>
          <w:szCs w:val="16"/>
          <w:b w:val="1"/>
          <w:bCs w:val="1"/>
          <w:color w:val="auto"/>
        </w:rPr>
        <w:t xml:space="preserv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-1850390</wp:posOffset>
            </wp:positionV>
            <wp:extent cx="1148715" cy="1148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48715" cy="11487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Compensation Committee</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Governance</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Committee</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tabs>
          <w:tab w:leader="none" w:pos="7020" w:val="left"/>
        </w:tabs>
        <w:rPr>
          <w:sz w:val="20"/>
          <w:szCs w:val="20"/>
          <w:color w:val="auto"/>
        </w:rPr>
      </w:pPr>
      <w:r>
        <w:rPr>
          <w:rFonts w:ascii="Arial" w:cs="Arial" w:eastAsia="Arial" w:hAnsi="Arial"/>
          <w:sz w:val="18"/>
          <w:szCs w:val="18"/>
          <w:b w:val="1"/>
          <w:bCs w:val="1"/>
          <w:color w:val="1A3FD6"/>
        </w:rPr>
        <w:t>ROBIN L. MATLOCK</w:t>
      </w:r>
      <w:r>
        <w:rPr>
          <w:sz w:val="20"/>
          <w:szCs w:val="20"/>
          <w:color w:val="auto"/>
        </w:rPr>
        <w:tab/>
      </w:r>
      <w:r>
        <w:rPr>
          <w:rFonts w:ascii="Arial" w:cs="Arial" w:eastAsia="Arial" w:hAnsi="Arial"/>
          <w:sz w:val="16"/>
          <w:szCs w:val="16"/>
          <w:b w:val="1"/>
          <w:b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86360</wp:posOffset>
            </wp:positionV>
            <wp:extent cx="5520690" cy="342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20690" cy="34290"/>
                    </a:xfrm>
                    <a:prstGeom prst="rect">
                      <a:avLst/>
                    </a:prstGeom>
                    <a:noFill/>
                  </pic:spPr>
                </pic:pic>
              </a:graphicData>
            </a:graphic>
          </wp:anchor>
        </w:drawing>
      </w:r>
    </w:p>
    <w:p>
      <w:pPr>
        <w:spacing w:after="0" w:line="26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Ms. Matlock previously served as the Senior Vice President and Chief Marketing Officer of VMware, Inc. (“VMware”), a publicly held software virtualization company recently acquired by Broadcom Inc., a position she held from 2013 to June 2020. Ms. Matlock previously served as Vice President, Corporate Marketing at VMware from 2009 to 2013. Before VMware, Ms. Matlock served as Executive Vice President and General Manager of Imperva Inc., a cybersecurity software and services company. Prior to that, she held executive positions in a number of technology companies, including McAfee, Entercept Security Technologies and Symantec Corporation. Ms. Matlock has also served as a director and advisor of private technology companies, including Cohesity, Inc., People.ai and Dremio Corporation, for a number of years. She earned her Bachelor of Arts degree in Economics and Music from Rice University.</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CURRENT OTHER PUBLIC COMPANY DIRECTORSHIPS: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Iron Mountain Incorporated (July 2019 to present)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QUALIFICATIONS:</w:t>
      </w:r>
    </w:p>
    <w:p>
      <w:pPr>
        <w:spacing w:after="0" w:line="59"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We believe that Ms. Matlock’s extensive experience in the areas of go-to-market and marketing strategy, client insight and technological innovation render her qualified to serve as one of our directors. Her prior experience in marketing, digital solutions and business development in a leading technology company, and her current experience as a director and advisor to a number of private technology companies, add to her deep understanding of the technology sector and the importance of client centricity. Her public company board experience also enables her to contribute valuable insights into corporate governance and the 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781050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660"/>
            <w:col w:w="8680"/>
          </w:cols>
          <w:pgMar w:left="320" w:top="16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right="340"/>
        <w:spacing w:after="0" w:line="346" w:lineRule="auto"/>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2017</w:t>
      </w:r>
      <w:r>
        <w:rPr>
          <w:rFonts w:ascii="Arial" w:cs="Arial" w:eastAsia="Arial" w:hAnsi="Arial"/>
          <w:sz w:val="16"/>
          <w:szCs w:val="16"/>
          <w:b w:val="1"/>
          <w:bCs w:val="1"/>
          <w:color w:val="auto"/>
        </w:rPr>
        <w:t xml:space="preserve"> Age: </w:t>
      </w:r>
      <w:r>
        <w:rPr>
          <w:rFonts w:ascii="Arial" w:cs="Arial" w:eastAsia="Arial" w:hAnsi="Arial"/>
          <w:sz w:val="16"/>
          <w:szCs w:val="16"/>
          <w:color w:val="auto"/>
        </w:rPr>
        <w:t>66 years old</w:t>
      </w:r>
      <w:r>
        <w:rPr>
          <w:rFonts w:ascii="Arial" w:cs="Arial" w:eastAsia="Arial" w:hAnsi="Arial"/>
          <w:sz w:val="16"/>
          <w:szCs w:val="16"/>
          <w:b w:val="1"/>
          <w:bCs w:val="1"/>
          <w:color w:val="auto"/>
        </w:rPr>
        <w:t xml:space="preserv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-1850390</wp:posOffset>
            </wp:positionV>
            <wp:extent cx="1148715" cy="1148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48715" cy="1148715"/>
                    </a:xfrm>
                    <a:prstGeom prst="rect">
                      <a:avLst/>
                    </a:prstGeom>
                    <a:noFill/>
                  </pic:spPr>
                </pic:pic>
              </a:graphicData>
            </a:graphic>
          </wp:anchor>
        </w:drawing>
      </w:r>
    </w:p>
    <w:p>
      <w:pPr>
        <w:ind w:left="20"/>
        <w:spacing w:after="0" w:line="299" w:lineRule="auto"/>
        <w:rPr>
          <w:sz w:val="20"/>
          <w:szCs w:val="20"/>
          <w:color w:val="auto"/>
        </w:rPr>
      </w:pPr>
      <w:r>
        <w:rPr>
          <w:rFonts w:ascii="Arial" w:cs="Arial" w:eastAsia="Arial" w:hAnsi="Arial"/>
          <w:sz w:val="16"/>
          <w:szCs w:val="16"/>
          <w:color w:val="auto"/>
        </w:rPr>
        <w:t>Compensation Committee (Chair)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Strategy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7020" w:val="left"/>
        </w:tabs>
        <w:rPr>
          <w:sz w:val="20"/>
          <w:szCs w:val="20"/>
          <w:color w:val="auto"/>
        </w:rPr>
      </w:pPr>
      <w:r>
        <w:rPr>
          <w:rFonts w:ascii="Arial" w:cs="Arial" w:eastAsia="Arial" w:hAnsi="Arial"/>
          <w:sz w:val="18"/>
          <w:szCs w:val="18"/>
          <w:b w:val="1"/>
          <w:bCs w:val="1"/>
          <w:color w:val="1A3FD6"/>
        </w:rPr>
        <w:t>JACQUES P. PEROLD</w:t>
      </w:r>
      <w:r>
        <w:rPr>
          <w:sz w:val="20"/>
          <w:szCs w:val="20"/>
          <w:color w:val="auto"/>
        </w:rPr>
        <w:tab/>
      </w:r>
      <w:r>
        <w:rPr>
          <w:rFonts w:ascii="Arial" w:cs="Arial" w:eastAsia="Arial" w:hAnsi="Arial"/>
          <w:sz w:val="16"/>
          <w:szCs w:val="16"/>
          <w:b w:val="1"/>
          <w:b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86360</wp:posOffset>
            </wp:positionV>
            <wp:extent cx="552069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20690" cy="34290"/>
                    </a:xfrm>
                    <a:prstGeom prst="rect">
                      <a:avLst/>
                    </a:prstGeom>
                    <a:noFill/>
                  </pic:spPr>
                </pic:pic>
              </a:graphicData>
            </a:graphic>
          </wp:anchor>
        </w:drawing>
      </w:r>
    </w:p>
    <w:p>
      <w:pPr>
        <w:spacing w:after="0" w:line="26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Mr. Perold was president of Fidelity Management &amp; Research Company, the investment advisor for Fidelity’s family of mutual funds, until his retirement in 2014. From 2001 to 2009, Mr. Perold was president of Geode Capital Management, LLC, a sub-advisor to Fidelity. He is currently a trustee of New York Life Insurance Company’s NYLI mutual funds, a trustee of Partners in Health, and a co-founder and Chairman of CapShift, a company focused on enabling impact investments from donor-advised funds and foundations. Mr. Perold holds a Bachelor of Arts degree in economic history from the University of Cape Town and a post-graduate Bachelor of Arts Honors degree in sociology from the University of Cape Town.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CURRENT OTHER PUBLIC COMPANY DIRECTORSHIPS: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Allstate Corporation (December 2015 to present)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QUALIFICATIONS:</w:t>
      </w:r>
    </w:p>
    <w:p>
      <w:pPr>
        <w:spacing w:after="0" w:line="73"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believe that Mr. Perold’s over 30 years of experience and leadership in strategy and operations at one of the world’s largest asset management firms render him qualified to serve as one of our directors. Mr. Perold’s role in leading investments and operations for a global investment firm as well as serving as the founder of an investment advisory firm also provides the Board with valuable insight into the Company’s asset management client segment. In addition, his role as a senior business leader who oversaw compensation programs and goals provides knowledge of the role and responsibilities of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1463040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661035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1900" w:space="660"/>
            <w:col w:w="8680"/>
          </w:cols>
          <w:pgMar w:left="320" w:top="166" w:right="339" w:bottom="1440" w:gutter="0" w:footer="0" w:header="0"/>
          <w:type w:val="continuous"/>
        </w:sectPr>
      </w:pPr>
    </w:p>
    <w:bookmarkStart w:id="25" w:name="page26"/>
    <w:bookmarkEnd w:id="25"/>
    <w:p>
      <w:pPr>
        <w:ind w:left="80"/>
        <w:spacing w:after="0"/>
        <w:tabs>
          <w:tab w:leader="none" w:pos="76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24</w:t>
      </w:r>
      <w:r>
        <w:rPr>
          <w:sz w:val="20"/>
          <w:szCs w:val="20"/>
          <w:color w:val="auto"/>
        </w:rPr>
        <w:tab/>
      </w:r>
      <w:r>
        <w:rPr>
          <w:rFonts w:ascii="Arial" w:cs="Arial" w:eastAsia="Arial" w:hAnsi="Arial"/>
          <w:sz w:val="14"/>
          <w:szCs w:val="14"/>
          <w:b w:val="1"/>
          <w:bCs w:val="1"/>
          <w:color w:val="1A3FD6"/>
        </w:rPr>
        <w:t>2025 PROXY STATEMENT</w:t>
      </w:r>
    </w:p>
    <w:p>
      <w:pPr>
        <w:sectPr>
          <w:pgSz w:w="11900" w:h="16838" w:orient="portrait"/>
          <w:cols w:equalWidth="0" w:num="1">
            <w:col w:w="11200"/>
          </w:cols>
          <w:pgMar w:left="340" w:top="2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-1461770</wp:posOffset>
            </wp:positionV>
            <wp:extent cx="1148715" cy="1148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48715" cy="114871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60 years old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5040" w:val="left"/>
        </w:tabs>
        <w:rPr>
          <w:sz w:val="20"/>
          <w:szCs w:val="20"/>
          <w:color w:val="auto"/>
        </w:rPr>
      </w:pPr>
      <w:r>
        <w:rPr>
          <w:rFonts w:ascii="Arial" w:cs="Arial" w:eastAsia="Arial" w:hAnsi="Arial"/>
          <w:sz w:val="18"/>
          <w:szCs w:val="18"/>
          <w:b w:val="1"/>
          <w:bCs w:val="1"/>
          <w:color w:val="1A3FD6"/>
        </w:rPr>
        <w:t>C.D. BAER PETTIT</w:t>
      </w:r>
      <w:r>
        <w:rPr>
          <w:sz w:val="20"/>
          <w:szCs w:val="20"/>
          <w:color w:val="auto"/>
        </w:rPr>
        <w:tab/>
      </w:r>
      <w:r>
        <w:rPr>
          <w:rFonts w:ascii="Arial" w:cs="Arial" w:eastAsia="Arial" w:hAnsi="Arial"/>
          <w:sz w:val="16"/>
          <w:szCs w:val="16"/>
          <w:b w:val="1"/>
          <w:bCs w:val="1"/>
          <w:color w:val="auto"/>
        </w:rPr>
        <w:t>Director, 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86360</wp:posOffset>
            </wp:positionV>
            <wp:extent cx="552069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20690" cy="34290"/>
                    </a:xfrm>
                    <a:prstGeom prst="rect">
                      <a:avLst/>
                    </a:prstGeom>
                    <a:noFill/>
                  </pic:spPr>
                </pic:pic>
              </a:graphicData>
            </a:graphic>
          </wp:anchor>
        </w:drawing>
      </w:r>
    </w:p>
    <w:p>
      <w:pPr>
        <w:spacing w:after="0" w:line="264"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Mr. Pettit joined MSCI in 2000 and has served as MSCI’s President since October 2017 and Chief Operating Officer since January 2020, having previously served as Chief Operating Officer from 2015 to 2017. He is responsible for MSCI’s commercial and operational functions, including client coverage, marketing, product management, research and development, technology and operations. He previously served as MSCI’s Head of Products, Head of Index Products, Head of Marketing and Head of Client Coverage. Mr. Pettit holds a Master of Arts degree in history from Cambridge University and a Master of Science degree from the School of Foreign Service at Georgetown University.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QUALIFICATIONS:</w:t>
      </w:r>
    </w:p>
    <w:p>
      <w:pPr>
        <w:spacing w:after="0" w:line="73"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We believe that Mr. Pettit’s over 20 years of experience with MSCI, including his oversight of the Company’s commercial and operational functions, render him qualified to serve as one of our directors. He brings to the Board industry and business acumen in addition to in-depth knowledge about MSCI’s business, clients, products, technology and long-term strategy, as well as extensive experience overseeing day-to-day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547370</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20" w:space="720"/>
            <w:col w:w="8660"/>
          </w:cols>
          <w:pgMar w:left="340" w:top="29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80"/>
        <w:spacing w:after="0" w:line="346" w:lineRule="auto"/>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2020</w:t>
      </w:r>
      <w:r>
        <w:rPr>
          <w:rFonts w:ascii="Arial" w:cs="Arial" w:eastAsia="Arial" w:hAnsi="Arial"/>
          <w:sz w:val="16"/>
          <w:szCs w:val="16"/>
          <w:b w:val="1"/>
          <w:bCs w:val="1"/>
          <w:color w:val="auto"/>
        </w:rPr>
        <w:t xml:space="preserve"> Age: </w:t>
      </w:r>
      <w:r>
        <w:rPr>
          <w:rFonts w:ascii="Arial" w:cs="Arial" w:eastAsia="Arial" w:hAnsi="Arial"/>
          <w:sz w:val="16"/>
          <w:szCs w:val="16"/>
          <w:color w:val="auto"/>
        </w:rPr>
        <w:t>55 years old</w:t>
      </w:r>
      <w:r>
        <w:rPr>
          <w:rFonts w:ascii="Arial" w:cs="Arial" w:eastAsia="Arial" w:hAnsi="Arial"/>
          <w:sz w:val="16"/>
          <w:szCs w:val="16"/>
          <w:b w:val="1"/>
          <w:bCs w:val="1"/>
          <w:color w:val="auto"/>
        </w:rPr>
        <w:t xml:space="preserv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-1850390</wp:posOffset>
            </wp:positionV>
            <wp:extent cx="1148715" cy="1148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48715" cy="11487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Governance Committee</w:t>
      </w:r>
    </w:p>
    <w:p>
      <w:pPr>
        <w:spacing w:after="0" w:line="86"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Strategy Committee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7020" w:val="left"/>
        </w:tabs>
        <w:rPr>
          <w:sz w:val="20"/>
          <w:szCs w:val="20"/>
          <w:color w:val="auto"/>
        </w:rPr>
      </w:pPr>
      <w:r>
        <w:rPr>
          <w:rFonts w:ascii="Arial" w:cs="Arial" w:eastAsia="Arial" w:hAnsi="Arial"/>
          <w:sz w:val="18"/>
          <w:szCs w:val="18"/>
          <w:b w:val="1"/>
          <w:bCs w:val="1"/>
          <w:color w:val="1A3FD6"/>
        </w:rPr>
        <w:t>SANDY C. RATTRAY</w:t>
      </w:r>
      <w:r>
        <w:rPr>
          <w:sz w:val="20"/>
          <w:szCs w:val="20"/>
          <w:color w:val="auto"/>
        </w:rPr>
        <w:tab/>
      </w:r>
      <w:r>
        <w:rPr>
          <w:rFonts w:ascii="Arial" w:cs="Arial" w:eastAsia="Arial" w:hAnsi="Arial"/>
          <w:sz w:val="16"/>
          <w:szCs w:val="16"/>
          <w:b w:val="1"/>
          <w:b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86360</wp:posOffset>
            </wp:positionV>
            <wp:extent cx="552069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520690" cy="34290"/>
                    </a:xfrm>
                    <a:prstGeom prst="rect">
                      <a:avLst/>
                    </a:prstGeom>
                    <a:noFill/>
                  </pic:spPr>
                </pic:pic>
              </a:graphicData>
            </a:graphic>
          </wp:anchor>
        </w:drawing>
      </w:r>
    </w:p>
    <w:p>
      <w:pPr>
        <w:spacing w:after="0" w:line="264"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Mr. Rattray retired from Man Group plc in September 2021, having served as Chief Investment Officer from 2017 to September 2021. He previously served as Chief Executive Officer of Man AHL from 2013 to 2017 and Chief Investment Officer of Man Systematic Strategies from 2010 to 2013. Prior to holding such positions, he held several other senior leadership positions at Man Group. Before joining GLG Partners, which was later acquired by Man Group in 2007, he spent 15 years at Goldman Sachs where he held various positions, including Managing Director and head of the Fundamental Strategy Group. Mr. Rattray also sits on the MSCI Advisory Council. He is also a governor of the Southbank Centre in London, a governor of the King’s Maths School in London and is a Senior Advisor at Capula Investment Management LLP. He also pursues his personal interest in the field of architecture, including since 2023 at Allies and Morrison, a London-based architecture and urban planning firm. He holds a Master’s degree in Natural Sciences and Economics from the University of Cambridge and a Licence Spéciale from the Université Libre de Bruxelles.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QUALIFICATIONS:</w:t>
      </w:r>
    </w:p>
    <w:p>
      <w:pPr>
        <w:spacing w:after="0" w:line="5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believe that Mr. Rattray’s over 25 years of experience in the global investment industry, including a focus on the technological innovation impacting the industry, render him qualified to serve as one of our directors. In particular, his background in finance at a leading, technology-focused asset management firm enables him to provide insights into our clients, operational and risk management, and our commercial strategy. In addition, Mr. Rattray has authored numerous academic papers in finance, focusing on investment strategies, risk management and portfolio design. Mr. Rattray is also a co-inventor of the VIX index, created in 2003, which has since become one of the most traded futures and options contracts in the world. This combination of advanced theoretical insight and practical experience as the Chief Investment Officer of a global asset management firm provides Mr. Rattray with a deep understanding of the finance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1593850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791845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1820" w:space="720"/>
            <w:col w:w="8660"/>
          </w:cols>
          <w:pgMar w:left="340" w:top="292" w:right="35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7480"/>
              <w:spacing w:after="0"/>
              <w:rPr>
                <w:sz w:val="20"/>
                <w:szCs w:val="20"/>
                <w:color w:val="auto"/>
              </w:rPr>
            </w:pPr>
            <w:r>
              <w:rPr>
                <w:rFonts w:ascii="Arial" w:cs="Arial" w:eastAsia="Arial" w:hAnsi="Arial"/>
                <w:sz w:val="14"/>
                <w:szCs w:val="14"/>
                <w:b w:val="1"/>
                <w:bCs w:val="1"/>
                <w:color w:val="1A3FD6"/>
              </w:rPr>
              <w:t>Proposal No. 1: Election of Directors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25</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240"/>
          </w:cols>
          <w:pgMar w:left="320" w:top="1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right="340"/>
        <w:spacing w:after="0" w:line="346" w:lineRule="auto"/>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2007</w:t>
      </w:r>
      <w:r>
        <w:rPr>
          <w:rFonts w:ascii="Arial" w:cs="Arial" w:eastAsia="Arial" w:hAnsi="Arial"/>
          <w:sz w:val="16"/>
          <w:szCs w:val="16"/>
          <w:b w:val="1"/>
          <w:bCs w:val="1"/>
          <w:color w:val="auto"/>
        </w:rPr>
        <w:t xml:space="preserve"> Age: </w:t>
      </w:r>
      <w:r>
        <w:rPr>
          <w:rFonts w:ascii="Arial" w:cs="Arial" w:eastAsia="Arial" w:hAnsi="Arial"/>
          <w:sz w:val="16"/>
          <w:szCs w:val="16"/>
          <w:color w:val="auto"/>
        </w:rPr>
        <w:t>64 years old</w:t>
      </w:r>
      <w:r>
        <w:rPr>
          <w:rFonts w:ascii="Arial" w:cs="Arial" w:eastAsia="Arial" w:hAnsi="Arial"/>
          <w:sz w:val="16"/>
          <w:szCs w:val="16"/>
          <w:b w:val="1"/>
          <w:bCs w:val="1"/>
          <w:color w:val="auto"/>
        </w:rPr>
        <w:t xml:space="preserv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-1850390</wp:posOffset>
            </wp:positionV>
            <wp:extent cx="1148715" cy="1148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48715" cy="11487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Compensation Committee</w:t>
      </w:r>
    </w:p>
    <w:p>
      <w:pPr>
        <w:spacing w:after="0" w:line="86" w:lineRule="exact"/>
        <w:rPr>
          <w:sz w:val="20"/>
          <w:szCs w:val="20"/>
          <w:color w:val="auto"/>
        </w:rPr>
      </w:pPr>
    </w:p>
    <w:p>
      <w:pPr>
        <w:ind w:left="20" w:right="160"/>
        <w:spacing w:after="0" w:line="304" w:lineRule="auto"/>
        <w:rPr>
          <w:sz w:val="20"/>
          <w:szCs w:val="20"/>
          <w:color w:val="auto"/>
        </w:rPr>
      </w:pPr>
      <w:r>
        <w:rPr>
          <w:rFonts w:ascii="Arial" w:cs="Arial" w:eastAsia="Arial" w:hAnsi="Arial"/>
          <w:sz w:val="16"/>
          <w:szCs w:val="16"/>
          <w:color w:val="auto"/>
        </w:rPr>
        <w:t>Governance Committee (Chair)</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tabs>
          <w:tab w:leader="none" w:pos="7020" w:val="left"/>
        </w:tabs>
        <w:rPr>
          <w:sz w:val="20"/>
          <w:szCs w:val="20"/>
          <w:color w:val="auto"/>
        </w:rPr>
      </w:pPr>
      <w:r>
        <w:rPr>
          <w:rFonts w:ascii="Arial" w:cs="Arial" w:eastAsia="Arial" w:hAnsi="Arial"/>
          <w:sz w:val="18"/>
          <w:szCs w:val="18"/>
          <w:b w:val="1"/>
          <w:bCs w:val="1"/>
          <w:color w:val="1A3FD6"/>
        </w:rPr>
        <w:t>LINDA H. RIEFLER</w:t>
      </w:r>
      <w:r>
        <w:rPr>
          <w:sz w:val="20"/>
          <w:szCs w:val="20"/>
          <w:color w:val="auto"/>
        </w:rPr>
        <w:tab/>
      </w:r>
      <w:r>
        <w:rPr>
          <w:rFonts w:ascii="Arial" w:cs="Arial" w:eastAsia="Arial" w:hAnsi="Arial"/>
          <w:sz w:val="16"/>
          <w:szCs w:val="16"/>
          <w:b w:val="1"/>
          <w:b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86360</wp:posOffset>
            </wp:positionV>
            <wp:extent cx="552069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20690" cy="34290"/>
                    </a:xfrm>
                    <a:prstGeom prst="rect">
                      <a:avLst/>
                    </a:prstGeom>
                    <a:noFill/>
                  </pic:spPr>
                </pic:pic>
              </a:graphicData>
            </a:graphic>
          </wp:anchor>
        </w:drawing>
      </w:r>
    </w:p>
    <w:p>
      <w:pPr>
        <w:spacing w:after="0" w:line="264"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Ms. Riefler retired from Morgan Stanley in February 2013, where she served as the Chair of Global Research from June 2011 to February 2013 and as the Global Head of Research from 2008. She was the Chief Talent Officer of Morgan Stanley from 2006 to 2008. In these roles she served on both the Management Committee and the Operating Committee of Morgan Stanley. Ms. Riefler joined Morgan Stanley in 1987 in the Capital Markets division and was appointed a Managing Director in 1998 while in the Research division. Ms. Riefler holds a Bachelor of Arts in economics from Princeton University and an M.B.A. from the Stanford University Graduate School of Business.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CURRENT OTHER PUBLIC COMPANY DIRECTORSHIPS: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CSX Corporation (March 2017 to present)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QUALIFICATIONS:</w:t>
      </w:r>
    </w:p>
    <w:p>
      <w:pPr>
        <w:spacing w:after="0" w:line="73"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We believe that Ms. Riefler’s knowledge of talent management, risk management, company valuation and the capital markets render her qualified to serve as one of our directors. Because Ms. Riefler has been associated with the Company since 2005 and has played an important role in the Board’s oversight of strategic direction, the Board believes that her knowledge of the Company and its businesses gives her unique insight into long-term growth opportunities and strategies. The knowledge that Ms. Riefler acquired as the Global Head of Research and the Chief Talent Officer of Morgan Stanley also enables her to advise the Company on its commercial and talent strategies. She has also gained expertise in governance as the Chair of the Governance and Sustainability Committee of a public company and through her service on the executive leadership team of Stanford Women on Boards. In 2023, Ms. Riefler was recognized for outstanding work by an independent director at Governance Intelligence’s Corporate Governance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790575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660"/>
            <w:col w:w="8680"/>
          </w:cols>
          <w:pgMar w:left="320" w:top="16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-1461770</wp:posOffset>
            </wp:positionV>
            <wp:extent cx="1148715" cy="1148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48715" cy="1148715"/>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59 years old</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Committees: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Strategy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7020" w:val="left"/>
        </w:tabs>
        <w:rPr>
          <w:sz w:val="20"/>
          <w:szCs w:val="20"/>
          <w:color w:val="auto"/>
        </w:rPr>
      </w:pPr>
      <w:r>
        <w:rPr>
          <w:rFonts w:ascii="Arial" w:cs="Arial" w:eastAsia="Arial" w:hAnsi="Arial"/>
          <w:sz w:val="18"/>
          <w:szCs w:val="18"/>
          <w:b w:val="1"/>
          <w:bCs w:val="1"/>
          <w:color w:val="1A3FD6"/>
        </w:rPr>
        <w:t>MICHELLE SEITZ</w:t>
      </w:r>
      <w:r>
        <w:rPr>
          <w:sz w:val="20"/>
          <w:szCs w:val="20"/>
          <w:color w:val="auto"/>
        </w:rPr>
        <w:tab/>
      </w:r>
      <w:r>
        <w:rPr>
          <w:rFonts w:ascii="Arial" w:cs="Arial" w:eastAsia="Arial" w:hAnsi="Arial"/>
          <w:sz w:val="16"/>
          <w:szCs w:val="16"/>
          <w:b w:val="1"/>
          <w:b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86360</wp:posOffset>
            </wp:positionV>
            <wp:extent cx="552069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20690" cy="34290"/>
                    </a:xfrm>
                    <a:prstGeom prst="rect">
                      <a:avLst/>
                    </a:prstGeom>
                    <a:noFill/>
                  </pic:spPr>
                </pic:pic>
              </a:graphicData>
            </a:graphic>
          </wp:anchor>
        </w:drawing>
      </w:r>
    </w:p>
    <w:p>
      <w:pPr>
        <w:spacing w:after="0" w:line="264"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Ms. Seitz is currently the Founder and CEO of MeydenVest Partners, a role she has held since September 2022. Before MeydenVest Partners, Ms. Seitz served at Russell Investments as Chief Executive Officer from September 2017 to October 2022, and as Chairman of the Board from January 2018 to September 2022. Prior to joining Russell Investments, Ms. Seitz held various senior level positions at William Blair from February 1996 to August 2017, most recently serving as the Chief Executive Officer of William Blair Investment Management, Chair and President of William Blair Funds, and as a member of the Board of Directors from June 2001 to August 2017. Ms. Seitz holds a Bachelor of Science degree in Accounting from the Kelley School of Business at Indiana University, and is a Chartered Financial Analyst (CFA).</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CURRENT OTHER PUBLIC COMPANY DIRECTORSHIPS: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Sana Biotechnology, Inc. (November 2020 to present)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QUALIFICATIONS:</w:t>
      </w:r>
    </w:p>
    <w:p>
      <w:pPr>
        <w:spacing w:after="0" w:line="59"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We believe that Ms. Seitz’s deep experience in the investment industry, with over three decades in asset management and private wealth as both a CEO and an investor, qualifies her to serve as one of our directors. She has a proven track record of driving transformational growth while fostering a client-centric, award-winning culture. Ms. Seitz has been recognized as one of the most influential women in U.S. finance, underscoring the breadth and impact of her contributions to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1348740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546735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1840" w:space="720"/>
            <w:col w:w="8680"/>
          </w:cols>
          <w:pgMar w:left="320" w:top="166" w:right="339" w:bottom="1440" w:gutter="0" w:footer="0" w:header="0"/>
          <w:type w:val="continuous"/>
        </w:sectPr>
      </w:pPr>
    </w:p>
    <w:bookmarkStart w:id="27" w:name="page28"/>
    <w:bookmarkEnd w:id="27"/>
    <w:p>
      <w:pPr>
        <w:ind w:left="80"/>
        <w:spacing w:after="0"/>
        <w:tabs>
          <w:tab w:leader="none" w:pos="76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26</w:t>
      </w:r>
      <w:r>
        <w:rPr>
          <w:sz w:val="20"/>
          <w:szCs w:val="20"/>
          <w:color w:val="auto"/>
        </w:rPr>
        <w:tab/>
      </w:r>
      <w:r>
        <w:rPr>
          <w:rFonts w:ascii="Arial" w:cs="Arial" w:eastAsia="Arial" w:hAnsi="Arial"/>
          <w:sz w:val="14"/>
          <w:szCs w:val="14"/>
          <w:b w:val="1"/>
          <w:bCs w:val="1"/>
          <w:color w:val="1A3FD6"/>
        </w:rPr>
        <w:t>2025 PROXY STATEMENT</w:t>
      </w:r>
    </w:p>
    <w:p>
      <w:pPr>
        <w:sectPr>
          <w:pgSz w:w="11900" w:h="16838" w:orient="portrait"/>
          <w:cols w:equalWidth="0" w:num="1">
            <w:col w:w="11200"/>
          </w:cols>
          <w:pgMar w:left="340" w:top="2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80"/>
        <w:spacing w:after="0" w:line="346" w:lineRule="auto"/>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2017</w:t>
      </w:r>
      <w:r>
        <w:rPr>
          <w:rFonts w:ascii="Arial" w:cs="Arial" w:eastAsia="Arial" w:hAnsi="Arial"/>
          <w:sz w:val="16"/>
          <w:szCs w:val="16"/>
          <w:b w:val="1"/>
          <w:bCs w:val="1"/>
          <w:color w:val="auto"/>
        </w:rPr>
        <w:t xml:space="preserve"> Age: </w:t>
      </w:r>
      <w:r>
        <w:rPr>
          <w:rFonts w:ascii="Arial" w:cs="Arial" w:eastAsia="Arial" w:hAnsi="Arial"/>
          <w:sz w:val="16"/>
          <w:szCs w:val="16"/>
          <w:color w:val="auto"/>
        </w:rPr>
        <w:t>58 years old</w:t>
      </w:r>
      <w:r>
        <w:rPr>
          <w:rFonts w:ascii="Arial" w:cs="Arial" w:eastAsia="Arial" w:hAnsi="Arial"/>
          <w:sz w:val="16"/>
          <w:szCs w:val="16"/>
          <w:b w:val="1"/>
          <w:bCs w:val="1"/>
          <w:color w:val="auto"/>
        </w:rPr>
        <w:t xml:space="preserv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-1850390</wp:posOffset>
            </wp:positionV>
            <wp:extent cx="1148715" cy="1148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48715" cy="11487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Audit Committee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(Chair)</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Strategy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7020" w:val="left"/>
        </w:tabs>
        <w:rPr>
          <w:sz w:val="20"/>
          <w:szCs w:val="20"/>
          <w:color w:val="auto"/>
        </w:rPr>
      </w:pPr>
      <w:r>
        <w:rPr>
          <w:rFonts w:ascii="Arial" w:cs="Arial" w:eastAsia="Arial" w:hAnsi="Arial"/>
          <w:sz w:val="18"/>
          <w:szCs w:val="18"/>
          <w:b w:val="1"/>
          <w:bCs w:val="1"/>
          <w:color w:val="1A3FD6"/>
        </w:rPr>
        <w:t>MARCUS L. SMITH</w:t>
      </w:r>
      <w:r>
        <w:rPr>
          <w:sz w:val="20"/>
          <w:szCs w:val="20"/>
          <w:color w:val="auto"/>
        </w:rPr>
        <w:tab/>
      </w:r>
      <w:r>
        <w:rPr>
          <w:rFonts w:ascii="Arial" w:cs="Arial" w:eastAsia="Arial" w:hAnsi="Arial"/>
          <w:sz w:val="16"/>
          <w:szCs w:val="16"/>
          <w:b w:val="1"/>
          <w:b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86360</wp:posOffset>
            </wp:positionV>
            <wp:extent cx="552069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520690" cy="34290"/>
                    </a:xfrm>
                    <a:prstGeom prst="rect">
                      <a:avLst/>
                    </a:prstGeom>
                    <a:noFill/>
                  </pic:spPr>
                </pic:pic>
              </a:graphicData>
            </a:graphic>
          </wp:anchor>
        </w:drawing>
      </w:r>
    </w:p>
    <w:p>
      <w:pPr>
        <w:spacing w:after="0" w:line="26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Mr. Smith was the Chief Investment Officer, Canada Equity, and a portfolio manager at MFS Investment Management (“MFS”) until his retirement in April 2017. As a portfolio manager, he was responsible for managing the MFS Institutional International Equity Portfolio and the International Concentrated Portfolio. He joined MFS in 1994 and held a variety of positions, including Chief Investment Officer (Asia) from 2010 to 2012, based in Boston, Director of Asian Research from 2005 to 2009, based in Singapore, and Equity Analyst from 1995 to 2000, based in London. Mr. Smith currently serves as a trustee for certain Eaton Vance funds. Mr. Smith holds a Bachelor of Science from the University of Mount Union and an M.B.A. from the Wharton School at the University of Pennsylvania.</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CURRENT OTHER PUBLIC COMPANY DIRECTORSHIPS: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First Industrial Realty Trust, Inc. (February 2021 to present)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PRIOR OTHER PUBLIC COMPANY DIRECTORSHIPS: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DCT Industrial Trust, Inc. (October 2017 to August 2018)</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QUALIFICATIONS:</w:t>
      </w:r>
    </w:p>
    <w:p>
      <w:pPr>
        <w:spacing w:after="0" w:line="73"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We believe that Mr. Smith’s extensive experience in global financial markets and as an investment professional, including experience in Asia and Europe, render him qualified to serve as one of our directors. As a former Chief Investment Officer at a large investment company, Mr. Smith brings significant leadership experience, investment and financial expertise, and knowledge of our clients and the asset management industry to the Board. He brings a strong investor viewpoint to the boardroom and infuses discussions with insights from shareholder, capital markets and capital allocation perspectives.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549910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20" w:space="720"/>
            <w:col w:w="8660"/>
          </w:cols>
          <w:pgMar w:left="340" w:top="29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80"/>
        <w:spacing w:after="0" w:line="346" w:lineRule="auto"/>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r>
        <w:rPr>
          <w:rFonts w:ascii="Arial" w:cs="Arial" w:eastAsia="Arial" w:hAnsi="Arial"/>
          <w:sz w:val="16"/>
          <w:szCs w:val="16"/>
          <w:b w:val="1"/>
          <w:bCs w:val="1"/>
          <w:color w:val="auto"/>
        </w:rPr>
        <w:t xml:space="preserve"> Age: </w:t>
      </w:r>
      <w:r>
        <w:rPr>
          <w:rFonts w:ascii="Arial" w:cs="Arial" w:eastAsia="Arial" w:hAnsi="Arial"/>
          <w:sz w:val="16"/>
          <w:szCs w:val="16"/>
          <w:color w:val="auto"/>
        </w:rPr>
        <w:t>60 years old</w:t>
      </w:r>
      <w:r>
        <w:rPr>
          <w:rFonts w:ascii="Arial" w:cs="Arial" w:eastAsia="Arial" w:hAnsi="Arial"/>
          <w:sz w:val="16"/>
          <w:szCs w:val="16"/>
          <w:b w:val="1"/>
          <w:bCs w:val="1"/>
          <w:color w:val="auto"/>
        </w:rPr>
        <w:t xml:space="preserv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-1850390</wp:posOffset>
            </wp:positionV>
            <wp:extent cx="1148715" cy="1148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48715" cy="11487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7020" w:val="left"/>
        </w:tabs>
        <w:rPr>
          <w:sz w:val="20"/>
          <w:szCs w:val="20"/>
          <w:color w:val="auto"/>
        </w:rPr>
      </w:pPr>
      <w:r>
        <w:rPr>
          <w:rFonts w:ascii="Arial" w:cs="Arial" w:eastAsia="Arial" w:hAnsi="Arial"/>
          <w:sz w:val="18"/>
          <w:szCs w:val="18"/>
          <w:b w:val="1"/>
          <w:bCs w:val="1"/>
          <w:color w:val="1A3FD6"/>
        </w:rPr>
        <w:t>RAJAT TANEJA</w:t>
      </w:r>
      <w:r>
        <w:rPr>
          <w:sz w:val="20"/>
          <w:szCs w:val="20"/>
          <w:color w:val="auto"/>
        </w:rPr>
        <w:tab/>
      </w:r>
      <w:r>
        <w:rPr>
          <w:rFonts w:ascii="Arial" w:cs="Arial" w:eastAsia="Arial" w:hAnsi="Arial"/>
          <w:sz w:val="16"/>
          <w:szCs w:val="16"/>
          <w:b w:val="1"/>
          <w:b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86360</wp:posOffset>
            </wp:positionV>
            <wp:extent cx="552069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20690" cy="34290"/>
                    </a:xfrm>
                    <a:prstGeom prst="rect">
                      <a:avLst/>
                    </a:prstGeom>
                    <a:noFill/>
                  </pic:spPr>
                </pic:pic>
              </a:graphicData>
            </a:graphic>
          </wp:anchor>
        </w:drawing>
      </w:r>
    </w:p>
    <w:p>
      <w:pPr>
        <w:spacing w:after="0" w:line="264"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Mr. Taneja is currently the President of Technology for Visa Inc. (“Visa”), a role he has held since September 2019. He joined Visa in November 2013 and served as Executive Vice President of Technology and Operations until August 2019. Prior to joining Visa, Mr. Taneja was Executive Vice President and Chief Technology Officer of Electronic Arts Inc. from October 2011 until November 2013. From August 1996 until October 2011, he served in various roles at Microsoft Corporation (“Microsoft”), including as the Corporate Vice President, Commerce Division. At Microsoft, Mr. Taneja led the development and deployment of commerce and transaction technologies across its connected services, the company’s online digital advertising platforms and one of its first business online service offerings. Mr. Taneja holds a Bachelor of Electrical Engineering from Jadavpur University and an M.B.A. from Washington State University.</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PRIOR OTHER PUBLIC COMPANY DIRECTORSHIPS: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Ellie Mae, Inc. (June 2015 to April 2019)</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QUALIFICATIONS:</w:t>
      </w:r>
    </w:p>
    <w:p>
      <w:pPr>
        <w:spacing w:after="0" w:line="5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believe that Mr. Taneja’s over 30 years of experience in global technology, innovation and research and development render him qualified to serve as one of our directors. At Visa, Mr. Taneja has been involved with significant investments in the company’s technology infrastructure and oversees the application of technology across the business. This experience allows him to provide invaluable insight into the continuing transformation of MSCI’s data and technology capabilities and related risks and opportunities. His experience also includes overseeing cybersecurity risk and transformational technology initiatives, including relating to the implementation of artificial intelligence at a global enterprise. In 2023, Mr. Taneja was named to Business Insider’s ‘AI 100’ list of top AI leaders. In 2024, he was listed on Forbes’ ’CIO Next List,’ highlighting top tech leaders driving AI transformation.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1602105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800735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1820" w:space="720"/>
            <w:col w:w="8660"/>
          </w:cols>
          <w:pgMar w:left="340" w:top="292" w:right="35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7480"/>
              <w:spacing w:after="0"/>
              <w:rPr>
                <w:sz w:val="20"/>
                <w:szCs w:val="20"/>
                <w:color w:val="auto"/>
              </w:rPr>
            </w:pPr>
            <w:r>
              <w:rPr>
                <w:rFonts w:ascii="Arial" w:cs="Arial" w:eastAsia="Arial" w:hAnsi="Arial"/>
                <w:sz w:val="14"/>
                <w:szCs w:val="14"/>
                <w:b w:val="1"/>
                <w:bCs w:val="1"/>
                <w:color w:val="1A3FD6"/>
              </w:rPr>
              <w:t>Proposal No. 1: Election of Directors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27</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240"/>
          </w:cols>
          <w:pgMar w:left="320" w:top="1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right="340"/>
        <w:spacing w:after="0" w:line="346" w:lineRule="auto"/>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2020</w:t>
      </w:r>
      <w:r>
        <w:rPr>
          <w:rFonts w:ascii="Arial" w:cs="Arial" w:eastAsia="Arial" w:hAnsi="Arial"/>
          <w:sz w:val="16"/>
          <w:szCs w:val="16"/>
          <w:b w:val="1"/>
          <w:bCs w:val="1"/>
          <w:color w:val="auto"/>
        </w:rPr>
        <w:t xml:space="preserve"> Age: </w:t>
      </w:r>
      <w:r>
        <w:rPr>
          <w:rFonts w:ascii="Arial" w:cs="Arial" w:eastAsia="Arial" w:hAnsi="Arial"/>
          <w:sz w:val="16"/>
          <w:szCs w:val="16"/>
          <w:color w:val="auto"/>
        </w:rPr>
        <w:t>68 years old</w:t>
      </w:r>
      <w:r>
        <w:rPr>
          <w:rFonts w:ascii="Arial" w:cs="Arial" w:eastAsia="Arial" w:hAnsi="Arial"/>
          <w:sz w:val="16"/>
          <w:szCs w:val="16"/>
          <w:b w:val="1"/>
          <w:bCs w:val="1"/>
          <w:color w:val="auto"/>
        </w:rPr>
        <w:t xml:space="preserv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-1850390</wp:posOffset>
            </wp:positionV>
            <wp:extent cx="1148715" cy="1148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48715" cy="1148715"/>
                    </a:xfrm>
                    <a:prstGeom prst="rect">
                      <a:avLst/>
                    </a:prstGeom>
                    <a:noFill/>
                  </pic:spPr>
                </pic:pic>
              </a:graphicData>
            </a:graphic>
          </wp:anchor>
        </w:drawing>
      </w:r>
    </w:p>
    <w:p>
      <w:pPr>
        <w:ind w:left="20"/>
        <w:spacing w:after="0" w:line="444" w:lineRule="auto"/>
        <w:rPr>
          <w:sz w:val="20"/>
          <w:szCs w:val="20"/>
          <w:color w:val="auto"/>
        </w:rPr>
      </w:pPr>
      <w:r>
        <w:rPr>
          <w:rFonts w:ascii="Arial" w:cs="Arial" w:eastAsia="Arial" w:hAnsi="Arial"/>
          <w:sz w:val="16"/>
          <w:szCs w:val="16"/>
          <w:color w:val="auto"/>
        </w:rPr>
        <w:t>Compensation Committee Strategy Committee</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tabs>
          <w:tab w:leader="none" w:pos="7020" w:val="left"/>
        </w:tabs>
        <w:rPr>
          <w:sz w:val="20"/>
          <w:szCs w:val="20"/>
          <w:color w:val="auto"/>
        </w:rPr>
      </w:pPr>
      <w:r>
        <w:rPr>
          <w:rFonts w:ascii="Arial" w:cs="Arial" w:eastAsia="Arial" w:hAnsi="Arial"/>
          <w:sz w:val="18"/>
          <w:szCs w:val="18"/>
          <w:b w:val="1"/>
          <w:bCs w:val="1"/>
          <w:color w:val="1A3FD6"/>
        </w:rPr>
        <w:t>PAULA VOLENT</w:t>
      </w:r>
      <w:r>
        <w:rPr>
          <w:sz w:val="20"/>
          <w:szCs w:val="20"/>
          <w:color w:val="auto"/>
        </w:rPr>
        <w:tab/>
      </w:r>
      <w:r>
        <w:rPr>
          <w:rFonts w:ascii="Arial" w:cs="Arial" w:eastAsia="Arial" w:hAnsi="Arial"/>
          <w:sz w:val="16"/>
          <w:szCs w:val="16"/>
          <w:b w:val="1"/>
          <w:b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86360</wp:posOffset>
            </wp:positionV>
            <wp:extent cx="552069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20690" cy="34290"/>
                    </a:xfrm>
                    <a:prstGeom prst="rect">
                      <a:avLst/>
                    </a:prstGeom>
                    <a:noFill/>
                  </pic:spPr>
                </pic:pic>
              </a:graphicData>
            </a:graphic>
          </wp:anchor>
        </w:drawing>
      </w:r>
    </w:p>
    <w:p>
      <w:pPr>
        <w:spacing w:after="0" w:line="26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Ms. Volent is currently Vice President and Chief Investment Officer at The Rockefeller University, a role she has held since August 2021. She previously served as Senior Vice President for Investments and Chief Investment Officer at Bowdoin College from 2006 to June 2021, Vice President for Investments at Bowdoin College from 2002 to 2006, and Associate Treasurer at Bowdoin College from 2000 to 2002. Prior to joining Bowdoin College in 2000, Ms. Volent served as a Senior Associate at the Yale Investments Office, and before focusing on endowment management, she worked as a paper conservator. She holds a Bachelor of Arts from the University of New Hampshire, an M.B.A. from Yale School of Management and a Master of Arts degree from the Institute of Fine Arts, New York University.</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CURRENT OTHER PUBLIC COMPANY DIRECTORSHIPS: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1stdibs.com, Inc. (June 2021 to present)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QUALIFICATIONS:</w:t>
      </w:r>
    </w:p>
    <w:p>
      <w:pPr>
        <w:spacing w:after="0" w:line="59"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We believe that Ms. Volent’s experience as a Chief Investment Officer at a number of institutions, including as a nationally recognized investment professional, and her deep engagement with the global investment community render her qualified to serve as one of our directors. In particular, Ms. Volent brings significant expertise in alternative investments and provides important insights regarding our asset owner and endowment client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667385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660"/>
            <w:col w:w="8680"/>
          </w:cols>
          <w:pgMar w:left="320" w:top="16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right="280"/>
        <w:spacing w:after="0" w:line="346" w:lineRule="auto"/>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2024</w:t>
      </w:r>
      <w:r>
        <w:rPr>
          <w:rFonts w:ascii="Arial" w:cs="Arial" w:eastAsia="Arial" w:hAnsi="Arial"/>
          <w:sz w:val="16"/>
          <w:szCs w:val="16"/>
          <w:b w:val="1"/>
          <w:bCs w:val="1"/>
          <w:color w:val="auto"/>
        </w:rPr>
        <w:t xml:space="preserve"> Age: </w:t>
      </w:r>
      <w:r>
        <w:rPr>
          <w:rFonts w:ascii="Arial" w:cs="Arial" w:eastAsia="Arial" w:hAnsi="Arial"/>
          <w:sz w:val="16"/>
          <w:szCs w:val="16"/>
          <w:color w:val="auto"/>
        </w:rPr>
        <w:t>51 years old</w:t>
      </w:r>
      <w:r>
        <w:rPr>
          <w:rFonts w:ascii="Arial" w:cs="Arial" w:eastAsia="Arial" w:hAnsi="Arial"/>
          <w:sz w:val="16"/>
          <w:szCs w:val="16"/>
          <w:b w:val="1"/>
          <w:bCs w:val="1"/>
          <w:color w:val="auto"/>
        </w:rPr>
        <w:t xml:space="preserv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-1850390</wp:posOffset>
            </wp:positionV>
            <wp:extent cx="1148715" cy="1148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48715" cy="11487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7020" w:val="left"/>
        </w:tabs>
        <w:rPr>
          <w:sz w:val="20"/>
          <w:szCs w:val="20"/>
          <w:color w:val="auto"/>
        </w:rPr>
      </w:pPr>
      <w:r>
        <w:rPr>
          <w:rFonts w:ascii="Arial" w:cs="Arial" w:eastAsia="Arial" w:hAnsi="Arial"/>
          <w:sz w:val="18"/>
          <w:szCs w:val="18"/>
          <w:b w:val="1"/>
          <w:bCs w:val="1"/>
          <w:color w:val="1A3FD6"/>
        </w:rPr>
        <w:t>JUNE YANG</w:t>
      </w:r>
      <w:r>
        <w:rPr>
          <w:sz w:val="20"/>
          <w:szCs w:val="20"/>
          <w:color w:val="auto"/>
        </w:rPr>
        <w:tab/>
      </w:r>
      <w:r>
        <w:rPr>
          <w:rFonts w:ascii="Arial" w:cs="Arial" w:eastAsia="Arial" w:hAnsi="Arial"/>
          <w:sz w:val="16"/>
          <w:szCs w:val="16"/>
          <w:b w:val="1"/>
          <w:bCs w:val="1"/>
          <w:color w:val="auto"/>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86360</wp:posOffset>
            </wp:positionV>
            <wp:extent cx="5520690" cy="34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20690" cy="34290"/>
                    </a:xfrm>
                    <a:prstGeom prst="rect">
                      <a:avLst/>
                    </a:prstGeom>
                    <a:noFill/>
                  </pic:spPr>
                </pic:pic>
              </a:graphicData>
            </a:graphic>
          </wp:anchor>
        </w:drawing>
      </w:r>
    </w:p>
    <w:p>
      <w:pPr>
        <w:spacing w:after="0" w:line="264"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Ms. Yang was the Vice President, Cloud AI and Industry Solutions at Google Cloud Inc. (“Google Cloud”) from October 2021 to December 2023, where she was responsible for the portfolio of Google Cloud AI products and solutions. Previously at Google Cloud, she served as Vice President and General Manager, Google Compute, AI Infrastructure and Block Storage from October 2019 to October 2021. Prior to joining Google Cloud, Ms. Yang held various engineering and product management positions at VMware, Inc., including Vice President, Engineering and Product Management of VMware Cloud on Dell EMC and Vice President, Product Management of vSphere, Edge Computing and Analytics Cloud. Ms. Yang holds a Bachelor of Science degree in Chemical Engineering from the California Institute of Technology, a Master of Science degree in Chemical Engineering from the University of California, Berkeley and a Master of Science degree in Management from the Stanford University Graduate School of Business.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CURRENT OTHER PUBLIC COMPANY DIRECTORSHIPS: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NetApp, Inc. (September 2024 to present) and UiPath, Inc. (February 2024 to present)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PRIOR OTHER PUBLIC COMPANY DIRECTORSHIPS: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SRS Distribution Inc. (November 2022 to July 2024)</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QUALIFICATIONS:</w:t>
      </w:r>
    </w:p>
    <w:p>
      <w:pPr>
        <w:spacing w:after="0" w:line="59"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We believe that Ms. Yang’s extensive leadership experience in the technology sector, particularly her expertise in AI, cloud infrastructure, and enterprise innovation, qualifies her to serve as one of our directors. Over the course of her career, she has demonstrated a strong track record of developing and scaling enterprise technologies, with a focus on product management, marketing, and engineering. At Google Cloud, Ms. Yang played a key role in driving the development and delivery of cutting-edge AI and cloud solutions, enabling businesses to harness technology to address complex challenges and achieve transformative outcomes. Her insights into emerging technologies and enterprise strategies bring valuable perspectives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1599565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798195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1840" w:space="720"/>
            <w:col w:w="8680"/>
          </w:cols>
          <w:pgMar w:left="320" w:top="166" w:right="339" w:bottom="1440" w:gutter="0" w:footer="0" w:header="0"/>
          <w:type w:val="continuous"/>
        </w:sectPr>
      </w:pPr>
    </w:p>
    <w:bookmarkStart w:id="29" w:name="page30"/>
    <w:bookmarkEnd w:id="29"/>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28</w:t>
      </w:r>
      <w:r>
        <w:rPr>
          <w:sz w:val="20"/>
          <w:szCs w:val="20"/>
          <w:color w:val="auto"/>
        </w:rPr>
        <w:tab/>
      </w:r>
      <w:r>
        <w:rPr>
          <w:rFonts w:ascii="Arial" w:cs="Arial" w:eastAsia="Arial" w:hAnsi="Arial"/>
          <w:sz w:val="14"/>
          <w:szCs w:val="14"/>
          <w:b w:val="1"/>
          <w:bCs w:val="1"/>
          <w:color w:val="1A3FD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452120</wp:posOffset>
            </wp:positionV>
            <wp:extent cx="488315" cy="6172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8831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380"/>
        <w:spacing w:after="0"/>
        <w:rPr>
          <w:sz w:val="20"/>
          <w:szCs w:val="20"/>
          <w:color w:val="auto"/>
        </w:rPr>
      </w:pPr>
      <w:r>
        <w:rPr>
          <w:rFonts w:ascii="Arial" w:cs="Arial" w:eastAsia="Arial" w:hAnsi="Arial"/>
          <w:sz w:val="50"/>
          <w:szCs w:val="50"/>
          <w:b w:val="1"/>
          <w:bCs w:val="1"/>
          <w:color w:val="1A3FD6"/>
        </w:rPr>
        <w:t>Corporate</w:t>
      </w:r>
    </w:p>
    <w:p>
      <w:pPr>
        <w:spacing w:after="0" w:line="31" w:lineRule="exact"/>
        <w:rPr>
          <w:sz w:val="20"/>
          <w:szCs w:val="20"/>
          <w:color w:val="auto"/>
        </w:rPr>
      </w:pPr>
    </w:p>
    <w:p>
      <w:pPr>
        <w:ind w:left="1380"/>
        <w:spacing w:after="0"/>
        <w:rPr>
          <w:sz w:val="20"/>
          <w:szCs w:val="20"/>
          <w:color w:val="auto"/>
        </w:rPr>
      </w:pPr>
      <w:r>
        <w:rPr>
          <w:rFonts w:ascii="Arial" w:cs="Arial" w:eastAsia="Arial" w:hAnsi="Arial"/>
          <w:sz w:val="50"/>
          <w:szCs w:val="50"/>
          <w:b w:val="1"/>
          <w:bCs w:val="1"/>
          <w:color w:val="1A3FD6"/>
        </w:rPr>
        <w:t>Governance</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Corporate Governance Practices</w:t>
      </w:r>
    </w:p>
    <w:p>
      <w:pPr>
        <w:spacing w:after="0" w:line="18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MSCI’s Board of Directors adheres to governance principles designed to ensure the continued effectiveness of the Board and excellence in the execution of its duties. The Board has in place a set of Corporate Governance Policies reflecting these principles, including the Board’s policy of requiring a significant majority of the Board to be comprised of independent directors; the importance of reflecting a broad range of skills, backgrounds and perspectives; and the practice of regularly scheduled executive sessions, including sessions of independent directors without members of management.</w:t>
      </w:r>
    </w:p>
    <w:p>
      <w:pPr>
        <w:spacing w:after="0" w:line="59"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auto"/>
        </w:rPr>
        <w:t>MSCI also has a Code of Ethics and Business Conduct for directors, executive officers and employees, which is reviewed annually by the Board. Any amendment to, or waiver of, the Code of Ethics and Business Conduct that applies to one of our directors or executive officers may be made only by the Board or a Board committee.</w:t>
      </w:r>
    </w:p>
    <w:p>
      <w:pPr>
        <w:spacing w:after="0" w:line="51"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27260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2726055"/>
                    </a:xfrm>
                    <a:prstGeom prst="rect">
                      <a:avLst/>
                    </a:prstGeom>
                    <a:noFill/>
                  </pic:spPr>
                </pic:pic>
              </a:graphicData>
            </a:graphic>
          </wp:anchor>
        </w:drawing>
      </w:r>
    </w:p>
    <w:p>
      <w:pPr>
        <w:sectPr>
          <w:pgSz w:w="11900" w:h="16838" w:orient="portrait"/>
          <w:cols w:equalWidth="0" w:num="1">
            <w:col w:w="11160"/>
          </w:cols>
          <w:pgMar w:left="320" w:top="292" w:right="41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420" w:hanging="200"/>
        <w:spacing w:after="0" w:line="304" w:lineRule="auto"/>
        <w:tabs>
          <w:tab w:leader="none" w:pos="417" w:val="left"/>
        </w:tabs>
        <w:numPr>
          <w:ilvl w:val="0"/>
          <w:numId w:val="19"/>
        </w:numPr>
        <w:rPr>
          <w:rFonts w:ascii="Arial" w:cs="Arial" w:eastAsia="Arial" w:hAnsi="Arial"/>
          <w:sz w:val="16"/>
          <w:szCs w:val="16"/>
          <w:color w:val="1A3FD6"/>
        </w:rPr>
      </w:pPr>
      <w:r>
        <w:rPr>
          <w:rFonts w:ascii="Arial" w:cs="Arial" w:eastAsia="Arial" w:hAnsi="Arial"/>
          <w:sz w:val="16"/>
          <w:szCs w:val="16"/>
          <w:color w:val="auto"/>
        </w:rPr>
        <w:t>All director nominees except our CEO and our President and Chief Operating Officer (“COO”) are independent.</w:t>
      </w:r>
    </w:p>
    <w:p>
      <w:pPr>
        <w:spacing w:after="0" w:line="6" w:lineRule="exact"/>
        <w:rPr>
          <w:rFonts w:ascii="Arial" w:cs="Arial" w:eastAsia="Arial" w:hAnsi="Arial"/>
          <w:sz w:val="16"/>
          <w:szCs w:val="16"/>
          <w:color w:val="1A3FD6"/>
        </w:rPr>
      </w:pPr>
    </w:p>
    <w:p>
      <w:pPr>
        <w:ind w:left="420" w:right="560" w:hanging="200"/>
        <w:spacing w:after="0" w:line="304" w:lineRule="auto"/>
        <w:tabs>
          <w:tab w:leader="none" w:pos="417" w:val="left"/>
        </w:tabs>
        <w:numPr>
          <w:ilvl w:val="0"/>
          <w:numId w:val="19"/>
        </w:numPr>
        <w:rPr>
          <w:rFonts w:ascii="Arial" w:cs="Arial" w:eastAsia="Arial" w:hAnsi="Arial"/>
          <w:sz w:val="16"/>
          <w:szCs w:val="16"/>
          <w:color w:val="1A3FD6"/>
        </w:rPr>
      </w:pPr>
      <w:r>
        <w:rPr>
          <w:rFonts w:ascii="Arial" w:cs="Arial" w:eastAsia="Arial" w:hAnsi="Arial"/>
          <w:sz w:val="16"/>
          <w:szCs w:val="16"/>
          <w:color w:val="auto"/>
        </w:rPr>
        <w:t>Strong, independent Lead Director and independent Board committees.</w:t>
      </w:r>
    </w:p>
    <w:p>
      <w:pPr>
        <w:spacing w:after="0" w:line="6" w:lineRule="exact"/>
        <w:rPr>
          <w:rFonts w:ascii="Arial" w:cs="Arial" w:eastAsia="Arial" w:hAnsi="Arial"/>
          <w:sz w:val="16"/>
          <w:szCs w:val="16"/>
          <w:color w:val="1A3FD6"/>
        </w:rPr>
      </w:pPr>
    </w:p>
    <w:p>
      <w:pPr>
        <w:ind w:left="420" w:hanging="200"/>
        <w:spacing w:after="0"/>
        <w:tabs>
          <w:tab w:leader="none" w:pos="420" w:val="left"/>
        </w:tabs>
        <w:numPr>
          <w:ilvl w:val="0"/>
          <w:numId w:val="19"/>
        </w:numPr>
        <w:rPr>
          <w:rFonts w:ascii="Arial" w:cs="Arial" w:eastAsia="Arial" w:hAnsi="Arial"/>
          <w:sz w:val="16"/>
          <w:szCs w:val="16"/>
          <w:color w:val="1A3FD6"/>
        </w:rPr>
      </w:pPr>
      <w:r>
        <w:rPr>
          <w:rFonts w:ascii="Arial" w:cs="Arial" w:eastAsia="Arial" w:hAnsi="Arial"/>
          <w:sz w:val="16"/>
          <w:szCs w:val="16"/>
          <w:color w:val="auto"/>
        </w:rPr>
        <w:t>One share, one vote.</w:t>
      </w:r>
    </w:p>
    <w:p>
      <w:pPr>
        <w:spacing w:after="0" w:line="86" w:lineRule="exact"/>
        <w:rPr>
          <w:rFonts w:ascii="Arial" w:cs="Arial" w:eastAsia="Arial" w:hAnsi="Arial"/>
          <w:sz w:val="16"/>
          <w:szCs w:val="16"/>
          <w:color w:val="1A3FD6"/>
        </w:rPr>
      </w:pPr>
    </w:p>
    <w:p>
      <w:pPr>
        <w:ind w:left="420" w:hanging="200"/>
        <w:spacing w:after="0"/>
        <w:tabs>
          <w:tab w:leader="none" w:pos="420" w:val="left"/>
        </w:tabs>
        <w:numPr>
          <w:ilvl w:val="0"/>
          <w:numId w:val="19"/>
        </w:numPr>
        <w:rPr>
          <w:rFonts w:ascii="Arial" w:cs="Arial" w:eastAsia="Arial" w:hAnsi="Arial"/>
          <w:sz w:val="16"/>
          <w:szCs w:val="16"/>
          <w:color w:val="1A3FD6"/>
        </w:rPr>
      </w:pPr>
      <w:r>
        <w:rPr>
          <w:rFonts w:ascii="Arial" w:cs="Arial" w:eastAsia="Arial" w:hAnsi="Arial"/>
          <w:sz w:val="16"/>
          <w:szCs w:val="16"/>
          <w:color w:val="auto"/>
        </w:rPr>
        <w:t>Annual election of directors.</w:t>
      </w:r>
    </w:p>
    <w:p>
      <w:pPr>
        <w:spacing w:after="0" w:line="72" w:lineRule="exact"/>
        <w:rPr>
          <w:rFonts w:ascii="Arial" w:cs="Arial" w:eastAsia="Arial" w:hAnsi="Arial"/>
          <w:sz w:val="16"/>
          <w:szCs w:val="16"/>
          <w:color w:val="1A3FD6"/>
        </w:rPr>
      </w:pPr>
    </w:p>
    <w:p>
      <w:pPr>
        <w:ind w:left="420" w:hanging="200"/>
        <w:spacing w:after="0"/>
        <w:tabs>
          <w:tab w:leader="none" w:pos="420" w:val="left"/>
        </w:tabs>
        <w:numPr>
          <w:ilvl w:val="0"/>
          <w:numId w:val="19"/>
        </w:numPr>
        <w:rPr>
          <w:rFonts w:ascii="Arial" w:cs="Arial" w:eastAsia="Arial" w:hAnsi="Arial"/>
          <w:sz w:val="16"/>
          <w:szCs w:val="16"/>
          <w:color w:val="1A3FD6"/>
        </w:rPr>
      </w:pPr>
      <w:r>
        <w:rPr>
          <w:rFonts w:ascii="Arial" w:cs="Arial" w:eastAsia="Arial" w:hAnsi="Arial"/>
          <w:sz w:val="16"/>
          <w:szCs w:val="16"/>
          <w:color w:val="auto"/>
        </w:rPr>
        <w:t>Proxy access.</w:t>
      </w:r>
    </w:p>
    <w:p>
      <w:pPr>
        <w:spacing w:after="0" w:line="86" w:lineRule="exact"/>
        <w:rPr>
          <w:rFonts w:ascii="Arial" w:cs="Arial" w:eastAsia="Arial" w:hAnsi="Arial"/>
          <w:sz w:val="16"/>
          <w:szCs w:val="16"/>
          <w:color w:val="1A3FD6"/>
        </w:rPr>
      </w:pPr>
    </w:p>
    <w:p>
      <w:pPr>
        <w:ind w:left="420" w:right="420" w:hanging="200"/>
        <w:spacing w:after="0" w:line="304" w:lineRule="auto"/>
        <w:tabs>
          <w:tab w:leader="none" w:pos="417" w:val="left"/>
        </w:tabs>
        <w:numPr>
          <w:ilvl w:val="0"/>
          <w:numId w:val="19"/>
        </w:numPr>
        <w:rPr>
          <w:rFonts w:ascii="Arial" w:cs="Arial" w:eastAsia="Arial" w:hAnsi="Arial"/>
          <w:sz w:val="16"/>
          <w:szCs w:val="16"/>
          <w:color w:val="1A3FD6"/>
        </w:rPr>
      </w:pPr>
      <w:r>
        <w:rPr>
          <w:rFonts w:ascii="Arial" w:cs="Arial" w:eastAsia="Arial" w:hAnsi="Arial"/>
          <w:sz w:val="16"/>
          <w:szCs w:val="16"/>
          <w:color w:val="auto"/>
        </w:rPr>
        <w:t>Shareholder right to call a special meeting at 15% ownership threshold.</w:t>
      </w:r>
    </w:p>
    <w:p>
      <w:pPr>
        <w:spacing w:after="0" w:line="6" w:lineRule="exact"/>
        <w:rPr>
          <w:rFonts w:ascii="Arial" w:cs="Arial" w:eastAsia="Arial" w:hAnsi="Arial"/>
          <w:sz w:val="16"/>
          <w:szCs w:val="16"/>
          <w:color w:val="1A3FD6"/>
        </w:rPr>
      </w:pPr>
    </w:p>
    <w:p>
      <w:pPr>
        <w:ind w:left="420" w:right="180" w:hanging="200"/>
        <w:spacing w:after="0" w:line="308" w:lineRule="auto"/>
        <w:tabs>
          <w:tab w:leader="none" w:pos="417" w:val="left"/>
        </w:tabs>
        <w:numPr>
          <w:ilvl w:val="0"/>
          <w:numId w:val="19"/>
        </w:numPr>
        <w:rPr>
          <w:rFonts w:ascii="Arial" w:cs="Arial" w:eastAsia="Arial" w:hAnsi="Arial"/>
          <w:sz w:val="16"/>
          <w:szCs w:val="16"/>
          <w:color w:val="1A3FD6"/>
        </w:rPr>
      </w:pPr>
      <w:r>
        <w:rPr>
          <w:rFonts w:ascii="Arial" w:cs="Arial" w:eastAsia="Arial" w:hAnsi="Arial"/>
          <w:sz w:val="16"/>
          <w:szCs w:val="16"/>
          <w:color w:val="auto"/>
        </w:rPr>
        <w:t>Majority vote for uncontested elections and plurality standard for contested elections.</w:t>
      </w:r>
    </w:p>
    <w:p>
      <w:pPr>
        <w:ind w:left="420" w:hanging="200"/>
        <w:spacing w:after="0"/>
        <w:tabs>
          <w:tab w:leader="none" w:pos="420" w:val="left"/>
        </w:tabs>
        <w:numPr>
          <w:ilvl w:val="0"/>
          <w:numId w:val="19"/>
        </w:numPr>
        <w:rPr>
          <w:rFonts w:ascii="Arial" w:cs="Arial" w:eastAsia="Arial" w:hAnsi="Arial"/>
          <w:sz w:val="16"/>
          <w:szCs w:val="16"/>
          <w:color w:val="1A3FD6"/>
        </w:rPr>
      </w:pPr>
      <w:r>
        <w:rPr>
          <w:rFonts w:ascii="Arial" w:cs="Arial" w:eastAsia="Arial" w:hAnsi="Arial"/>
          <w:sz w:val="16"/>
          <w:szCs w:val="16"/>
          <w:color w:val="auto"/>
        </w:rPr>
        <w:t>No shareholder rights plan (i.e., a poison pill).</w:t>
      </w:r>
    </w:p>
    <w:p>
      <w:pPr>
        <w:spacing w:after="0" w:line="86" w:lineRule="exact"/>
        <w:rPr>
          <w:rFonts w:ascii="Arial" w:cs="Arial" w:eastAsia="Arial" w:hAnsi="Arial"/>
          <w:sz w:val="16"/>
          <w:szCs w:val="16"/>
          <w:color w:val="1A3FD6"/>
        </w:rPr>
      </w:pPr>
    </w:p>
    <w:p>
      <w:pPr>
        <w:ind w:left="420" w:right="180" w:hanging="200"/>
        <w:spacing w:after="0" w:line="292" w:lineRule="auto"/>
        <w:tabs>
          <w:tab w:leader="none" w:pos="417" w:val="left"/>
        </w:tabs>
        <w:numPr>
          <w:ilvl w:val="0"/>
          <w:numId w:val="19"/>
        </w:numPr>
        <w:rPr>
          <w:rFonts w:ascii="Arial" w:cs="Arial" w:eastAsia="Arial" w:hAnsi="Arial"/>
          <w:sz w:val="16"/>
          <w:szCs w:val="16"/>
          <w:color w:val="1A3FD6"/>
        </w:rPr>
      </w:pPr>
      <w:r>
        <w:rPr>
          <w:rFonts w:ascii="Arial" w:cs="Arial" w:eastAsia="Arial" w:hAnsi="Arial"/>
          <w:sz w:val="16"/>
          <w:szCs w:val="16"/>
          <w:color w:val="auto"/>
        </w:rPr>
        <w:t>Risk oversight by full Board and Committees, including Board oversight of enterprise risk management, IT/cyber risk and other areas.</w:t>
      </w:r>
    </w:p>
    <w:p>
      <w:pPr>
        <w:spacing w:after="0" w:line="16" w:lineRule="exact"/>
        <w:rPr>
          <w:rFonts w:ascii="Arial" w:cs="Arial" w:eastAsia="Arial" w:hAnsi="Arial"/>
          <w:sz w:val="16"/>
          <w:szCs w:val="16"/>
          <w:color w:val="1A3FD6"/>
        </w:rPr>
      </w:pPr>
    </w:p>
    <w:p>
      <w:pPr>
        <w:ind w:left="420" w:hanging="200"/>
        <w:spacing w:after="0"/>
        <w:tabs>
          <w:tab w:leader="none" w:pos="420" w:val="left"/>
        </w:tabs>
        <w:numPr>
          <w:ilvl w:val="0"/>
          <w:numId w:val="19"/>
        </w:numPr>
        <w:rPr>
          <w:rFonts w:ascii="Arial" w:cs="Arial" w:eastAsia="Arial" w:hAnsi="Arial"/>
          <w:sz w:val="16"/>
          <w:szCs w:val="16"/>
          <w:color w:val="1A3FD6"/>
        </w:rPr>
      </w:pPr>
      <w:r>
        <w:rPr>
          <w:rFonts w:ascii="Arial" w:cs="Arial" w:eastAsia="Arial" w:hAnsi="Arial"/>
          <w:sz w:val="16"/>
          <w:szCs w:val="16"/>
          <w:color w:val="auto"/>
        </w:rPr>
        <w:t>Demonstrated commitment to Board refreshment.</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left="188" w:right="460" w:hanging="188"/>
        <w:spacing w:after="0" w:line="304" w:lineRule="auto"/>
        <w:tabs>
          <w:tab w:leader="none" w:pos="186" w:val="left"/>
        </w:tabs>
        <w:numPr>
          <w:ilvl w:val="0"/>
          <w:numId w:val="20"/>
        </w:numPr>
        <w:rPr>
          <w:rFonts w:ascii="Arial" w:cs="Arial" w:eastAsia="Arial" w:hAnsi="Arial"/>
          <w:sz w:val="16"/>
          <w:szCs w:val="16"/>
          <w:color w:val="1A3FD6"/>
        </w:rPr>
      </w:pPr>
      <w:r>
        <w:rPr>
          <w:rFonts w:ascii="Arial" w:cs="Arial" w:eastAsia="Arial" w:hAnsi="Arial"/>
          <w:sz w:val="16"/>
          <w:szCs w:val="16"/>
          <w:color w:val="auto"/>
        </w:rPr>
        <w:t>Annual Board, committee and director evaluations, with third-party evaluation firm engaged periodically, including in 2024.</w:t>
      </w:r>
    </w:p>
    <w:p>
      <w:pPr>
        <w:spacing w:after="0" w:line="6" w:lineRule="exact"/>
        <w:rPr>
          <w:rFonts w:ascii="Arial" w:cs="Arial" w:eastAsia="Arial" w:hAnsi="Arial"/>
          <w:sz w:val="16"/>
          <w:szCs w:val="16"/>
          <w:color w:val="1A3FD6"/>
        </w:rPr>
      </w:pPr>
    </w:p>
    <w:p>
      <w:pPr>
        <w:ind w:left="188" w:right="320" w:hanging="188"/>
        <w:spacing w:after="0" w:line="304" w:lineRule="auto"/>
        <w:tabs>
          <w:tab w:leader="none" w:pos="186" w:val="left"/>
        </w:tabs>
        <w:numPr>
          <w:ilvl w:val="0"/>
          <w:numId w:val="20"/>
        </w:numPr>
        <w:rPr>
          <w:rFonts w:ascii="Arial" w:cs="Arial" w:eastAsia="Arial" w:hAnsi="Arial"/>
          <w:sz w:val="16"/>
          <w:szCs w:val="16"/>
          <w:color w:val="1A3FD6"/>
        </w:rPr>
      </w:pPr>
      <w:r>
        <w:rPr>
          <w:rFonts w:ascii="Arial" w:cs="Arial" w:eastAsia="Arial" w:hAnsi="Arial"/>
          <w:sz w:val="16"/>
          <w:szCs w:val="16"/>
          <w:color w:val="auto"/>
        </w:rPr>
        <w:t>Executive session of independent directors held after each quarterly Board meeting.</w:t>
      </w:r>
    </w:p>
    <w:p>
      <w:pPr>
        <w:spacing w:after="0" w:line="6" w:lineRule="exact"/>
        <w:rPr>
          <w:rFonts w:ascii="Arial" w:cs="Arial" w:eastAsia="Arial" w:hAnsi="Arial"/>
          <w:sz w:val="16"/>
          <w:szCs w:val="16"/>
          <w:color w:val="1A3FD6"/>
        </w:rPr>
      </w:pPr>
    </w:p>
    <w:p>
      <w:pPr>
        <w:ind w:left="188" w:hanging="188"/>
        <w:spacing w:after="0"/>
        <w:tabs>
          <w:tab w:leader="none" w:pos="188" w:val="left"/>
        </w:tabs>
        <w:numPr>
          <w:ilvl w:val="0"/>
          <w:numId w:val="20"/>
        </w:numPr>
        <w:rPr>
          <w:rFonts w:ascii="Arial" w:cs="Arial" w:eastAsia="Arial" w:hAnsi="Arial"/>
          <w:sz w:val="16"/>
          <w:szCs w:val="16"/>
          <w:color w:val="1A3FD6"/>
        </w:rPr>
      </w:pPr>
      <w:r>
        <w:rPr>
          <w:rFonts w:ascii="Arial" w:cs="Arial" w:eastAsia="Arial" w:hAnsi="Arial"/>
          <w:sz w:val="16"/>
          <w:szCs w:val="16"/>
          <w:color w:val="auto"/>
        </w:rPr>
        <w:t>Limits on multiple public company board commitments.</w:t>
      </w:r>
    </w:p>
    <w:p>
      <w:pPr>
        <w:spacing w:after="0" w:line="86" w:lineRule="exact"/>
        <w:rPr>
          <w:rFonts w:ascii="Arial" w:cs="Arial" w:eastAsia="Arial" w:hAnsi="Arial"/>
          <w:sz w:val="16"/>
          <w:szCs w:val="16"/>
          <w:color w:val="1A3FD6"/>
        </w:rPr>
      </w:pPr>
    </w:p>
    <w:p>
      <w:pPr>
        <w:ind w:left="188" w:hanging="188"/>
        <w:spacing w:after="0"/>
        <w:tabs>
          <w:tab w:leader="none" w:pos="188" w:val="left"/>
        </w:tabs>
        <w:numPr>
          <w:ilvl w:val="0"/>
          <w:numId w:val="20"/>
        </w:numPr>
        <w:rPr>
          <w:rFonts w:ascii="Arial" w:cs="Arial" w:eastAsia="Arial" w:hAnsi="Arial"/>
          <w:sz w:val="16"/>
          <w:szCs w:val="16"/>
          <w:color w:val="1A3FD6"/>
        </w:rPr>
      </w:pPr>
      <w:r>
        <w:rPr>
          <w:rFonts w:ascii="Arial" w:cs="Arial" w:eastAsia="Arial" w:hAnsi="Arial"/>
          <w:sz w:val="16"/>
          <w:szCs w:val="16"/>
          <w:color w:val="auto"/>
        </w:rPr>
        <w:t>Robust share ownership and retention guidelines.</w:t>
      </w:r>
    </w:p>
    <w:p>
      <w:pPr>
        <w:spacing w:after="0" w:line="72" w:lineRule="exact"/>
        <w:rPr>
          <w:rFonts w:ascii="Arial" w:cs="Arial" w:eastAsia="Arial" w:hAnsi="Arial"/>
          <w:sz w:val="16"/>
          <w:szCs w:val="16"/>
          <w:color w:val="1A3FD6"/>
        </w:rPr>
      </w:pPr>
    </w:p>
    <w:p>
      <w:pPr>
        <w:ind w:left="188" w:right="400" w:hanging="188"/>
        <w:spacing w:after="0" w:line="308" w:lineRule="auto"/>
        <w:tabs>
          <w:tab w:leader="none" w:pos="186" w:val="left"/>
        </w:tabs>
        <w:numPr>
          <w:ilvl w:val="0"/>
          <w:numId w:val="20"/>
        </w:numPr>
        <w:rPr>
          <w:rFonts w:ascii="Arial" w:cs="Arial" w:eastAsia="Arial" w:hAnsi="Arial"/>
          <w:sz w:val="16"/>
          <w:szCs w:val="16"/>
          <w:color w:val="1A3FD6"/>
        </w:rPr>
      </w:pPr>
      <w:r>
        <w:rPr>
          <w:rFonts w:ascii="Arial" w:cs="Arial" w:eastAsia="Arial" w:hAnsi="Arial"/>
          <w:sz w:val="16"/>
          <w:szCs w:val="16"/>
          <w:color w:val="auto"/>
        </w:rPr>
        <w:t>Annual review of Code of Ethics and Business Conduct, committee charters and Corporate Governance Policies.</w:t>
      </w:r>
    </w:p>
    <w:p>
      <w:pPr>
        <w:ind w:left="188" w:right="480" w:hanging="188"/>
        <w:spacing w:after="0" w:line="316" w:lineRule="auto"/>
        <w:tabs>
          <w:tab w:leader="none" w:pos="186" w:val="left"/>
        </w:tabs>
        <w:numPr>
          <w:ilvl w:val="0"/>
          <w:numId w:val="20"/>
        </w:numPr>
        <w:rPr>
          <w:rFonts w:ascii="Arial" w:cs="Arial" w:eastAsia="Arial" w:hAnsi="Arial"/>
          <w:sz w:val="16"/>
          <w:szCs w:val="16"/>
          <w:color w:val="1A3FD6"/>
        </w:rPr>
      </w:pPr>
      <w:r>
        <w:rPr>
          <w:rFonts w:ascii="Arial" w:cs="Arial" w:eastAsia="Arial" w:hAnsi="Arial"/>
          <w:sz w:val="16"/>
          <w:szCs w:val="16"/>
          <w:color w:val="auto"/>
        </w:rPr>
        <w:t>Annual off-season shareholder engagement focused on corporate responsibility topics, with independent director participation.</w:t>
      </w:r>
    </w:p>
    <w:p>
      <w:pPr>
        <w:spacing w:after="0" w:line="1" w:lineRule="exact"/>
        <w:rPr>
          <w:rFonts w:ascii="Arial" w:cs="Arial" w:eastAsia="Arial" w:hAnsi="Arial"/>
          <w:sz w:val="16"/>
          <w:szCs w:val="16"/>
          <w:color w:val="1A3FD6"/>
        </w:rPr>
      </w:pPr>
    </w:p>
    <w:p>
      <w:pPr>
        <w:ind w:left="188" w:hanging="188"/>
        <w:spacing w:after="0"/>
        <w:tabs>
          <w:tab w:leader="none" w:pos="188" w:val="left"/>
        </w:tabs>
        <w:numPr>
          <w:ilvl w:val="0"/>
          <w:numId w:val="20"/>
        </w:numPr>
        <w:rPr>
          <w:rFonts w:ascii="Arial" w:cs="Arial" w:eastAsia="Arial" w:hAnsi="Arial"/>
          <w:sz w:val="16"/>
          <w:szCs w:val="16"/>
          <w:color w:val="1A3FD6"/>
        </w:rPr>
      </w:pPr>
      <w:r>
        <w:rPr>
          <w:rFonts w:ascii="Arial" w:cs="Arial" w:eastAsia="Arial" w:hAnsi="Arial"/>
          <w:sz w:val="16"/>
          <w:szCs w:val="16"/>
          <w:color w:val="auto"/>
        </w:rPr>
        <w:t>Full Board participation in succession and progression planning.</w:t>
      </w:r>
    </w:p>
    <w:p>
      <w:pPr>
        <w:spacing w:after="0" w:line="72" w:lineRule="exact"/>
        <w:rPr>
          <w:rFonts w:ascii="Arial" w:cs="Arial" w:eastAsia="Arial" w:hAnsi="Arial"/>
          <w:sz w:val="16"/>
          <w:szCs w:val="16"/>
          <w:color w:val="1A3FD6"/>
        </w:rPr>
      </w:pPr>
    </w:p>
    <w:p>
      <w:pPr>
        <w:ind w:left="188" w:hanging="188"/>
        <w:spacing w:after="0"/>
        <w:tabs>
          <w:tab w:leader="none" w:pos="188" w:val="left"/>
        </w:tabs>
        <w:numPr>
          <w:ilvl w:val="0"/>
          <w:numId w:val="20"/>
        </w:numPr>
        <w:rPr>
          <w:rFonts w:ascii="Arial" w:cs="Arial" w:eastAsia="Arial" w:hAnsi="Arial"/>
          <w:sz w:val="16"/>
          <w:szCs w:val="16"/>
          <w:color w:val="1A3FD6"/>
        </w:rPr>
      </w:pPr>
      <w:r>
        <w:rPr>
          <w:rFonts w:ascii="Arial" w:cs="Arial" w:eastAsia="Arial" w:hAnsi="Arial"/>
          <w:sz w:val="16"/>
          <w:szCs w:val="16"/>
          <w:color w:val="auto"/>
        </w:rPr>
        <w:t>New director onboarding and continued director education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-3672205</wp:posOffset>
            </wp:positionH>
            <wp:positionV relativeFrom="paragraph">
              <wp:posOffset>1585595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180" w:space="592"/>
            <w:col w:w="5388"/>
          </w:cols>
          <w:pgMar w:left="320" w:top="292" w:right="419" w:bottom="1440" w:gutter="0" w:footer="0" w:header="0"/>
          <w:type w:val="continuous"/>
        </w:sectPr>
      </w:pPr>
    </w:p>
    <w:bookmarkStart w:id="30" w:name="page31"/>
    <w:bookmarkEnd w:id="30"/>
    <w:p>
      <w:pPr>
        <w:ind w:left="8420"/>
        <w:spacing w:after="0"/>
        <w:tabs>
          <w:tab w:leader="none" w:pos="109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Corporate Governance | MSCI</w:t>
      </w:r>
      <w:r>
        <w:rPr>
          <w:sz w:val="20"/>
          <w:szCs w:val="20"/>
          <w:color w:val="auto"/>
        </w:rPr>
        <w:tab/>
      </w:r>
      <w:r>
        <w:rPr>
          <w:rFonts w:ascii="Arial" w:cs="Arial" w:eastAsia="Arial" w:hAnsi="Arial"/>
          <w:sz w:val="14"/>
          <w:szCs w:val="14"/>
          <w:b w:val="1"/>
          <w:bCs w:val="1"/>
          <w:color w:val="1A3FD6"/>
        </w:rPr>
        <w:t>29</w:t>
      </w:r>
    </w:p>
    <w:p>
      <w:pPr>
        <w:sectPr>
          <w:pgSz w:w="11900" w:h="16838" w:orient="portrait"/>
          <w:cols w:equalWidth="0" w:num="1">
            <w:col w:w="11220"/>
          </w:cols>
          <w:pgMar w:left="320" w:top="2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Composition and Board Refreshment</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Director Qualifications</w:t>
      </w:r>
    </w:p>
    <w:p>
      <w:pPr>
        <w:spacing w:after="0" w:line="200"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The Governance Committee’s charter requires it to review candidates’ qualifications for membership on the Board or a committee of the Board, including making a specific determination as to the independence of each candidate based on criteria approved by the Board (and taking into account the enhanced independence, financial literacy and financial expertise standards that may be required under applicable law or NYSE rules for audit committee membership, and heightened independence standards that may be required under applicable law or NYSE rules for compensation committee membership ). If the Governance Committee determines that adding a new director is advisable, it will recommend such individual to the Board for appointment as a member of the Board and any committees, as applicable.</w:t>
      </w:r>
    </w:p>
    <w:p>
      <w:pPr>
        <w:spacing w:after="0" w:line="6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Consistent with our Corporate Governance Policies, when appointing directors, the Board seeks members who combine sound business judgment, professionalism and a broad spectrum of experience and expertise with a reputation for the highest standards of ethics and integrity. The Board believes its composition should reflect a broad range of skills, backgrounds and perspectives. Directors should have experience in positions with a high degree of responsibility, be leaders or senior managers in the companies or institutions with which they are or were affiliated and be selected based upon contributions they can make to the Board and management and their ability to represent and advance the interests of the Company and its shareholders.</w:t>
      </w:r>
    </w:p>
    <w:p>
      <w:pPr>
        <w:spacing w:after="0" w:line="41"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Tenure and Board Refreshment</w:t>
      </w:r>
    </w:p>
    <w:p>
      <w:pPr>
        <w:spacing w:after="0" w:line="200" w:lineRule="exact"/>
        <w:rPr>
          <w:sz w:val="20"/>
          <w:szCs w:val="20"/>
          <w:color w:val="auto"/>
        </w:rPr>
      </w:pPr>
    </w:p>
    <w:p>
      <w:pPr>
        <w:jc w:val="both"/>
        <w:ind w:right="160"/>
        <w:spacing w:after="0" w:line="292" w:lineRule="auto"/>
        <w:rPr>
          <w:sz w:val="20"/>
          <w:szCs w:val="20"/>
          <w:color w:val="auto"/>
        </w:rPr>
      </w:pPr>
      <w:r>
        <w:rPr>
          <w:rFonts w:ascii="Arial" w:cs="Arial" w:eastAsia="Arial" w:hAnsi="Arial"/>
          <w:sz w:val="16"/>
          <w:szCs w:val="16"/>
          <w:color w:val="auto"/>
        </w:rPr>
        <w:t>Our Board has shown an ongoing commitment to Board refreshment and to having highly qualified, independent perspectives in the boardroom. Seven of the Company’s director nominees have been added to the Board since the beginning of 2020. The average tenure of the independent director nominees is currently 6.2 years. The average tenure is 6.7 years if Mr. Fernandez and Mr. Pettit are included.</w:t>
      </w:r>
    </w:p>
    <w:p>
      <w:pPr>
        <w:spacing w:after="0" w:line="7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In February 2025, the Board amended the policy to increase the retirement age for non-employee directors from age 72 to age 75, reflecting evolving market practices and increasing life expectancy, which allows directors to contribute their expertise for longer periods. Our Corporate Governance Policies now provide that directors should not stand for re-election following their 75th birthday. To date, the Board has not granted a waiver to this retirement policy. Since 2020, three directors have retired, two directors, including Mr. Edmunds, decided not to stand for re-election and one director resigned. These retirements and decisions have provided us with opportunities for Board refreshment.</w:t>
      </w:r>
    </w:p>
    <w:p>
      <w:pPr>
        <w:spacing w:after="0" w:line="80"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The chart below highlights the key skills and expertise of directors who have joined the Board since 2020, strengthening MSCI’s leadership in investment management, technology, go-to-market strategy, and digital transformation.</w:t>
      </w:r>
    </w:p>
    <w:p>
      <w:pPr>
        <w:spacing w:after="0" w:line="118" w:lineRule="exact"/>
        <w:rPr>
          <w:sz w:val="20"/>
          <w:szCs w:val="20"/>
          <w:color w:val="auto"/>
        </w:rPr>
      </w:pPr>
    </w:p>
    <w:tbl>
      <w:tblPr>
        <w:tblLayout w:type="fixed"/>
        <w:tblInd w:w="80" w:type="dxa"/>
        <w:tblCellMar>
          <w:top w:w="0" w:type="dxa"/>
          <w:left w:w="0" w:type="dxa"/>
          <w:bottom w:w="0" w:type="dxa"/>
          <w:right w:w="0" w:type="dxa"/>
        </w:tblCellMar>
      </w:tblPr>
      <w:tr>
        <w:trPr>
          <w:trHeight w:val="348"/>
        </w:trPr>
        <w:tc>
          <w:tcPr>
            <w:tcW w:w="220" w:type="dxa"/>
            <w:vAlign w:val="bottom"/>
          </w:tcPr>
          <w:p>
            <w:pPr>
              <w:spacing w:after="0"/>
              <w:rPr>
                <w:sz w:val="24"/>
                <w:szCs w:val="24"/>
                <w:color w:val="auto"/>
              </w:rPr>
            </w:pPr>
          </w:p>
        </w:tc>
        <w:tc>
          <w:tcPr>
            <w:tcW w:w="3160" w:type="dxa"/>
            <w:vAlign w:val="bottom"/>
          </w:tcPr>
          <w:p>
            <w:pPr>
              <w:jc w:val="right"/>
              <w:ind w:right="2474"/>
              <w:spacing w:after="0"/>
              <w:rPr>
                <w:sz w:val="20"/>
                <w:szCs w:val="20"/>
                <w:color w:val="auto"/>
              </w:rPr>
            </w:pPr>
            <w:r>
              <w:rPr>
                <w:rFonts w:ascii="Arial" w:cs="Arial" w:eastAsia="Arial" w:hAnsi="Arial"/>
                <w:sz w:val="25"/>
                <w:szCs w:val="25"/>
                <w:b w:val="1"/>
                <w:bCs w:val="1"/>
                <w:color w:val="auto"/>
                <w:w w:val="97"/>
              </w:rPr>
              <w:t>2020</w:t>
            </w:r>
          </w:p>
        </w:tc>
        <w:tc>
          <w:tcPr>
            <w:tcW w:w="280" w:type="dxa"/>
            <w:vAlign w:val="bottom"/>
          </w:tcPr>
          <w:p>
            <w:pPr>
              <w:spacing w:after="0"/>
              <w:rPr>
                <w:sz w:val="24"/>
                <w:szCs w:val="24"/>
                <w:color w:val="auto"/>
              </w:rPr>
            </w:pPr>
          </w:p>
        </w:tc>
        <w:tc>
          <w:tcPr>
            <w:tcW w:w="3480" w:type="dxa"/>
            <w:vAlign w:val="bottom"/>
          </w:tcPr>
          <w:p>
            <w:pPr>
              <w:jc w:val="right"/>
              <w:ind w:right="2134"/>
              <w:spacing w:after="0"/>
              <w:rPr>
                <w:sz w:val="20"/>
                <w:szCs w:val="20"/>
                <w:color w:val="auto"/>
              </w:rPr>
            </w:pPr>
            <w:r>
              <w:rPr>
                <w:rFonts w:ascii="Arial" w:cs="Arial" w:eastAsia="Arial" w:hAnsi="Arial"/>
                <w:sz w:val="25"/>
                <w:szCs w:val="25"/>
                <w:b w:val="1"/>
                <w:bCs w:val="1"/>
                <w:color w:val="auto"/>
              </w:rPr>
              <w:t>2021-2023</w:t>
            </w:r>
          </w:p>
        </w:tc>
        <w:tc>
          <w:tcPr>
            <w:tcW w:w="3580" w:type="dxa"/>
            <w:vAlign w:val="bottom"/>
            <w:gridSpan w:val="2"/>
          </w:tcPr>
          <w:p>
            <w:pPr>
              <w:jc w:val="right"/>
              <w:ind w:right="2700"/>
              <w:spacing w:after="0"/>
              <w:rPr>
                <w:sz w:val="20"/>
                <w:szCs w:val="20"/>
                <w:color w:val="auto"/>
              </w:rPr>
            </w:pPr>
            <w:r>
              <w:rPr>
                <w:rFonts w:ascii="Arial" w:cs="Arial" w:eastAsia="Arial" w:hAnsi="Arial"/>
                <w:sz w:val="25"/>
                <w:szCs w:val="25"/>
                <w:b w:val="1"/>
                <w:bCs w:val="1"/>
                <w:color w:val="auto"/>
              </w:rPr>
              <w:t>2024</w:t>
            </w:r>
          </w:p>
        </w:tc>
      </w:tr>
      <w:tr>
        <w:trPr>
          <w:trHeight w:val="129"/>
        </w:trPr>
        <w:tc>
          <w:tcPr>
            <w:tcW w:w="220" w:type="dxa"/>
            <w:vAlign w:val="bottom"/>
          </w:tcPr>
          <w:p>
            <w:pPr>
              <w:spacing w:after="0" w:line="129" w:lineRule="exact"/>
              <w:rPr>
                <w:sz w:val="20"/>
                <w:szCs w:val="20"/>
                <w:color w:val="auto"/>
              </w:rPr>
            </w:pPr>
            <w:r>
              <w:rPr>
                <w:rFonts w:ascii="Webdings" w:cs="Webdings" w:eastAsia="Webdings" w:hAnsi="Webdings"/>
                <w:sz w:val="13"/>
                <w:szCs w:val="13"/>
                <w:b w:val="1"/>
                <w:bCs w:val="1"/>
                <w:color w:val="1A3FD6"/>
              </w:rPr>
              <w:t>n</w:t>
            </w:r>
          </w:p>
        </w:tc>
        <w:tc>
          <w:tcPr>
            <w:tcW w:w="3160" w:type="dxa"/>
            <w:vAlign w:val="bottom"/>
            <w:tcBorders>
              <w:bottom w:val="single" w:sz="8" w:color="1A3FD6"/>
            </w:tcBorders>
          </w:tcPr>
          <w:p>
            <w:pPr>
              <w:spacing w:after="0"/>
              <w:rPr>
                <w:sz w:val="11"/>
                <w:szCs w:val="11"/>
                <w:color w:val="auto"/>
              </w:rPr>
            </w:pPr>
          </w:p>
        </w:tc>
        <w:tc>
          <w:tcPr>
            <w:tcW w:w="280" w:type="dxa"/>
            <w:vAlign w:val="bottom"/>
          </w:tcPr>
          <w:p>
            <w:pPr>
              <w:ind w:left="80"/>
              <w:spacing w:after="0" w:line="129" w:lineRule="exact"/>
              <w:rPr>
                <w:sz w:val="20"/>
                <w:szCs w:val="20"/>
                <w:color w:val="auto"/>
              </w:rPr>
            </w:pPr>
            <w:r>
              <w:rPr>
                <w:rFonts w:ascii="Webdings" w:cs="Webdings" w:eastAsia="Webdings" w:hAnsi="Webdings"/>
                <w:sz w:val="13"/>
                <w:szCs w:val="13"/>
                <w:b w:val="1"/>
                <w:bCs w:val="1"/>
                <w:color w:val="1A3FD6"/>
              </w:rPr>
              <w:t>n</w:t>
            </w:r>
          </w:p>
        </w:tc>
        <w:tc>
          <w:tcPr>
            <w:tcW w:w="3480" w:type="dxa"/>
            <w:vAlign w:val="bottom"/>
            <w:tcBorders>
              <w:bottom w:val="single" w:sz="8" w:color="1A3FD6"/>
            </w:tcBorders>
          </w:tcPr>
          <w:p>
            <w:pPr>
              <w:spacing w:after="0"/>
              <w:rPr>
                <w:sz w:val="11"/>
                <w:szCs w:val="11"/>
                <w:color w:val="auto"/>
              </w:rPr>
            </w:pPr>
          </w:p>
        </w:tc>
        <w:tc>
          <w:tcPr>
            <w:tcW w:w="300" w:type="dxa"/>
            <w:vAlign w:val="bottom"/>
          </w:tcPr>
          <w:p>
            <w:pPr>
              <w:ind w:left="80"/>
              <w:spacing w:after="0" w:line="129" w:lineRule="exact"/>
              <w:rPr>
                <w:sz w:val="20"/>
                <w:szCs w:val="20"/>
                <w:color w:val="auto"/>
              </w:rPr>
            </w:pPr>
            <w:r>
              <w:rPr>
                <w:rFonts w:ascii="Webdings" w:cs="Webdings" w:eastAsia="Webdings" w:hAnsi="Webdings"/>
                <w:sz w:val="13"/>
                <w:szCs w:val="13"/>
                <w:b w:val="1"/>
                <w:bCs w:val="1"/>
                <w:color w:val="1A3FD6"/>
              </w:rPr>
              <w:t>n</w:t>
            </w:r>
          </w:p>
        </w:tc>
        <w:tc>
          <w:tcPr>
            <w:tcW w:w="3280" w:type="dxa"/>
            <w:vAlign w:val="bottom"/>
            <w:tcBorders>
              <w:bottom w:val="single" w:sz="8" w:color="1A3FD6"/>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51435</wp:posOffset>
            </wp:positionV>
            <wp:extent cx="8255" cy="20828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208280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51435</wp:posOffset>
            </wp:positionV>
            <wp:extent cx="8890" cy="20828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208280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51435</wp:posOffset>
            </wp:positionV>
            <wp:extent cx="8255" cy="20828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2082800"/>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-170815</wp:posOffset>
            </wp:positionV>
            <wp:extent cx="146050" cy="2146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46050" cy="214630"/>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type w:val="continuous"/>
        </w:sectPr>
      </w:pPr>
    </w:p>
    <w:p>
      <w:pPr>
        <w:spacing w:after="0" w:line="202"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1A3FD6"/>
        </w:rPr>
        <w:t>February 26, 2020</w:t>
      </w:r>
    </w:p>
    <w:p>
      <w:pPr>
        <w:spacing w:after="0" w:line="35" w:lineRule="exact"/>
        <w:rPr>
          <w:sz w:val="20"/>
          <w:szCs w:val="20"/>
          <w:color w:val="auto"/>
        </w:rPr>
      </w:pPr>
    </w:p>
    <w:p>
      <w:pPr>
        <w:ind w:left="300" w:right="340"/>
        <w:spacing w:after="0" w:line="282" w:lineRule="auto"/>
        <w:rPr>
          <w:sz w:val="20"/>
          <w:szCs w:val="20"/>
          <w:color w:val="auto"/>
        </w:rPr>
      </w:pPr>
      <w:r>
        <w:rPr>
          <w:rFonts w:ascii="Arial" w:cs="Arial" w:eastAsia="Arial" w:hAnsi="Arial"/>
          <w:sz w:val="16"/>
          <w:szCs w:val="16"/>
          <w:color w:val="auto"/>
        </w:rPr>
        <w:t>Paula Volent appointed, bringing investment industry, multi-asset class investments and asset allocation experience</w:t>
      </w:r>
    </w:p>
    <w:p>
      <w:pPr>
        <w:spacing w:after="0" w:line="78" w:lineRule="exact"/>
        <w:rPr>
          <w:sz w:val="20"/>
          <w:szCs w:val="20"/>
          <w:color w:val="auto"/>
        </w:rPr>
      </w:pPr>
    </w:p>
    <w:p>
      <w:pPr>
        <w:ind w:left="300"/>
        <w:spacing w:after="0" w:line="289" w:lineRule="auto"/>
        <w:rPr>
          <w:sz w:val="20"/>
          <w:szCs w:val="20"/>
          <w:color w:val="auto"/>
        </w:rPr>
      </w:pPr>
      <w:r>
        <w:rPr>
          <w:rFonts w:ascii="Arial" w:cs="Arial" w:eastAsia="Arial" w:hAnsi="Arial"/>
          <w:sz w:val="16"/>
          <w:szCs w:val="16"/>
          <w:color w:val="auto"/>
        </w:rPr>
        <w:t>Sandy Rattray appointed, bringing extensive investment industry experience, including asset management and market risk management experience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June 1, 2021</w:t>
      </w:r>
    </w:p>
    <w:p>
      <w:pPr>
        <w:spacing w:after="0" w:line="35"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Rajat Taneja appointed, bringing global technology, cybersecurity and research and development experience, including expertise in</w:t>
      </w:r>
    </w:p>
    <w:p>
      <w:pPr>
        <w:spacing w:after="0"/>
        <w:rPr>
          <w:sz w:val="20"/>
          <w:szCs w:val="20"/>
          <w:color w:val="auto"/>
        </w:rPr>
      </w:pPr>
      <w:r>
        <w:rPr>
          <w:rFonts w:ascii="Arial" w:cs="Arial" w:eastAsia="Arial" w:hAnsi="Arial"/>
          <w:sz w:val="16"/>
          <w:szCs w:val="16"/>
          <w:color w:val="auto"/>
        </w:rPr>
        <w:t>AI</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June 1, 2022</w:t>
      </w:r>
    </w:p>
    <w:p>
      <w:pPr>
        <w:spacing w:after="0" w:line="35"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Robin Matlock appointed, bringing go-to-market and marketing strategy expertise</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January 30, 2023</w:t>
      </w:r>
    </w:p>
    <w:p>
      <w:pPr>
        <w:spacing w:after="0" w:line="35" w:lineRule="exact"/>
        <w:rPr>
          <w:sz w:val="20"/>
          <w:szCs w:val="20"/>
          <w:color w:val="auto"/>
        </w:rPr>
      </w:pPr>
    </w:p>
    <w:p>
      <w:pPr>
        <w:jc w:val="both"/>
        <w:ind w:right="220"/>
        <w:spacing w:after="0" w:line="282" w:lineRule="auto"/>
        <w:rPr>
          <w:sz w:val="20"/>
          <w:szCs w:val="20"/>
          <w:color w:val="auto"/>
        </w:rPr>
      </w:pPr>
      <w:r>
        <w:rPr>
          <w:rFonts w:ascii="Arial" w:cs="Arial" w:eastAsia="Arial" w:hAnsi="Arial"/>
          <w:sz w:val="16"/>
          <w:szCs w:val="16"/>
          <w:color w:val="auto"/>
        </w:rPr>
        <w:t>Baer Pettit appointed, adding expertise and deep knowledge of MSCI, its people, clients, operations and value proposition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1049020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August 5, 2024</w:t>
      </w:r>
    </w:p>
    <w:p>
      <w:pPr>
        <w:spacing w:after="0" w:line="35" w:lineRule="exact"/>
        <w:rPr>
          <w:sz w:val="20"/>
          <w:szCs w:val="20"/>
          <w:color w:val="auto"/>
        </w:rPr>
      </w:pPr>
    </w:p>
    <w:p>
      <w:pPr>
        <w:ind w:right="440"/>
        <w:spacing w:after="0" w:line="282" w:lineRule="auto"/>
        <w:rPr>
          <w:sz w:val="20"/>
          <w:szCs w:val="20"/>
          <w:color w:val="auto"/>
        </w:rPr>
      </w:pPr>
      <w:r>
        <w:rPr>
          <w:rFonts w:ascii="Arial" w:cs="Arial" w:eastAsia="Arial" w:hAnsi="Arial"/>
          <w:sz w:val="16"/>
          <w:szCs w:val="16"/>
          <w:color w:val="auto"/>
        </w:rPr>
        <w:t>Michelle Seitz appointed, bringing deep experience in the investment industry, including expertise in asset management and private wealth</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December 17, 2024</w:t>
      </w:r>
    </w:p>
    <w:p>
      <w:pPr>
        <w:spacing w:after="0" w:line="35" w:lineRule="exact"/>
        <w:rPr>
          <w:sz w:val="20"/>
          <w:szCs w:val="20"/>
          <w:color w:val="auto"/>
        </w:rPr>
      </w:pPr>
    </w:p>
    <w:p>
      <w:pPr>
        <w:ind w:right="640"/>
        <w:spacing w:after="0" w:line="291" w:lineRule="auto"/>
        <w:rPr>
          <w:sz w:val="20"/>
          <w:szCs w:val="20"/>
          <w:color w:val="auto"/>
        </w:rPr>
      </w:pPr>
      <w:r>
        <w:rPr>
          <w:rFonts w:ascii="Arial" w:cs="Arial" w:eastAsia="Arial" w:hAnsi="Arial"/>
          <w:sz w:val="16"/>
          <w:szCs w:val="16"/>
          <w:color w:val="auto"/>
        </w:rPr>
        <w:t>June Yang appointed, bringing extensive experience in the technology sector, with a focus on AI and cloud</w:t>
      </w:r>
    </w:p>
    <w:p>
      <w:pPr>
        <w:sectPr>
          <w:pgSz w:w="11900" w:h="16838" w:orient="portrait"/>
          <w:cols w:equalWidth="0" w:num="3">
            <w:col w:w="3320" w:space="440"/>
            <w:col w:w="3420" w:space="360"/>
            <w:col w:w="3680"/>
          </w:cols>
          <w:pgMar w:left="320" w:top="292" w:right="359" w:bottom="1440" w:gutter="0" w:footer="0" w:header="0"/>
          <w:type w:val="continuous"/>
        </w:sectPr>
      </w:pPr>
    </w:p>
    <w:bookmarkStart w:id="31" w:name="page32"/>
    <w:bookmarkEnd w:id="31"/>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30</w:t>
      </w:r>
      <w:r>
        <w:rPr>
          <w:sz w:val="20"/>
          <w:szCs w:val="20"/>
          <w:color w:val="auto"/>
        </w:rPr>
        <w:tab/>
      </w:r>
      <w:r>
        <w:rPr>
          <w:rFonts w:ascii="Arial" w:cs="Arial" w:eastAsia="Arial" w:hAnsi="Arial"/>
          <w:sz w:val="14"/>
          <w:szCs w:val="14"/>
          <w:b w:val="1"/>
          <w:bCs w:val="1"/>
          <w:color w:val="1A3FD6"/>
        </w:rPr>
        <w:t>2025 PROXY STATEMENT</w:t>
      </w:r>
    </w:p>
    <w:p>
      <w:pPr>
        <w:sectPr>
          <w:pgSz w:w="11900" w:h="16838" w:orient="portrait"/>
          <w:cols w:equalWidth="0" w:num="1">
            <w:col w:w="11040"/>
          </w:cols>
          <w:pgMar w:left="320" w:top="292"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also periodically rotate committee assignments and committee chair positions. Committee chairs historically have typically served approximately 4 to 6 years on average in order to facilitate rotation of committee chairs while preserving experienced leadership. In 2025, we rotated committee assignments in light of recent director appointments,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71120</wp:posOffset>
            </wp:positionV>
            <wp:extent cx="5554980" cy="514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554980" cy="514350"/>
                    </a:xfrm>
                    <a:prstGeom prst="rect">
                      <a:avLst/>
                    </a:prstGeom>
                    <a:noFill/>
                  </pic:spPr>
                </pic:pic>
              </a:graphicData>
            </a:graphic>
          </wp:anchor>
        </w:drawing>
      </w:r>
    </w:p>
    <w:p>
      <w:pPr>
        <w:spacing w:after="0" w:line="105" w:lineRule="exact"/>
        <w:rPr>
          <w:sz w:val="20"/>
          <w:szCs w:val="20"/>
          <w:color w:val="auto"/>
        </w:rPr>
      </w:pPr>
    </w:p>
    <w:p>
      <w:pPr>
        <w:ind w:left="1880" w:hanging="395"/>
        <w:spacing w:after="0"/>
        <w:tabs>
          <w:tab w:leader="none" w:pos="1880" w:val="left"/>
        </w:tabs>
        <w:numPr>
          <w:ilvl w:val="0"/>
          <w:numId w:val="21"/>
        </w:numPr>
        <w:rPr>
          <w:rFonts w:ascii="Arial" w:cs="Arial" w:eastAsia="Arial" w:hAnsi="Arial"/>
          <w:sz w:val="54"/>
          <w:szCs w:val="54"/>
          <w:b w:val="1"/>
          <w:bCs w:val="1"/>
          <w:color w:val="1A3FD6"/>
        </w:rPr>
      </w:pPr>
      <w:r>
        <w:rPr>
          <w:rFonts w:ascii="Arial" w:cs="Arial" w:eastAsia="Arial" w:hAnsi="Arial"/>
          <w:sz w:val="25"/>
          <w:szCs w:val="25"/>
          <w:b w:val="1"/>
          <w:bCs w:val="1"/>
          <w:color w:val="auto"/>
        </w:rPr>
        <w:t>New Independent Directors Appointed Since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180340</wp:posOffset>
            </wp:positionV>
            <wp:extent cx="5554980" cy="4860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554980" cy="4860290"/>
                    </a:xfrm>
                    <a:prstGeom prst="rect">
                      <a:avLst/>
                    </a:prstGeom>
                    <a:noFill/>
                  </pic:spPr>
                </pic:pic>
              </a:graphicData>
            </a:graphic>
          </wp:anchor>
        </w:drawing>
      </w:r>
    </w:p>
    <w:p>
      <w:pPr>
        <w:sectPr>
          <w:pgSz w:w="11900" w:h="16838" w:orient="portrait"/>
          <w:cols w:equalWidth="0" w:num="1">
            <w:col w:w="11040"/>
          </w:cols>
          <w:pgMar w:left="320" w:top="292"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1A3FD6"/>
        </w:rPr>
        <w:t>Board Member Independence</w:t>
      </w:r>
    </w:p>
    <w:p>
      <w:pPr>
        <w:spacing w:after="0" w:line="140" w:lineRule="exact"/>
        <w:rPr>
          <w:sz w:val="20"/>
          <w:szCs w:val="20"/>
          <w:color w:val="auto"/>
        </w:rPr>
      </w:pPr>
    </w:p>
    <w:p>
      <w:pPr>
        <w:ind w:left="1620" w:right="40"/>
        <w:spacing w:after="0" w:line="280" w:lineRule="auto"/>
        <w:rPr>
          <w:sz w:val="20"/>
          <w:szCs w:val="20"/>
          <w:color w:val="auto"/>
        </w:rPr>
      </w:pPr>
      <w:r>
        <w:rPr>
          <w:rFonts w:ascii="Arial" w:cs="Arial" w:eastAsia="Arial" w:hAnsi="Arial"/>
          <w:sz w:val="16"/>
          <w:szCs w:val="16"/>
          <w:color w:val="auto"/>
        </w:rPr>
        <w:t>Other than Mr. Fernandez, our CEO, and Mr. Pettit, our President and COO, each of our director nominees has been determined by the Board to be an “independent director” under the rules of the NYSE, which require that the Board affirmatively determines that the director has no material relationship with the Company (either directly or as a partner, shareholder or officer of an organization that has a relationship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040" w:right="280"/>
        <w:spacing w:after="0" w:line="306" w:lineRule="auto"/>
        <w:rPr>
          <w:sz w:val="20"/>
          <w:szCs w:val="20"/>
          <w:color w:val="auto"/>
        </w:rPr>
      </w:pPr>
      <w:r>
        <w:rPr>
          <w:rFonts w:ascii="Arial" w:cs="Arial" w:eastAsia="Arial" w:hAnsi="Arial"/>
          <w:sz w:val="16"/>
          <w:szCs w:val="16"/>
          <w:b w:val="1"/>
          <w:bCs w:val="1"/>
          <w:color w:val="1A3FD6"/>
        </w:rPr>
        <w:t>Recent Director Appointments and Search Process</w:t>
      </w:r>
    </w:p>
    <w:p>
      <w:pPr>
        <w:spacing w:after="0" w:line="174" w:lineRule="exact"/>
        <w:rPr>
          <w:sz w:val="20"/>
          <w:szCs w:val="20"/>
          <w:color w:val="auto"/>
        </w:rPr>
      </w:pPr>
    </w:p>
    <w:p>
      <w:pPr>
        <w:ind w:left="1620" w:right="140"/>
        <w:spacing w:after="0" w:line="278" w:lineRule="auto"/>
        <w:rPr>
          <w:sz w:val="20"/>
          <w:szCs w:val="20"/>
          <w:color w:val="auto"/>
        </w:rPr>
      </w:pPr>
      <w:r>
        <w:rPr>
          <w:rFonts w:ascii="Arial" w:cs="Arial" w:eastAsia="Arial" w:hAnsi="Arial"/>
          <w:sz w:val="16"/>
          <w:szCs w:val="16"/>
          <w:color w:val="auto"/>
        </w:rPr>
        <w:t>Michelle Seitz and June Yang, appointed in 2024, were identified through a rigorous director search process led by the Governance Committee, leveraging an external search firm. The process included an extensive evaluation of candidates against key criteria such as industry expertise, technological acumen and leadership experience. The Governance Committee conducted multiple rounds of review, interviews and deliberations to ensure that the selected directors would complement the Board’s existing strengths and support MSCI’s long-term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978535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210820</wp:posOffset>
            </wp:positionV>
            <wp:extent cx="555498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55498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A3FD6"/>
        </w:rPr>
        <w:t>Director Retirement:</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1A3FD6"/>
        </w:rPr>
        <w:t>Wayne Edmunds</w:t>
      </w:r>
    </w:p>
    <w:p>
      <w:pPr>
        <w:spacing w:after="0" w:line="255" w:lineRule="exact"/>
        <w:rPr>
          <w:sz w:val="20"/>
          <w:szCs w:val="20"/>
          <w:color w:val="auto"/>
        </w:rPr>
      </w:pPr>
    </w:p>
    <w:p>
      <w:pPr>
        <w:ind w:right="1460"/>
        <w:spacing w:after="0" w:line="280" w:lineRule="auto"/>
        <w:rPr>
          <w:sz w:val="20"/>
          <w:szCs w:val="20"/>
          <w:color w:val="auto"/>
        </w:rPr>
      </w:pPr>
      <w:r>
        <w:rPr>
          <w:rFonts w:ascii="Arial" w:cs="Arial" w:eastAsia="Arial" w:hAnsi="Arial"/>
          <w:sz w:val="16"/>
          <w:szCs w:val="16"/>
          <w:color w:val="auto"/>
        </w:rPr>
        <w:t>Wayne Edmunds, who joined the Board in 2015, is not standing for reelection at the 2025 Annual Meeting. The Board thanks Mr. Edmunds for his commitment to the Company’s shareholders, employees and other stakeholders. He has made meaningful contributions to the Company during his nearly 10 years of service on the Board, including as the former Chair of our Audit Committee and a member of the Compensation Committee and the Strategy Committee.</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Committee Rotations</w:t>
      </w:r>
    </w:p>
    <w:p>
      <w:pPr>
        <w:spacing w:after="0" w:line="140" w:lineRule="exact"/>
        <w:rPr>
          <w:sz w:val="20"/>
          <w:szCs w:val="20"/>
          <w:color w:val="auto"/>
        </w:rPr>
      </w:pPr>
    </w:p>
    <w:p>
      <w:pPr>
        <w:ind w:right="1700"/>
        <w:spacing w:after="0" w:line="292" w:lineRule="auto"/>
        <w:rPr>
          <w:sz w:val="20"/>
          <w:szCs w:val="20"/>
          <w:color w:val="auto"/>
        </w:rPr>
      </w:pPr>
      <w:r>
        <w:rPr>
          <w:rFonts w:ascii="Arial" w:cs="Arial" w:eastAsia="Arial" w:hAnsi="Arial"/>
          <w:sz w:val="16"/>
          <w:szCs w:val="16"/>
          <w:color w:val="auto"/>
        </w:rPr>
        <w:t>In 2024, we appointed Robert G. Ashe to the Governance Committee, and rotated him from the Strategy Committee.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In 2025, the Board effectuated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following changes:</w:t>
      </w:r>
    </w:p>
    <w:p>
      <w:pPr>
        <w:spacing w:after="0" w:line="128" w:lineRule="exact"/>
        <w:rPr>
          <w:sz w:val="20"/>
          <w:szCs w:val="20"/>
          <w:color w:val="auto"/>
        </w:rPr>
      </w:pPr>
    </w:p>
    <w:p>
      <w:pPr>
        <w:ind w:left="200" w:right="1740" w:hanging="193"/>
        <w:spacing w:after="0" w:line="292" w:lineRule="auto"/>
        <w:tabs>
          <w:tab w:leader="none" w:pos="197" w:val="left"/>
        </w:tabs>
        <w:numPr>
          <w:ilvl w:val="0"/>
          <w:numId w:val="22"/>
        </w:numPr>
        <w:rPr>
          <w:rFonts w:ascii="Arial" w:cs="Arial" w:eastAsia="Arial" w:hAnsi="Arial"/>
          <w:sz w:val="16"/>
          <w:szCs w:val="16"/>
          <w:color w:val="1A3FD6"/>
        </w:rPr>
      </w:pPr>
      <w:r>
        <w:rPr>
          <w:rFonts w:ascii="Arial" w:cs="Arial" w:eastAsia="Arial" w:hAnsi="Arial"/>
          <w:sz w:val="16"/>
          <w:szCs w:val="16"/>
          <w:color w:val="auto"/>
        </w:rPr>
        <w:t>Appointed Robin L. Matlock to the Compensation Committee, and rotated her from the Audit Committee.</w:t>
      </w:r>
    </w:p>
    <w:p>
      <w:pPr>
        <w:spacing w:after="0" w:line="16" w:lineRule="exact"/>
        <w:rPr>
          <w:rFonts w:ascii="Arial" w:cs="Arial" w:eastAsia="Arial" w:hAnsi="Arial"/>
          <w:sz w:val="16"/>
          <w:szCs w:val="16"/>
          <w:color w:val="1A3FD6"/>
        </w:rPr>
      </w:pPr>
    </w:p>
    <w:p>
      <w:pPr>
        <w:ind w:left="200" w:right="1920" w:hanging="193"/>
        <w:spacing w:after="0" w:line="292" w:lineRule="auto"/>
        <w:tabs>
          <w:tab w:leader="none" w:pos="197" w:val="left"/>
        </w:tabs>
        <w:numPr>
          <w:ilvl w:val="0"/>
          <w:numId w:val="22"/>
        </w:numPr>
        <w:rPr>
          <w:rFonts w:ascii="Arial" w:cs="Arial" w:eastAsia="Arial" w:hAnsi="Arial"/>
          <w:sz w:val="16"/>
          <w:szCs w:val="16"/>
          <w:color w:val="1A3FD6"/>
        </w:rPr>
      </w:pPr>
      <w:r>
        <w:rPr>
          <w:rFonts w:ascii="Arial" w:cs="Arial" w:eastAsia="Arial" w:hAnsi="Arial"/>
          <w:sz w:val="16"/>
          <w:szCs w:val="16"/>
          <w:color w:val="auto"/>
        </w:rPr>
        <w:t>Appointed Michelle Seitz to the Strategy Committee, and rotated her from the Audit Committee.</w:t>
      </w:r>
    </w:p>
    <w:p>
      <w:pPr>
        <w:spacing w:after="0" w:line="16" w:lineRule="exact"/>
        <w:rPr>
          <w:rFonts w:ascii="Arial" w:cs="Arial" w:eastAsia="Arial" w:hAnsi="Arial"/>
          <w:sz w:val="16"/>
          <w:szCs w:val="16"/>
          <w:color w:val="1A3FD6"/>
        </w:rPr>
      </w:pPr>
    </w:p>
    <w:p>
      <w:pPr>
        <w:ind w:left="200" w:hanging="193"/>
        <w:spacing w:after="0"/>
        <w:tabs>
          <w:tab w:leader="none" w:pos="200" w:val="left"/>
        </w:tabs>
        <w:numPr>
          <w:ilvl w:val="0"/>
          <w:numId w:val="22"/>
        </w:numPr>
        <w:rPr>
          <w:rFonts w:ascii="Arial" w:cs="Arial" w:eastAsia="Arial" w:hAnsi="Arial"/>
          <w:sz w:val="16"/>
          <w:szCs w:val="16"/>
          <w:color w:val="1A3FD6"/>
        </w:rPr>
      </w:pPr>
      <w:r>
        <w:rPr>
          <w:rFonts w:ascii="Arial" w:cs="Arial" w:eastAsia="Arial" w:hAnsi="Arial"/>
          <w:sz w:val="16"/>
          <w:szCs w:val="16"/>
          <w:color w:val="auto"/>
        </w:rPr>
        <w:t>Appointed June Yang to the Audit Committee.</w:t>
      </w:r>
    </w:p>
    <w:p>
      <w:pPr>
        <w:sectPr>
          <w:pgSz w:w="11900" w:h="16838" w:orient="portrait"/>
          <w:cols w:equalWidth="0" w:num="2">
            <w:col w:w="5320" w:space="720"/>
            <w:col w:w="5000"/>
          </w:cols>
          <w:pgMar w:left="320" w:top="292" w:right="5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8420"/>
              <w:spacing w:after="0"/>
              <w:rPr>
                <w:sz w:val="20"/>
                <w:szCs w:val="20"/>
                <w:color w:val="auto"/>
              </w:rPr>
            </w:pPr>
            <w:r>
              <w:rPr>
                <w:rFonts w:ascii="Arial" w:cs="Arial" w:eastAsia="Arial" w:hAnsi="Arial"/>
                <w:sz w:val="14"/>
                <w:szCs w:val="14"/>
                <w:b w:val="1"/>
                <w:bCs w:val="1"/>
                <w:color w:val="1A3FD6"/>
              </w:rPr>
              <w:t>Corporate Governance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31</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384"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Director Re-Nomination</w:t>
      </w:r>
    </w:p>
    <w:p>
      <w:pPr>
        <w:spacing w:after="0" w:line="146"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The Governance Committee also assesses the performance of current directors in its evaluation of current directors for re-nomination to the Board or re-appointment to any Board committees.</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New Director Search Process</w:t>
      </w:r>
    </w:p>
    <w:p>
      <w:pPr>
        <w:spacing w:after="0" w:line="186"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auto"/>
        </w:rPr>
        <w:t>Michelle Seitz was appointed to the Board in August 2024, and June Yang was appointed to the Board in December 2024. These appointments were the result of the search process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56515</wp:posOffset>
            </wp:positionV>
            <wp:extent cx="6951980" cy="12172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51980" cy="121729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p>
      <w:pPr>
        <w:spacing w:after="0" w:line="300" w:lineRule="exact"/>
        <w:rPr>
          <w:sz w:val="20"/>
          <w:szCs w:val="20"/>
          <w:color w:val="auto"/>
        </w:rPr>
      </w:pPr>
    </w:p>
    <w:p>
      <w:pPr>
        <w:ind w:left="820"/>
        <w:spacing w:after="0"/>
        <w:rPr>
          <w:sz w:val="20"/>
          <w:szCs w:val="20"/>
          <w:color w:val="auto"/>
        </w:rPr>
      </w:pPr>
      <w:r>
        <w:rPr>
          <w:rFonts w:ascii="Arial" w:cs="Arial" w:eastAsia="Arial" w:hAnsi="Arial"/>
          <w:sz w:val="54"/>
          <w:szCs w:val="54"/>
          <w:b w:val="1"/>
          <w:bCs w:val="1"/>
          <w:color w:val="1A3FD6"/>
        </w:rPr>
        <w:t>1</w:t>
      </w:r>
    </w:p>
    <w:p>
      <w:pPr>
        <w:spacing w:after="0" w:line="7" w:lineRule="exact"/>
        <w:rPr>
          <w:sz w:val="20"/>
          <w:szCs w:val="20"/>
          <w:color w:val="auto"/>
        </w:rPr>
      </w:pPr>
    </w:p>
    <w:p>
      <w:pPr>
        <w:ind w:left="820"/>
        <w:spacing w:after="0" w:line="293" w:lineRule="auto"/>
        <w:rPr>
          <w:sz w:val="20"/>
          <w:szCs w:val="20"/>
          <w:color w:val="auto"/>
        </w:rPr>
      </w:pPr>
      <w:r>
        <w:rPr>
          <w:rFonts w:ascii="Arial" w:cs="Arial" w:eastAsia="Arial" w:hAnsi="Arial"/>
          <w:sz w:val="16"/>
          <w:szCs w:val="16"/>
          <w:b w:val="1"/>
          <w:bCs w:val="1"/>
          <w:color w:val="auto"/>
        </w:rPr>
        <w:t>DIRECTOR RECRUITMENT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399415</wp:posOffset>
            </wp:positionV>
            <wp:extent cx="205740" cy="1028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0574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20"/>
        <w:spacing w:after="0"/>
        <w:rPr>
          <w:sz w:val="20"/>
          <w:szCs w:val="20"/>
          <w:color w:val="auto"/>
        </w:rPr>
      </w:pPr>
      <w:r>
        <w:rPr>
          <w:rFonts w:ascii="Arial" w:cs="Arial" w:eastAsia="Arial" w:hAnsi="Arial"/>
          <w:sz w:val="54"/>
          <w:szCs w:val="54"/>
          <w:b w:val="1"/>
          <w:bCs w:val="1"/>
          <w:color w:val="1A3FD6"/>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-356235</wp:posOffset>
            </wp:positionV>
            <wp:extent cx="34290" cy="9086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908685"/>
                    </a:xfrm>
                    <a:prstGeom prst="rect">
                      <a:avLst/>
                    </a:prstGeom>
                    <a:noFill/>
                  </pic:spPr>
                </pic:pic>
              </a:graphicData>
            </a:graphic>
          </wp:anchor>
        </w:drawing>
      </w:r>
    </w:p>
    <w:p>
      <w:pPr>
        <w:ind w:left="820" w:right="380"/>
        <w:spacing w:after="0" w:line="287" w:lineRule="auto"/>
        <w:rPr>
          <w:sz w:val="20"/>
          <w:szCs w:val="20"/>
          <w:color w:val="auto"/>
        </w:rPr>
      </w:pPr>
      <w:r>
        <w:rPr>
          <w:rFonts w:ascii="Arial" w:cs="Arial" w:eastAsia="Arial" w:hAnsi="Arial"/>
          <w:sz w:val="16"/>
          <w:szCs w:val="16"/>
          <w:b w:val="1"/>
          <w:bCs w:val="1"/>
          <w:color w:val="auto"/>
        </w:rPr>
        <w:t>IDENTIFICATION AND INTERVIEW OF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51435</wp:posOffset>
            </wp:positionV>
            <wp:extent cx="274320" cy="431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74320" cy="4318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128270</wp:posOffset>
            </wp:positionV>
            <wp:extent cx="205740" cy="1028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05740" cy="10287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820"/>
        <w:spacing w:after="0"/>
        <w:rPr>
          <w:sz w:val="20"/>
          <w:szCs w:val="20"/>
          <w:color w:val="auto"/>
        </w:rPr>
      </w:pPr>
      <w:r>
        <w:rPr>
          <w:rFonts w:ascii="Arial" w:cs="Arial" w:eastAsia="Arial" w:hAnsi="Arial"/>
          <w:sz w:val="54"/>
          <w:szCs w:val="54"/>
          <w:b w:val="1"/>
          <w:bCs w:val="1"/>
          <w:color w:val="1A3FD6"/>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-356235</wp:posOffset>
            </wp:positionV>
            <wp:extent cx="34290" cy="10115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1011555"/>
                    </a:xfrm>
                    <a:prstGeom prst="rect">
                      <a:avLst/>
                    </a:prstGeom>
                    <a:noFill/>
                  </pic:spPr>
                </pic:pic>
              </a:graphicData>
            </a:graphic>
          </wp:anchor>
        </w:drawing>
      </w:r>
    </w:p>
    <w:p>
      <w:pPr>
        <w:ind w:left="820" w:right="240"/>
        <w:spacing w:after="0" w:line="293" w:lineRule="auto"/>
        <w:rPr>
          <w:sz w:val="20"/>
          <w:szCs w:val="20"/>
          <w:color w:val="auto"/>
        </w:rPr>
      </w:pPr>
      <w:r>
        <w:rPr>
          <w:rFonts w:ascii="Arial" w:cs="Arial" w:eastAsia="Arial" w:hAnsi="Arial"/>
          <w:sz w:val="16"/>
          <w:szCs w:val="16"/>
          <w:b w:val="1"/>
          <w:bCs w:val="1"/>
          <w:color w:val="auto"/>
        </w:rPr>
        <w:t>BOARD DECISION AND NOMINATION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47625</wp:posOffset>
            </wp:positionV>
            <wp:extent cx="274320" cy="431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74320" cy="43180"/>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382270</wp:posOffset>
            </wp:positionV>
            <wp:extent cx="205740" cy="1028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0574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jc w:val="both"/>
        <w:ind w:right="400"/>
        <w:spacing w:after="0" w:line="292" w:lineRule="auto"/>
        <w:rPr>
          <w:sz w:val="20"/>
          <w:szCs w:val="20"/>
          <w:color w:val="auto"/>
        </w:rPr>
      </w:pPr>
      <w:r>
        <w:rPr>
          <w:rFonts w:ascii="Arial" w:cs="Arial" w:eastAsia="Arial" w:hAnsi="Arial"/>
          <w:sz w:val="16"/>
          <w:szCs w:val="16"/>
          <w:color w:val="auto"/>
        </w:rPr>
        <w:t>The Governance Committee, with the feedback of the full Board, identifies key skills that would best serve the future needs of the Board and the Company, including by considering feedback from the Board’s annual self-evaluation process.</w:t>
      </w:r>
    </w:p>
    <w:p>
      <w:pPr>
        <w:spacing w:after="0" w:line="57" w:lineRule="exact"/>
        <w:rPr>
          <w:sz w:val="20"/>
          <w:szCs w:val="20"/>
          <w:color w:val="auto"/>
        </w:rPr>
      </w:pPr>
    </w:p>
    <w:p>
      <w:pPr>
        <w:jc w:val="both"/>
        <w:ind w:right="320"/>
        <w:spacing w:after="0" w:line="301" w:lineRule="auto"/>
        <w:rPr>
          <w:sz w:val="20"/>
          <w:szCs w:val="20"/>
          <w:color w:val="auto"/>
        </w:rPr>
      </w:pPr>
      <w:r>
        <w:rPr>
          <w:rFonts w:ascii="Arial" w:cs="Arial" w:eastAsia="Arial" w:hAnsi="Arial"/>
          <w:sz w:val="16"/>
          <w:szCs w:val="16"/>
          <w:color w:val="auto"/>
        </w:rPr>
        <w:t>The Governance Committee may retain a professional search firm to identify and evaluate director candidates, prioritizing relevant experience. This ensures a comprehensive search and broad pool of potential candidates, with input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52120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The Governance Committee identifies a short list of high-potential candidates, and the search firm conducts an initial assessment of these candidates’ skills, experience, background and availability to commit to Board service.</w:t>
      </w:r>
    </w:p>
    <w:p>
      <w:pPr>
        <w:spacing w:after="0" w:line="6"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The Chair of the Governance Committee meets with a number of candidates. Certain candidates also meet with members of the Governance Committee, the Chairman and the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52120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The Governance Committee presents qualified candidates to the Board. In reviewing the potential candidates, the Board takes into account the qualifications discussed in “Director Qualifications” of this Proxy Statement and in MSCI’s Corporate Governance Policies. Upon completion of its assessment, the Governance Committee reports its recommendations for nominations to the full Board. Following discussion of a candidate’s qualifications and consideration of the independence of such candidate, where applicable, the Board formally appoints the candidate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316865</wp:posOffset>
            </wp:positionV>
            <wp:extent cx="6755130" cy="20916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55130" cy="20916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120"/>
            <w:col w:w="8240"/>
          </w:cols>
          <w:pgMar w:left="320" w:top="166" w:right="33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ind w:left="820"/>
        <w:spacing w:after="0"/>
        <w:rPr>
          <w:sz w:val="20"/>
          <w:szCs w:val="20"/>
          <w:color w:val="auto"/>
        </w:rPr>
      </w:pPr>
      <w:r>
        <w:rPr>
          <w:rFonts w:ascii="Arial" w:cs="Arial" w:eastAsia="Arial" w:hAnsi="Arial"/>
          <w:sz w:val="54"/>
          <w:szCs w:val="54"/>
          <w:b w:val="1"/>
          <w:bCs w:val="1"/>
          <w:color w:val="1A3FD6"/>
        </w:rPr>
        <w:t>4</w:t>
      </w:r>
    </w:p>
    <w:p>
      <w:pPr>
        <w:spacing w:after="0" w:line="7" w:lineRule="exact"/>
        <w:rPr>
          <w:sz w:val="20"/>
          <w:szCs w:val="20"/>
          <w:color w:val="auto"/>
        </w:rPr>
      </w:pPr>
    </w:p>
    <w:p>
      <w:pPr>
        <w:jc w:val="center"/>
        <w:ind w:left="731"/>
        <w:spacing w:after="0"/>
        <w:rPr>
          <w:sz w:val="20"/>
          <w:szCs w:val="20"/>
          <w:color w:val="auto"/>
        </w:rPr>
      </w:pPr>
      <w:r>
        <w:rPr>
          <w:rFonts w:ascii="Arial" w:cs="Arial" w:eastAsia="Arial" w:hAnsi="Arial"/>
          <w:sz w:val="16"/>
          <w:szCs w:val="16"/>
          <w:b w:val="1"/>
          <w:bCs w:val="1"/>
          <w:color w:val="auto"/>
        </w:rPr>
        <w:t>NEW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ind w:left="191" w:right="580" w:hanging="191"/>
        <w:spacing w:after="0" w:line="304" w:lineRule="auto"/>
        <w:tabs>
          <w:tab w:leader="none" w:pos="188" w:val="left"/>
        </w:tabs>
        <w:numPr>
          <w:ilvl w:val="0"/>
          <w:numId w:val="23"/>
        </w:numPr>
        <w:rPr>
          <w:rFonts w:ascii="Arial" w:cs="Arial" w:eastAsia="Arial" w:hAnsi="Arial"/>
          <w:sz w:val="16"/>
          <w:szCs w:val="16"/>
          <w:color w:val="1A3FD6"/>
        </w:rPr>
      </w:pPr>
      <w:r>
        <w:rPr>
          <w:rFonts w:ascii="Arial" w:cs="Arial" w:eastAsia="Arial" w:hAnsi="Arial"/>
          <w:sz w:val="16"/>
          <w:szCs w:val="16"/>
          <w:color w:val="auto"/>
        </w:rPr>
        <w:t>The Board appointed Michelle Seitz to the Board, effective August 5, 2024, and June Yang to the Board, effective December 17, 2024.</w:t>
      </w:r>
    </w:p>
    <w:p>
      <w:pPr>
        <w:spacing w:after="0" w:line="6" w:lineRule="exact"/>
        <w:rPr>
          <w:rFonts w:ascii="Arial" w:cs="Arial" w:eastAsia="Arial" w:hAnsi="Arial"/>
          <w:sz w:val="16"/>
          <w:szCs w:val="16"/>
          <w:color w:val="1A3FD6"/>
        </w:rPr>
      </w:pPr>
    </w:p>
    <w:p>
      <w:pPr>
        <w:ind w:left="191" w:hanging="191"/>
        <w:spacing w:after="0"/>
        <w:tabs>
          <w:tab w:leader="none" w:pos="191" w:val="left"/>
        </w:tabs>
        <w:numPr>
          <w:ilvl w:val="0"/>
          <w:numId w:val="23"/>
        </w:numPr>
        <w:rPr>
          <w:rFonts w:ascii="Arial" w:cs="Arial" w:eastAsia="Arial" w:hAnsi="Arial"/>
          <w:sz w:val="16"/>
          <w:szCs w:val="16"/>
          <w:color w:val="1A3FD6"/>
        </w:rPr>
      </w:pPr>
      <w:r>
        <w:rPr>
          <w:rFonts w:ascii="Arial" w:cs="Arial" w:eastAsia="Arial" w:hAnsi="Arial"/>
          <w:sz w:val="16"/>
          <w:szCs w:val="16"/>
          <w:color w:val="auto"/>
        </w:rPr>
        <w:t>Ms. Seitz’s qualifications include:</w:t>
      </w:r>
    </w:p>
    <w:p>
      <w:pPr>
        <w:spacing w:after="0" w:line="72" w:lineRule="exact"/>
        <w:rPr>
          <w:rFonts w:ascii="Arial" w:cs="Arial" w:eastAsia="Arial" w:hAnsi="Arial"/>
          <w:sz w:val="16"/>
          <w:szCs w:val="16"/>
          <w:color w:val="1A3FD6"/>
        </w:rPr>
      </w:pPr>
    </w:p>
    <w:p>
      <w:pPr>
        <w:ind w:left="391" w:hanging="196"/>
        <w:spacing w:after="0"/>
        <w:tabs>
          <w:tab w:leader="none" w:pos="391" w:val="left"/>
        </w:tabs>
        <w:numPr>
          <w:ilvl w:val="1"/>
          <w:numId w:val="23"/>
        </w:numPr>
        <w:rPr>
          <w:rFonts w:ascii="Arial" w:cs="Arial" w:eastAsia="Arial" w:hAnsi="Arial"/>
          <w:sz w:val="16"/>
          <w:szCs w:val="16"/>
          <w:color w:val="1A3FD6"/>
        </w:rPr>
      </w:pPr>
      <w:r>
        <w:rPr>
          <w:rFonts w:ascii="Arial" w:cs="Arial" w:eastAsia="Arial" w:hAnsi="Arial"/>
          <w:sz w:val="16"/>
          <w:szCs w:val="16"/>
          <w:color w:val="auto"/>
        </w:rPr>
        <w:t>Over 30 years of leadership in asset management and private wealth, including roles as CEO and investor.</w:t>
      </w:r>
    </w:p>
    <w:p>
      <w:pPr>
        <w:spacing w:after="0" w:line="86" w:lineRule="exact"/>
        <w:rPr>
          <w:rFonts w:ascii="Arial" w:cs="Arial" w:eastAsia="Arial" w:hAnsi="Arial"/>
          <w:sz w:val="16"/>
          <w:szCs w:val="16"/>
          <w:color w:val="1A3FD6"/>
        </w:rPr>
      </w:pPr>
    </w:p>
    <w:p>
      <w:pPr>
        <w:ind w:left="391" w:hanging="196"/>
        <w:spacing w:after="0"/>
        <w:tabs>
          <w:tab w:leader="none" w:pos="391" w:val="left"/>
        </w:tabs>
        <w:numPr>
          <w:ilvl w:val="1"/>
          <w:numId w:val="23"/>
        </w:numPr>
        <w:rPr>
          <w:rFonts w:ascii="Arial" w:cs="Arial" w:eastAsia="Arial" w:hAnsi="Arial"/>
          <w:sz w:val="16"/>
          <w:szCs w:val="16"/>
          <w:color w:val="1A3FD6"/>
        </w:rPr>
      </w:pPr>
      <w:r>
        <w:rPr>
          <w:rFonts w:ascii="Arial" w:cs="Arial" w:eastAsia="Arial" w:hAnsi="Arial"/>
          <w:sz w:val="16"/>
          <w:szCs w:val="16"/>
          <w:color w:val="auto"/>
        </w:rPr>
        <w:t>Proven ability to drive transformational growth and foster a client-focused, award-winning culture.</w:t>
      </w:r>
    </w:p>
    <w:p>
      <w:pPr>
        <w:spacing w:after="0" w:line="86" w:lineRule="exact"/>
        <w:rPr>
          <w:rFonts w:ascii="Arial" w:cs="Arial" w:eastAsia="Arial" w:hAnsi="Arial"/>
          <w:sz w:val="16"/>
          <w:szCs w:val="16"/>
          <w:color w:val="1A3FD6"/>
        </w:rPr>
      </w:pPr>
    </w:p>
    <w:p>
      <w:pPr>
        <w:ind w:left="191" w:hanging="191"/>
        <w:spacing w:after="0"/>
        <w:tabs>
          <w:tab w:leader="none" w:pos="191" w:val="left"/>
        </w:tabs>
        <w:numPr>
          <w:ilvl w:val="0"/>
          <w:numId w:val="23"/>
        </w:numPr>
        <w:rPr>
          <w:rFonts w:ascii="Arial" w:cs="Arial" w:eastAsia="Arial" w:hAnsi="Arial"/>
          <w:sz w:val="16"/>
          <w:szCs w:val="16"/>
          <w:color w:val="1A3FD6"/>
        </w:rPr>
      </w:pPr>
      <w:r>
        <w:rPr>
          <w:rFonts w:ascii="Arial" w:cs="Arial" w:eastAsia="Arial" w:hAnsi="Arial"/>
          <w:sz w:val="16"/>
          <w:szCs w:val="16"/>
          <w:color w:val="auto"/>
        </w:rPr>
        <w:t>Ms. Yang’s qualifications include:</w:t>
      </w:r>
    </w:p>
    <w:p>
      <w:pPr>
        <w:spacing w:after="0" w:line="72" w:lineRule="exact"/>
        <w:rPr>
          <w:rFonts w:ascii="Arial" w:cs="Arial" w:eastAsia="Arial" w:hAnsi="Arial"/>
          <w:sz w:val="16"/>
          <w:szCs w:val="16"/>
          <w:color w:val="1A3FD6"/>
        </w:rPr>
      </w:pPr>
    </w:p>
    <w:p>
      <w:pPr>
        <w:ind w:left="391" w:right="680" w:hanging="196"/>
        <w:spacing w:after="0" w:line="308" w:lineRule="auto"/>
        <w:tabs>
          <w:tab w:leader="none" w:pos="388" w:val="left"/>
        </w:tabs>
        <w:numPr>
          <w:ilvl w:val="1"/>
          <w:numId w:val="23"/>
        </w:numPr>
        <w:rPr>
          <w:rFonts w:ascii="Arial" w:cs="Arial" w:eastAsia="Arial" w:hAnsi="Arial"/>
          <w:sz w:val="16"/>
          <w:szCs w:val="16"/>
          <w:color w:val="1A3FD6"/>
        </w:rPr>
      </w:pPr>
      <w:r>
        <w:rPr>
          <w:rFonts w:ascii="Arial" w:cs="Arial" w:eastAsia="Arial" w:hAnsi="Arial"/>
          <w:sz w:val="16"/>
          <w:szCs w:val="16"/>
          <w:color w:val="auto"/>
        </w:rPr>
        <w:t>More than 30 years of experience in the technology sector, with expertise in AI, cloud and enterprise innovation.</w:t>
      </w:r>
    </w:p>
    <w:p>
      <w:pPr>
        <w:ind w:left="391" w:hanging="196"/>
        <w:spacing w:after="0"/>
        <w:tabs>
          <w:tab w:leader="none" w:pos="391" w:val="left"/>
        </w:tabs>
        <w:numPr>
          <w:ilvl w:val="1"/>
          <w:numId w:val="23"/>
        </w:numPr>
        <w:rPr>
          <w:rFonts w:ascii="Arial" w:cs="Arial" w:eastAsia="Arial" w:hAnsi="Arial"/>
          <w:sz w:val="16"/>
          <w:szCs w:val="16"/>
          <w:color w:val="1A3FD6"/>
        </w:rPr>
      </w:pPr>
      <w:r>
        <w:rPr>
          <w:rFonts w:ascii="Arial" w:cs="Arial" w:eastAsia="Arial" w:hAnsi="Arial"/>
          <w:sz w:val="16"/>
          <w:szCs w:val="16"/>
          <w:color w:val="auto"/>
        </w:rPr>
        <w:t>Strong track record in product management, marketing and engineering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1388110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289" w:space="720"/>
            <w:col w:w="8231"/>
          </w:cols>
          <w:pgMar w:left="320" w:top="166" w:right="339" w:bottom="1440" w:gutter="0" w:footer="0" w:header="0"/>
          <w:type w:val="continuous"/>
        </w:sectPr>
      </w:pPr>
    </w:p>
    <w:bookmarkStart w:id="33" w:name="page34"/>
    <w:bookmarkEnd w:id="33"/>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32</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Proxy Access</w:t>
      </w:r>
    </w:p>
    <w:p>
      <w:pPr>
        <w:spacing w:after="0" w:line="200"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Our Bylaws permit a shareholder, or a group of up to 20 shareholders, owning at least three percent of the Company’s outstanding common stock continuously for at least three years to nominate and include in the Company’s annual meeting proxy materials director nominees constituting the greater of two directors or twenty percent of the total number of directors on the Board, provided that such shareholder(s) and nominee(s) satisfy the requirements specified in the Bylaws.</w:t>
      </w:r>
    </w:p>
    <w:p>
      <w:pPr>
        <w:spacing w:after="0" w:line="44"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Shareholder Right to Call a Special Meeting</w:t>
      </w:r>
    </w:p>
    <w:p>
      <w:pPr>
        <w:spacing w:after="0" w:line="186"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In response to shareholder engagement, we amended our Bylaws in 2024 to permit shareholders of record or beneficial owners holding not less than 15% of our outstanding shares continuously for at least one year the right to call a special meeting of shareholders.</w:t>
      </w:r>
    </w:p>
    <w:p>
      <w:pPr>
        <w:spacing w:after="0" w:line="14"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Board Culture</w:t>
      </w:r>
    </w:p>
    <w:p>
      <w:pPr>
        <w:spacing w:after="0" w:line="20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Board has established a boardroom dynamic that supports informed decision making and oversight. One of the hallmarks of the Board’s culture is meaningful and robust discussion, where views are thoroughly debated and varied perspectives and independent thinking are encouraged and welcomed. Directors are expected to ask, and consistently do ask, challenging questions of both management and each other. Each member of the Board is also committed to maximizing shareholder value and promoting shareholder interests, and members of our Board regularly interact directly with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3454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3454400"/>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sectPr>
      </w:pPr>
    </w:p>
    <w:p>
      <w:pPr>
        <w:spacing w:after="0" w:line="27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1A3FD6"/>
        </w:rPr>
        <w:t>ENGAGEMENT WITH</w:t>
      </w:r>
    </w:p>
    <w:p>
      <w:pPr>
        <w:spacing w:after="0" w:line="35" w:lineRule="exact"/>
        <w:rPr>
          <w:sz w:val="20"/>
          <w:szCs w:val="20"/>
          <w:color w:val="auto"/>
        </w:rPr>
      </w:pPr>
    </w:p>
    <w:p>
      <w:pPr>
        <w:ind w:left="340" w:right="160"/>
        <w:spacing w:after="0" w:line="255" w:lineRule="auto"/>
        <w:rPr>
          <w:sz w:val="20"/>
          <w:szCs w:val="20"/>
          <w:color w:val="auto"/>
        </w:rPr>
      </w:pPr>
      <w:r>
        <w:rPr>
          <w:rFonts w:ascii="Arial" w:cs="Arial" w:eastAsia="Arial" w:hAnsi="Arial"/>
          <w:sz w:val="16"/>
          <w:szCs w:val="16"/>
          <w:b w:val="1"/>
          <w:bCs w:val="1"/>
          <w:color w:val="1A3FD6"/>
        </w:rPr>
        <w:t xml:space="preserve">MANAGEMENT: </w:t>
      </w:r>
      <w:r>
        <w:rPr>
          <w:rFonts w:ascii="Arial" w:cs="Arial" w:eastAsia="Arial" w:hAnsi="Arial"/>
          <w:sz w:val="16"/>
          <w:szCs w:val="16"/>
          <w:color w:val="000000"/>
        </w:rPr>
        <w:t>Directors regularly meet with</w:t>
      </w:r>
      <w:r>
        <w:rPr>
          <w:rFonts w:ascii="Arial" w:cs="Arial" w:eastAsia="Arial" w:hAnsi="Arial"/>
          <w:sz w:val="16"/>
          <w:szCs w:val="16"/>
          <w:b w:val="1"/>
          <w:bCs w:val="1"/>
          <w:color w:val="1A3FD6"/>
        </w:rPr>
        <w:t xml:space="preserve"> </w:t>
      </w:r>
      <w:r>
        <w:rPr>
          <w:rFonts w:ascii="Arial" w:cs="Arial" w:eastAsia="Arial" w:hAnsi="Arial"/>
          <w:sz w:val="16"/>
          <w:szCs w:val="16"/>
          <w:color w:val="000000"/>
        </w:rPr>
        <w:t>senior management and continuously assess performance during meetings and other interactions. Our Corporate Governance Policies provide that each Board member has complete and open access to senior members of MSCI management.</w:t>
      </w:r>
    </w:p>
    <w:p>
      <w:pPr>
        <w:spacing w:after="0" w:line="87" w:lineRule="exact"/>
        <w:rPr>
          <w:sz w:val="20"/>
          <w:szCs w:val="20"/>
          <w:color w:val="auto"/>
        </w:rPr>
      </w:pPr>
    </w:p>
    <w:p>
      <w:pPr>
        <w:ind w:left="340" w:right="580"/>
        <w:spacing w:after="0" w:line="266" w:lineRule="auto"/>
        <w:rPr>
          <w:sz w:val="20"/>
          <w:szCs w:val="20"/>
          <w:color w:val="auto"/>
        </w:rPr>
      </w:pPr>
      <w:r>
        <w:rPr>
          <w:rFonts w:ascii="Arial" w:cs="Arial" w:eastAsia="Arial" w:hAnsi="Arial"/>
          <w:sz w:val="16"/>
          <w:szCs w:val="16"/>
          <w:color w:val="auto"/>
        </w:rPr>
        <w:t>We have also paired independent Board members with senior members of our management for mentorship.</w:t>
      </w:r>
    </w:p>
    <w:p>
      <w:pPr>
        <w:spacing w:after="0" w:line="131" w:lineRule="exact"/>
        <w:rPr>
          <w:sz w:val="20"/>
          <w:szCs w:val="20"/>
          <w:color w:val="auto"/>
        </w:rPr>
      </w:pPr>
    </w:p>
    <w:p>
      <w:pPr>
        <w:ind w:left="340" w:right="120"/>
        <w:spacing w:after="0" w:line="266" w:lineRule="auto"/>
        <w:rPr>
          <w:sz w:val="20"/>
          <w:szCs w:val="20"/>
          <w:color w:val="auto"/>
        </w:rPr>
      </w:pPr>
      <w:r>
        <w:rPr>
          <w:rFonts w:ascii="Arial" w:cs="Arial" w:eastAsia="Arial" w:hAnsi="Arial"/>
          <w:sz w:val="16"/>
          <w:szCs w:val="16"/>
          <w:b w:val="1"/>
          <w:bCs w:val="1"/>
          <w:color w:val="1A3FD6"/>
        </w:rPr>
        <w:t xml:space="preserve">REFRESHMENT: </w:t>
      </w:r>
      <w:r>
        <w:rPr>
          <w:rFonts w:ascii="Arial" w:cs="Arial" w:eastAsia="Arial" w:hAnsi="Arial"/>
          <w:sz w:val="16"/>
          <w:szCs w:val="16"/>
          <w:color w:val="000000"/>
        </w:rPr>
        <w:t>Our Board is committed to</w:t>
      </w:r>
      <w:r>
        <w:rPr>
          <w:rFonts w:ascii="Arial" w:cs="Arial" w:eastAsia="Arial" w:hAnsi="Arial"/>
          <w:sz w:val="16"/>
          <w:szCs w:val="16"/>
          <w:b w:val="1"/>
          <w:bCs w:val="1"/>
          <w:color w:val="1A3FD6"/>
        </w:rPr>
        <w:t xml:space="preserve"> </w:t>
      </w:r>
      <w:r>
        <w:rPr>
          <w:rFonts w:ascii="Arial" w:cs="Arial" w:eastAsia="Arial" w:hAnsi="Arial"/>
          <w:sz w:val="16"/>
          <w:szCs w:val="16"/>
          <w:color w:val="000000"/>
        </w:rPr>
        <w:t>active refreshment – 41.7% of our director nominees have tenures of less than five years.</w:t>
      </w:r>
    </w:p>
    <w:p>
      <w:pPr>
        <w:spacing w:after="0" w:line="131" w:lineRule="exact"/>
        <w:rPr>
          <w:sz w:val="20"/>
          <w:szCs w:val="20"/>
          <w:color w:val="auto"/>
        </w:rPr>
      </w:pPr>
    </w:p>
    <w:p>
      <w:pPr>
        <w:ind w:left="340"/>
        <w:spacing w:after="0" w:line="259" w:lineRule="auto"/>
        <w:rPr>
          <w:sz w:val="20"/>
          <w:szCs w:val="20"/>
          <w:color w:val="auto"/>
        </w:rPr>
      </w:pPr>
      <w:r>
        <w:rPr>
          <w:rFonts w:ascii="Arial" w:cs="Arial" w:eastAsia="Arial" w:hAnsi="Arial"/>
          <w:sz w:val="16"/>
          <w:szCs w:val="16"/>
          <w:b w:val="1"/>
          <w:bCs w:val="1"/>
          <w:color w:val="1A3FD6"/>
        </w:rPr>
        <w:t xml:space="preserve">INDEPENDENCE: </w:t>
      </w:r>
      <w:r>
        <w:rPr>
          <w:rFonts w:ascii="Arial" w:cs="Arial" w:eastAsia="Arial" w:hAnsi="Arial"/>
          <w:sz w:val="16"/>
          <w:szCs w:val="16"/>
          <w:color w:val="000000"/>
        </w:rPr>
        <w:t>Having an independent Lead</w:t>
      </w:r>
      <w:r>
        <w:rPr>
          <w:rFonts w:ascii="Arial" w:cs="Arial" w:eastAsia="Arial" w:hAnsi="Arial"/>
          <w:sz w:val="16"/>
          <w:szCs w:val="16"/>
          <w:b w:val="1"/>
          <w:bCs w:val="1"/>
          <w:color w:val="1A3FD6"/>
        </w:rPr>
        <w:t xml:space="preserve"> </w:t>
      </w:r>
      <w:r>
        <w:rPr>
          <w:rFonts w:ascii="Arial" w:cs="Arial" w:eastAsia="Arial" w:hAnsi="Arial"/>
          <w:sz w:val="16"/>
          <w:szCs w:val="16"/>
          <w:color w:val="000000"/>
        </w:rPr>
        <w:t>Director, all independent committee chairs and members, a significantly independent Board and a practice of independent director sessions following each Board meeting fosters a culture of open discussion, with an unbiased evaluation of risks and opportunities.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color w:val="1A3FD6"/>
        </w:rPr>
        <w:t xml:space="preserve">BOARD COMPOSITION: </w:t>
      </w:r>
      <w:r>
        <w:rPr>
          <w:rFonts w:ascii="Arial" w:cs="Arial" w:eastAsia="Arial" w:hAnsi="Arial"/>
          <w:sz w:val="16"/>
          <w:szCs w:val="16"/>
          <w:color w:val="000000"/>
        </w:rPr>
        <w:t>Our Board values a</w:t>
      </w:r>
      <w:r>
        <w:rPr>
          <w:rFonts w:ascii="Arial" w:cs="Arial" w:eastAsia="Arial" w:hAnsi="Arial"/>
          <w:sz w:val="16"/>
          <w:szCs w:val="16"/>
          <w:b w:val="1"/>
          <w:bCs w:val="1"/>
          <w:color w:val="1A3FD6"/>
        </w:rPr>
        <w:t xml:space="preserve"> </w:t>
      </w:r>
      <w:r>
        <w:rPr>
          <w:rFonts w:ascii="Arial" w:cs="Arial" w:eastAsia="Arial" w:hAnsi="Arial"/>
          <w:sz w:val="16"/>
          <w:szCs w:val="16"/>
          <w:color w:val="000000"/>
        </w:rPr>
        <w:t>broad range of skills, backgrounds and perspectives within its membership. The search process for any new director includes these considerations.</w:t>
      </w:r>
    </w:p>
    <w:p>
      <w:pPr>
        <w:spacing w:after="0" w:line="115"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b w:val="1"/>
          <w:bCs w:val="1"/>
          <w:color w:val="1A3FD6"/>
        </w:rPr>
        <w:t xml:space="preserve">SHAREHOLDER INTERESTS: </w:t>
      </w:r>
      <w:r>
        <w:rPr>
          <w:rFonts w:ascii="Arial" w:cs="Arial" w:eastAsia="Arial" w:hAnsi="Arial"/>
          <w:sz w:val="16"/>
          <w:szCs w:val="16"/>
          <w:color w:val="000000"/>
        </w:rPr>
        <w:t>The Board</w:t>
      </w:r>
      <w:r>
        <w:rPr>
          <w:rFonts w:ascii="Arial" w:cs="Arial" w:eastAsia="Arial" w:hAnsi="Arial"/>
          <w:sz w:val="16"/>
          <w:szCs w:val="16"/>
          <w:b w:val="1"/>
          <w:bCs w:val="1"/>
          <w:color w:val="1A3FD6"/>
        </w:rPr>
        <w:t xml:space="preserve"> </w:t>
      </w:r>
      <w:r>
        <w:rPr>
          <w:rFonts w:ascii="Arial" w:cs="Arial" w:eastAsia="Arial" w:hAnsi="Arial"/>
          <w:sz w:val="16"/>
          <w:szCs w:val="16"/>
          <w:color w:val="000000"/>
        </w:rPr>
        <w:t>values candid shareholder feedback to enhance MSCI’s governance, corporate responsibility, and compensation practices. It regularly receives reports from management on shareholder and analyst meetings.</w:t>
      </w:r>
    </w:p>
    <w:p>
      <w:pPr>
        <w:spacing w:after="0" w:line="80"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In 2024, our directors and senior leaders engaged with shareholders to discuss MSCI’s business, strategy and corporate responsibility efforts. We also invite shareholders to speak directly with the Board at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regular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1645285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right="420"/>
        <w:spacing w:after="0" w:line="277" w:lineRule="auto"/>
        <w:rPr>
          <w:sz w:val="20"/>
          <w:szCs w:val="20"/>
          <w:color w:val="auto"/>
        </w:rPr>
      </w:pPr>
      <w:r>
        <w:rPr>
          <w:rFonts w:ascii="Arial" w:cs="Arial" w:eastAsia="Arial" w:hAnsi="Arial"/>
          <w:sz w:val="16"/>
          <w:szCs w:val="16"/>
          <w:b w:val="1"/>
          <w:bCs w:val="1"/>
          <w:color w:val="1A3FD6"/>
        </w:rPr>
        <w:t xml:space="preserve">OPEN DISCUSSION: </w:t>
      </w:r>
      <w:r>
        <w:rPr>
          <w:rFonts w:ascii="Arial" w:cs="Arial" w:eastAsia="Arial" w:hAnsi="Arial"/>
          <w:sz w:val="16"/>
          <w:szCs w:val="16"/>
          <w:color w:val="000000"/>
        </w:rPr>
        <w:t>Our Board emphasizes</w:t>
      </w:r>
      <w:r>
        <w:rPr>
          <w:rFonts w:ascii="Arial" w:cs="Arial" w:eastAsia="Arial" w:hAnsi="Arial"/>
          <w:sz w:val="16"/>
          <w:szCs w:val="16"/>
          <w:b w:val="1"/>
          <w:bCs w:val="1"/>
          <w:color w:val="1A3FD6"/>
        </w:rPr>
        <w:t xml:space="preserve"> </w:t>
      </w:r>
      <w:r>
        <w:rPr>
          <w:rFonts w:ascii="Arial" w:cs="Arial" w:eastAsia="Arial" w:hAnsi="Arial"/>
          <w:sz w:val="16"/>
          <w:szCs w:val="16"/>
          <w:color w:val="000000"/>
        </w:rPr>
        <w:t>open debate. Mr. Ashe, our Lead Director, facilitates constructive discussion among directors and provides feedback to the Chairman to enhance Board leadership</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and culture.</w:t>
      </w:r>
    </w:p>
    <w:p>
      <w:pPr>
        <w:spacing w:after="0" w:line="182" w:lineRule="exact"/>
        <w:rPr>
          <w:sz w:val="20"/>
          <w:szCs w:val="20"/>
          <w:color w:val="auto"/>
        </w:rPr>
      </w:pPr>
    </w:p>
    <w:p>
      <w:pPr>
        <w:ind w:right="400"/>
        <w:spacing w:after="0" w:line="276" w:lineRule="auto"/>
        <w:rPr>
          <w:sz w:val="20"/>
          <w:szCs w:val="20"/>
          <w:color w:val="auto"/>
        </w:rPr>
      </w:pPr>
      <w:r>
        <w:rPr>
          <w:rFonts w:ascii="Arial" w:cs="Arial" w:eastAsia="Arial" w:hAnsi="Arial"/>
          <w:sz w:val="16"/>
          <w:szCs w:val="16"/>
          <w:b w:val="1"/>
          <w:bCs w:val="1"/>
          <w:color w:val="1A3FD6"/>
        </w:rPr>
        <w:t xml:space="preserve">EVALUATION: </w:t>
      </w:r>
      <w:r>
        <w:rPr>
          <w:rFonts w:ascii="Arial" w:cs="Arial" w:eastAsia="Arial" w:hAnsi="Arial"/>
          <w:sz w:val="16"/>
          <w:szCs w:val="16"/>
          <w:color w:val="000000"/>
        </w:rPr>
        <w:t>Each year, our directors</w:t>
      </w:r>
      <w:r>
        <w:rPr>
          <w:rFonts w:ascii="Arial" w:cs="Arial" w:eastAsia="Arial" w:hAnsi="Arial"/>
          <w:sz w:val="16"/>
          <w:szCs w:val="16"/>
          <w:b w:val="1"/>
          <w:bCs w:val="1"/>
          <w:color w:val="1A3FD6"/>
        </w:rPr>
        <w:t xml:space="preserve"> </w:t>
      </w:r>
      <w:r>
        <w:rPr>
          <w:rFonts w:ascii="Arial" w:cs="Arial" w:eastAsia="Arial" w:hAnsi="Arial"/>
          <w:sz w:val="16"/>
          <w:szCs w:val="16"/>
          <w:color w:val="000000"/>
        </w:rPr>
        <w:t>formally evaluate the effectiveness of the Board through a thorough and candid self-assessment. This self-assessment seeks feedback on the Board’s culture, leadership structure, committee effectiveness, continuing education, skills and expertise,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and other areas.</w:t>
      </w:r>
    </w:p>
    <w:p>
      <w:pPr>
        <w:spacing w:after="0" w:line="182" w:lineRule="exact"/>
        <w:rPr>
          <w:sz w:val="20"/>
          <w:szCs w:val="20"/>
          <w:color w:val="auto"/>
        </w:rPr>
      </w:pPr>
    </w:p>
    <w:p>
      <w:pPr>
        <w:ind w:right="360"/>
        <w:spacing w:after="0" w:line="279" w:lineRule="auto"/>
        <w:rPr>
          <w:sz w:val="20"/>
          <w:szCs w:val="20"/>
          <w:color w:val="auto"/>
        </w:rPr>
      </w:pPr>
      <w:r>
        <w:rPr>
          <w:rFonts w:ascii="Arial" w:cs="Arial" w:eastAsia="Arial" w:hAnsi="Arial"/>
          <w:sz w:val="16"/>
          <w:szCs w:val="16"/>
          <w:b w:val="1"/>
          <w:bCs w:val="1"/>
          <w:color w:val="1A3FD6"/>
        </w:rPr>
        <w:t xml:space="preserve">ORIENTATION AND DIRECTOR EDUCATION: </w:t>
      </w:r>
      <w:r>
        <w:rPr>
          <w:rFonts w:ascii="Arial" w:cs="Arial" w:eastAsia="Arial" w:hAnsi="Arial"/>
          <w:sz w:val="16"/>
          <w:szCs w:val="16"/>
          <w:color w:val="000000"/>
        </w:rPr>
        <w:t>The Board’s orientation and</w:t>
      </w:r>
      <w:r>
        <w:rPr>
          <w:rFonts w:ascii="Arial" w:cs="Arial" w:eastAsia="Arial" w:hAnsi="Arial"/>
          <w:sz w:val="16"/>
          <w:szCs w:val="16"/>
          <w:b w:val="1"/>
          <w:bCs w:val="1"/>
          <w:color w:val="1A3FD6"/>
        </w:rPr>
        <w:t xml:space="preserve"> </w:t>
      </w:r>
      <w:r>
        <w:rPr>
          <w:rFonts w:ascii="Arial" w:cs="Arial" w:eastAsia="Arial" w:hAnsi="Arial"/>
          <w:sz w:val="16"/>
          <w:szCs w:val="16"/>
          <w:color w:val="000000"/>
        </w:rPr>
        <w:t>education processes foster a culture of continuing education. As part of the director orientation program, a new director meets with all members of the MSCI Management Committee and all business heads.</w:t>
      </w:r>
    </w:p>
    <w:p>
      <w:pPr>
        <w:sectPr>
          <w:pgSz w:w="11900" w:h="16838" w:orient="portrait"/>
          <w:cols w:equalWidth="0" w:num="3">
            <w:col w:w="3800" w:space="200"/>
            <w:col w:w="3320" w:space="200"/>
            <w:col w:w="3700"/>
          </w:cols>
          <w:pgMar w:left="320" w:top="292" w:right="359" w:bottom="1440" w:gutter="0" w:footer="0" w:header="0"/>
          <w:type w:val="continuous"/>
        </w:sectPr>
      </w:pPr>
    </w:p>
    <w:bookmarkStart w:id="34" w:name="page35"/>
    <w:bookmarkEnd w:id="34"/>
    <w:p>
      <w:pPr>
        <w:ind w:left="8420"/>
        <w:spacing w:after="0"/>
        <w:tabs>
          <w:tab w:leader="none" w:pos="109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Corporate Governance | MSCI</w:t>
      </w:r>
      <w:r>
        <w:rPr>
          <w:sz w:val="20"/>
          <w:szCs w:val="20"/>
          <w:color w:val="auto"/>
        </w:rPr>
        <w:tab/>
      </w:r>
      <w:r>
        <w:rPr>
          <w:rFonts w:ascii="Arial" w:cs="Arial" w:eastAsia="Arial" w:hAnsi="Arial"/>
          <w:sz w:val="14"/>
          <w:szCs w:val="14"/>
          <w:b w:val="1"/>
          <w:bCs w:val="1"/>
          <w:color w:val="1A3FD6"/>
        </w:rPr>
        <w:t>33</w:t>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Structure of our Board</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Substantially Independent Board</w:t>
      </w:r>
    </w:p>
    <w:p>
      <w:pPr>
        <w:spacing w:after="0" w:line="200" w:lineRule="exact"/>
        <w:rPr>
          <w:sz w:val="20"/>
          <w:szCs w:val="20"/>
          <w:color w:val="auto"/>
        </w:rPr>
      </w:pPr>
    </w:p>
    <w:p>
      <w:pPr>
        <w:ind w:right="5700"/>
        <w:spacing w:after="0" w:line="279" w:lineRule="auto"/>
        <w:rPr>
          <w:sz w:val="20"/>
          <w:szCs w:val="20"/>
          <w:color w:val="auto"/>
        </w:rPr>
      </w:pPr>
      <w:r>
        <w:rPr>
          <w:rFonts w:ascii="Arial" w:cs="Arial" w:eastAsia="Arial" w:hAnsi="Arial"/>
          <w:sz w:val="16"/>
          <w:szCs w:val="16"/>
          <w:color w:val="auto"/>
        </w:rPr>
        <w:t>Under the MSCI Corporate Governance Policies, the full Board affirmatively determines the independence of directors and reviews the financial and other relationships between the independent directors and MSCI as part of its assessment of director independence. The Governance Committee also makes specific determinations as to the independence of each candidate when reviewing candidates’ qualifications for membership on the Board or a committee of the Board. Director independence is also monitored by the full Board on an ongoing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-1076960</wp:posOffset>
            </wp:positionV>
            <wp:extent cx="2468880" cy="16459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468880" cy="1645920"/>
                    </a:xfrm>
                    <a:prstGeom prst="rect">
                      <a:avLst/>
                    </a:prstGeom>
                    <a:noFill/>
                  </pic:spPr>
                </pic:pic>
              </a:graphicData>
            </a:graphic>
          </wp:anchor>
        </w:drawing>
      </w:r>
    </w:p>
    <w:p>
      <w:pPr>
        <w:spacing w:after="0" w:line="64" w:lineRule="exact"/>
        <w:rPr>
          <w:sz w:val="20"/>
          <w:szCs w:val="20"/>
          <w:color w:val="auto"/>
        </w:rPr>
      </w:pPr>
    </w:p>
    <w:p>
      <w:pPr>
        <w:ind w:right="5720"/>
        <w:spacing w:after="0" w:line="283" w:lineRule="auto"/>
        <w:rPr>
          <w:sz w:val="20"/>
          <w:szCs w:val="20"/>
          <w:color w:val="auto"/>
        </w:rPr>
      </w:pPr>
      <w:r>
        <w:rPr>
          <w:rFonts w:ascii="Arial" w:cs="Arial" w:eastAsia="Arial" w:hAnsi="Arial"/>
          <w:sz w:val="16"/>
          <w:szCs w:val="16"/>
          <w:color w:val="auto"/>
        </w:rPr>
        <w:t>Our Corporate Governance Policies provide that the Board should have a significant majority of independent directors meeting the independence requirements of the NYSE. Currently, a significant majority of the directors on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32385</wp:posOffset>
            </wp:positionV>
            <wp:extent cx="3000375"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000375" cy="171450"/>
                    </a:xfrm>
                    <a:prstGeom prst="rect">
                      <a:avLst/>
                    </a:prstGeom>
                    <a:noFill/>
                  </pic:spPr>
                </pic:pic>
              </a:graphicData>
            </a:graphic>
          </wp:anchor>
        </w:drawing>
      </w:r>
    </w:p>
    <w:p>
      <w:pPr>
        <w:spacing w:after="0" w:line="44"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All of our non-employee directors are independent</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Board are independent. As of February 28, 2025, there are 13 directors on our Board, comprised of: (i) our Chairman and CEO; (ii) our President and COO; and (iii) 11 independent directors. Our Board has determined that each of Messrs. Ashe, Edmunds, Perold, Rattray, Smith, and Taneja and Mmes. Matlock, Riefler, Seitz, Volent and Yang is independent in accordance with the requirements of our Corporate Governance Policies, which follow NYSE rules and guidelines. In making such determinations, there were no material transactions, relationships or arrangements not disclosed in this Proxy Statement under “Other Matters—Certain Transactions” to be considered by the Board in determining whether each director was independent. Therefore, 11 of our 13 current directors are independent. Following the retirement of Mr. Edmunds, 10 of our 12 directors will be independent. Mr. Fernandez is not independent because of his position as CEO of MSCI, and Mr. Pettit is not independent because of his position as President and COO of MSCI.</w:t>
      </w:r>
    </w:p>
    <w:p>
      <w:pPr>
        <w:spacing w:after="0" w:line="82"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All members of the Audit Committee, Compensation Committee, Governance Committee and Strategy Committee satisfy the independence requirements of the NYSE. In addition, each member of the Audit Committee and Compensation Committee meets the heightened independence standards of the NYSE required for audit committee and compensation committee members,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Board Leadership</w:t>
      </w:r>
    </w:p>
    <w:p>
      <w:pPr>
        <w:spacing w:after="0" w:line="186"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color w:val="auto"/>
        </w:rPr>
        <w:t>The Board seeks to achieve the best board leadership structure for the effective oversight of MSCI’s affairs. The Board believes that its leadership structure must be considered in the context of the individuals involved and the specific circumstances facing MSCI. The Governance Committee is responsible for the ongoing review of the governance structure of the Board and for recommending to the Board those structures and practices best suited to MSCI and</w:t>
      </w:r>
    </w:p>
    <w:p>
      <w:pPr>
        <w:spacing w:after="0"/>
        <w:rPr>
          <w:sz w:val="20"/>
          <w:szCs w:val="20"/>
          <w:color w:val="auto"/>
        </w:rPr>
      </w:pPr>
      <w:r>
        <w:rPr>
          <w:rFonts w:ascii="Arial" w:cs="Arial" w:eastAsia="Arial" w:hAnsi="Arial"/>
          <w:sz w:val="16"/>
          <w:szCs w:val="16"/>
          <w:color w:val="auto"/>
        </w:rPr>
        <w:t>its shareholders.</w:t>
      </w:r>
    </w:p>
    <w:p>
      <w:pPr>
        <w:spacing w:after="0" w:line="128"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The Board regularly reviews its leadership structure and believes that it is in the best interests of MSCI and its shareholders to combine the roles of Chairman and CEO at this time, alongside a robust and independent Lead Director. The Board believes that the decision as to whether the positions of Chairman and CEO should be combined or separated, and whether an executive or an independent director should serve as Chairman if the roles are split, should be based upon the particular circumstances facing MSCI. Maintaining a flexible policy allows the Board to choose the leadership structure that best serves the interests of the Company and its shareholders at any particular time.</w:t>
      </w:r>
    </w:p>
    <w:p>
      <w:pPr>
        <w:spacing w:after="0" w:line="80"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In determining the Board’s current leadership, among other factors, the Board considered and evaluated the importance of consistent, unified leadership to execute and oversee the Company’s strategy; the strength of Mr. Fernandez’s vision for the Company and the quality of his leadership; the strong and highly independent composition of the Board, including having fully independent committee leadership and membership; the views and feedback heard from our investors through our ongoing engagement programs expressing support for our Board leadership structure; and the meaningful and robust responsibilities of the independent Lead Director. As Chairman, Mr. Fernandez chairs Board meetings and the annual shareholder meeting, works with the Lead Director to set agendas for Board meetings (which the Lead Director approves), collaborates with the Board on the Company’s strategy and leads management in implementing that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734060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35" w:name="page36"/>
    <w:bookmarkEnd w:id="35"/>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34</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60"/>
        <w:spacing w:after="0" w:line="277" w:lineRule="auto"/>
        <w:rPr>
          <w:sz w:val="20"/>
          <w:szCs w:val="20"/>
          <w:color w:val="auto"/>
        </w:rPr>
      </w:pPr>
      <w:r>
        <w:rPr>
          <w:rFonts w:ascii="Arial" w:cs="Arial" w:eastAsia="Arial" w:hAnsi="Arial"/>
          <w:sz w:val="16"/>
          <w:szCs w:val="16"/>
          <w:color w:val="auto"/>
        </w:rPr>
        <w:t>A strong, independent Lead Director with clearly defined duties and responsibilities further enhances the contributions of MSCI’s independent directors, which have been, and continue to be, substantial. Our Corporate Governance Policies provide for the appointment of a Lead Director from among the Board’s independent directors whenever the Chairman is not independent. The Lead Director role supports the independent directors to provide effective, independent Board leadership and oversight of management.</w:t>
      </w:r>
    </w:p>
    <w:p>
      <w:pPr>
        <w:spacing w:after="0" w:line="69"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Robert G. Ashe has been our Lead Director since April 2018. As a member of other public company boards, the former CEO and CFO of a public company and an audit committee financial expert, Mr. Ashe also has significant experience with respect to the Board’s roles and responsibilities, including those related to risk oversight and the Board’s design and leadership structure. Further, our Chairman and Lead Director work closely to discuss strategic initiatives for the Company and to ensure the Board is effectively exercising its oversight responsibilities and its consideration of the Company’s significant risks and opportunities. The Board, in executive sessions of independent directors (which are presided over by the Lead Director), also considers and discusses risk-related matters. These sessions provide a forum for candid discussion of risk-related matters, without management or the Chairman and CEO present.</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Lead Director’s responsibilities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714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FFFF"/>
        </w:rPr>
        <w:t>BOARD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8890" cy="7886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788670"/>
                    </a:xfrm>
                    <a:prstGeom prst="rect">
                      <a:avLst/>
                    </a:prstGeom>
                    <a:noFill/>
                  </pic:spPr>
                </pic:pic>
              </a:graphicData>
            </a:graphic>
          </wp:anchor>
        </w:drawing>
      </w:r>
    </w:p>
    <w:p>
      <w:pPr>
        <w:spacing w:after="0" w:line="120" w:lineRule="exact"/>
        <w:rPr>
          <w:sz w:val="20"/>
          <w:szCs w:val="20"/>
          <w:color w:val="auto"/>
        </w:rPr>
      </w:pPr>
    </w:p>
    <w:p>
      <w:pPr>
        <w:ind w:left="320" w:right="80" w:hanging="203"/>
        <w:spacing w:after="0" w:line="272" w:lineRule="auto"/>
        <w:tabs>
          <w:tab w:leader="none" w:pos="317" w:val="left"/>
        </w:tabs>
        <w:numPr>
          <w:ilvl w:val="0"/>
          <w:numId w:val="24"/>
        </w:numPr>
        <w:rPr>
          <w:rFonts w:ascii="Arial" w:cs="Arial" w:eastAsia="Arial" w:hAnsi="Arial"/>
          <w:sz w:val="16"/>
          <w:szCs w:val="16"/>
          <w:color w:val="1A3FD6"/>
        </w:rPr>
      </w:pPr>
      <w:r>
        <w:rPr>
          <w:rFonts w:ascii="Arial" w:cs="Arial" w:eastAsia="Arial" w:hAnsi="Arial"/>
          <w:sz w:val="16"/>
          <w:szCs w:val="16"/>
          <w:color w:val="auto"/>
        </w:rPr>
        <w:t>Advises and provides feedback to the Governance Committee and the Chairman on the structure of the Board and its leadership, including membership of Board committees and the selection of committee chairs</w:t>
      </w:r>
    </w:p>
    <w:p>
      <w:pPr>
        <w:spacing w:after="0" w:line="1" w:lineRule="exact"/>
        <w:rPr>
          <w:rFonts w:ascii="Arial" w:cs="Arial" w:eastAsia="Arial" w:hAnsi="Arial"/>
          <w:sz w:val="16"/>
          <w:szCs w:val="16"/>
          <w:color w:val="1A3FD6"/>
        </w:rPr>
      </w:pPr>
    </w:p>
    <w:p>
      <w:pPr>
        <w:ind w:left="300" w:hanging="183"/>
        <w:spacing w:after="0"/>
        <w:tabs>
          <w:tab w:leader="none" w:pos="300" w:val="left"/>
        </w:tabs>
        <w:numPr>
          <w:ilvl w:val="0"/>
          <w:numId w:val="24"/>
        </w:numPr>
        <w:rPr>
          <w:rFonts w:ascii="Arial" w:cs="Arial" w:eastAsia="Arial" w:hAnsi="Arial"/>
          <w:sz w:val="16"/>
          <w:szCs w:val="16"/>
          <w:color w:val="1A3FD6"/>
        </w:rPr>
      </w:pPr>
      <w:r>
        <w:rPr>
          <w:rFonts w:ascii="Arial" w:cs="Arial" w:eastAsia="Arial" w:hAnsi="Arial"/>
          <w:sz w:val="16"/>
          <w:szCs w:val="16"/>
          <w:color w:val="auto"/>
        </w:rPr>
        <w:t>Has authority to retain independent legal, accounting or other advisors in connection with meetings of independent directors</w:t>
      </w:r>
    </w:p>
    <w:p>
      <w:pPr>
        <w:spacing w:after="0" w:line="45" w:lineRule="exact"/>
        <w:rPr>
          <w:rFonts w:ascii="Arial" w:cs="Arial" w:eastAsia="Arial" w:hAnsi="Arial"/>
          <w:sz w:val="16"/>
          <w:szCs w:val="16"/>
          <w:color w:val="1A3FD6"/>
        </w:rPr>
      </w:pPr>
    </w:p>
    <w:p>
      <w:pPr>
        <w:ind w:left="320" w:right="800" w:hanging="203"/>
        <w:spacing w:after="0" w:line="304" w:lineRule="auto"/>
        <w:tabs>
          <w:tab w:leader="none" w:pos="317" w:val="left"/>
        </w:tabs>
        <w:numPr>
          <w:ilvl w:val="0"/>
          <w:numId w:val="24"/>
        </w:numPr>
        <w:rPr>
          <w:rFonts w:ascii="Arial" w:cs="Arial" w:eastAsia="Arial" w:hAnsi="Arial"/>
          <w:sz w:val="16"/>
          <w:szCs w:val="16"/>
          <w:color w:val="1A3FD6"/>
        </w:rPr>
      </w:pPr>
      <w:r>
        <w:rPr>
          <w:rFonts w:ascii="Arial" w:cs="Arial" w:eastAsia="Arial" w:hAnsi="Arial"/>
          <w:sz w:val="16"/>
          <w:szCs w:val="16"/>
          <w:color w:val="auto"/>
        </w:rPr>
        <w:t>Acts as a key advisor to the Chairman on a wide variety of Company matters, including with respect to strategic and risk oversight matters,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FFFF"/>
        </w:rPr>
        <w:t>BOARD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9456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945640"/>
                    </a:xfrm>
                    <a:prstGeom prst="rect">
                      <a:avLst/>
                    </a:prstGeom>
                    <a:noFill/>
                  </pic:spPr>
                </pic:pic>
              </a:graphicData>
            </a:graphic>
          </wp:anchor>
        </w:drawing>
      </w:r>
    </w:p>
    <w:p>
      <w:pPr>
        <w:spacing w:after="0" w:line="120" w:lineRule="exact"/>
        <w:rPr>
          <w:sz w:val="20"/>
          <w:szCs w:val="20"/>
          <w:color w:val="auto"/>
        </w:rPr>
      </w:pPr>
    </w:p>
    <w:p>
      <w:pPr>
        <w:ind w:left="300" w:hanging="183"/>
        <w:spacing w:after="0"/>
        <w:tabs>
          <w:tab w:leader="none" w:pos="300" w:val="left"/>
        </w:tabs>
        <w:numPr>
          <w:ilvl w:val="0"/>
          <w:numId w:val="25"/>
        </w:numPr>
        <w:rPr>
          <w:rFonts w:ascii="Arial" w:cs="Arial" w:eastAsia="Arial" w:hAnsi="Arial"/>
          <w:sz w:val="16"/>
          <w:szCs w:val="16"/>
          <w:color w:val="1A3FD6"/>
        </w:rPr>
      </w:pPr>
      <w:r>
        <w:rPr>
          <w:rFonts w:ascii="Arial" w:cs="Arial" w:eastAsia="Arial" w:hAnsi="Arial"/>
          <w:sz w:val="16"/>
          <w:szCs w:val="16"/>
          <w:color w:val="auto"/>
        </w:rPr>
        <w:t>Facilitates communication between the Chairman and independent directors</w:t>
      </w:r>
    </w:p>
    <w:p>
      <w:pPr>
        <w:spacing w:after="0" w:line="45" w:lineRule="exact"/>
        <w:rPr>
          <w:rFonts w:ascii="Arial" w:cs="Arial" w:eastAsia="Arial" w:hAnsi="Arial"/>
          <w:sz w:val="16"/>
          <w:szCs w:val="16"/>
          <w:color w:val="1A3FD6"/>
        </w:rPr>
      </w:pPr>
    </w:p>
    <w:p>
      <w:pPr>
        <w:ind w:left="300" w:hanging="183"/>
        <w:spacing w:after="0"/>
        <w:tabs>
          <w:tab w:leader="none" w:pos="300" w:val="left"/>
        </w:tabs>
        <w:numPr>
          <w:ilvl w:val="0"/>
          <w:numId w:val="25"/>
        </w:numPr>
        <w:rPr>
          <w:rFonts w:ascii="Arial" w:cs="Arial" w:eastAsia="Arial" w:hAnsi="Arial"/>
          <w:sz w:val="16"/>
          <w:szCs w:val="16"/>
          <w:color w:val="1A3FD6"/>
        </w:rPr>
      </w:pPr>
      <w:r>
        <w:rPr>
          <w:rFonts w:ascii="Arial" w:cs="Arial" w:eastAsia="Arial" w:hAnsi="Arial"/>
          <w:sz w:val="16"/>
          <w:szCs w:val="16"/>
          <w:color w:val="auto"/>
        </w:rPr>
        <w:t>Facilitates teamwork and communication among the independent directors</w:t>
      </w:r>
    </w:p>
    <w:p>
      <w:pPr>
        <w:spacing w:after="0" w:line="45" w:lineRule="exact"/>
        <w:rPr>
          <w:rFonts w:ascii="Arial" w:cs="Arial" w:eastAsia="Arial" w:hAnsi="Arial"/>
          <w:sz w:val="16"/>
          <w:szCs w:val="16"/>
          <w:color w:val="1A3FD6"/>
        </w:rPr>
      </w:pPr>
    </w:p>
    <w:p>
      <w:pPr>
        <w:ind w:left="300" w:hanging="183"/>
        <w:spacing w:after="0"/>
        <w:tabs>
          <w:tab w:leader="none" w:pos="300" w:val="left"/>
        </w:tabs>
        <w:numPr>
          <w:ilvl w:val="0"/>
          <w:numId w:val="25"/>
        </w:numPr>
        <w:rPr>
          <w:rFonts w:ascii="Arial" w:cs="Arial" w:eastAsia="Arial" w:hAnsi="Arial"/>
          <w:sz w:val="16"/>
          <w:szCs w:val="16"/>
          <w:color w:val="1A3FD6"/>
        </w:rPr>
      </w:pPr>
      <w:r>
        <w:rPr>
          <w:rFonts w:ascii="Arial" w:cs="Arial" w:eastAsia="Arial" w:hAnsi="Arial"/>
          <w:sz w:val="16"/>
          <w:szCs w:val="16"/>
          <w:color w:val="auto"/>
        </w:rPr>
        <w:t>Fosters an environment of open dialogue, effective information flow and constructive feedback</w:t>
      </w:r>
    </w:p>
    <w:p>
      <w:pPr>
        <w:spacing w:after="0" w:line="45" w:lineRule="exact"/>
        <w:rPr>
          <w:rFonts w:ascii="Arial" w:cs="Arial" w:eastAsia="Arial" w:hAnsi="Arial"/>
          <w:sz w:val="16"/>
          <w:szCs w:val="16"/>
          <w:color w:val="1A3FD6"/>
        </w:rPr>
      </w:pPr>
    </w:p>
    <w:p>
      <w:pPr>
        <w:ind w:left="320" w:right="700" w:hanging="203"/>
        <w:spacing w:after="0" w:line="304" w:lineRule="auto"/>
        <w:tabs>
          <w:tab w:leader="none" w:pos="317" w:val="left"/>
        </w:tabs>
        <w:numPr>
          <w:ilvl w:val="0"/>
          <w:numId w:val="25"/>
        </w:numPr>
        <w:rPr>
          <w:rFonts w:ascii="Arial" w:cs="Arial" w:eastAsia="Arial" w:hAnsi="Arial"/>
          <w:sz w:val="16"/>
          <w:szCs w:val="16"/>
          <w:color w:val="1A3FD6"/>
        </w:rPr>
      </w:pPr>
      <w:r>
        <w:rPr>
          <w:rFonts w:ascii="Arial" w:cs="Arial" w:eastAsia="Arial" w:hAnsi="Arial"/>
          <w:sz w:val="16"/>
          <w:szCs w:val="16"/>
          <w:color w:val="auto"/>
        </w:rPr>
        <w:t>Ensures Board discussions effectively and appropriately engage management, including with respect to strategic and risk oversight matters, as appropriate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FFFF"/>
        </w:rPr>
        <w:t>BOARD MEETINGS</w:t>
      </w:r>
    </w:p>
    <w:p>
      <w:pPr>
        <w:spacing w:after="0" w:line="140" w:lineRule="exact"/>
        <w:rPr>
          <w:sz w:val="20"/>
          <w:szCs w:val="20"/>
          <w:color w:val="auto"/>
        </w:rPr>
      </w:pPr>
    </w:p>
    <w:p>
      <w:pPr>
        <w:ind w:left="300" w:hanging="183"/>
        <w:spacing w:after="0"/>
        <w:tabs>
          <w:tab w:leader="none" w:pos="300" w:val="left"/>
        </w:tabs>
        <w:numPr>
          <w:ilvl w:val="0"/>
          <w:numId w:val="26"/>
        </w:numPr>
        <w:rPr>
          <w:rFonts w:ascii="Arial" w:cs="Arial" w:eastAsia="Arial" w:hAnsi="Arial"/>
          <w:sz w:val="16"/>
          <w:szCs w:val="16"/>
          <w:color w:val="1A3FD6"/>
        </w:rPr>
      </w:pPr>
      <w:r>
        <w:rPr>
          <w:rFonts w:ascii="Arial" w:cs="Arial" w:eastAsia="Arial" w:hAnsi="Arial"/>
          <w:sz w:val="16"/>
          <w:szCs w:val="16"/>
          <w:color w:val="auto"/>
        </w:rPr>
        <w:t>Presides at all meetings of the Board at which the Chairman is not present</w:t>
      </w:r>
    </w:p>
    <w:p>
      <w:pPr>
        <w:spacing w:after="0" w:line="45" w:lineRule="exact"/>
        <w:rPr>
          <w:rFonts w:ascii="Arial" w:cs="Arial" w:eastAsia="Arial" w:hAnsi="Arial"/>
          <w:sz w:val="16"/>
          <w:szCs w:val="16"/>
          <w:color w:val="1A3FD6"/>
        </w:rPr>
      </w:pPr>
    </w:p>
    <w:p>
      <w:pPr>
        <w:ind w:left="300" w:hanging="183"/>
        <w:spacing w:after="0"/>
        <w:tabs>
          <w:tab w:leader="none" w:pos="300" w:val="left"/>
        </w:tabs>
        <w:numPr>
          <w:ilvl w:val="0"/>
          <w:numId w:val="26"/>
        </w:numPr>
        <w:rPr>
          <w:rFonts w:ascii="Arial" w:cs="Arial" w:eastAsia="Arial" w:hAnsi="Arial"/>
          <w:sz w:val="16"/>
          <w:szCs w:val="16"/>
          <w:color w:val="1A3FD6"/>
        </w:rPr>
      </w:pPr>
      <w:r>
        <w:rPr>
          <w:rFonts w:ascii="Arial" w:cs="Arial" w:eastAsia="Arial" w:hAnsi="Arial"/>
          <w:sz w:val="16"/>
          <w:szCs w:val="16"/>
          <w:color w:val="auto"/>
        </w:rPr>
        <w:t>Has authority to call, and lead, independent director sessions</w:t>
      </w:r>
    </w:p>
    <w:p>
      <w:pPr>
        <w:spacing w:after="0" w:line="45" w:lineRule="exact"/>
        <w:rPr>
          <w:rFonts w:ascii="Arial" w:cs="Arial" w:eastAsia="Arial" w:hAnsi="Arial"/>
          <w:sz w:val="16"/>
          <w:szCs w:val="16"/>
          <w:color w:val="1A3FD6"/>
        </w:rPr>
      </w:pPr>
    </w:p>
    <w:p>
      <w:pPr>
        <w:ind w:left="300" w:hanging="183"/>
        <w:spacing w:after="0"/>
        <w:tabs>
          <w:tab w:leader="none" w:pos="300" w:val="left"/>
        </w:tabs>
        <w:numPr>
          <w:ilvl w:val="0"/>
          <w:numId w:val="26"/>
        </w:numPr>
        <w:rPr>
          <w:rFonts w:ascii="Arial" w:cs="Arial" w:eastAsia="Arial" w:hAnsi="Arial"/>
          <w:sz w:val="16"/>
          <w:szCs w:val="16"/>
          <w:color w:val="1A3FD6"/>
        </w:rPr>
      </w:pPr>
      <w:r>
        <w:rPr>
          <w:rFonts w:ascii="Arial" w:cs="Arial" w:eastAsia="Arial" w:hAnsi="Arial"/>
          <w:sz w:val="16"/>
          <w:szCs w:val="16"/>
          <w:color w:val="auto"/>
        </w:rPr>
        <w:t>Approves all Board meeting agendas and schedules to ensure appropriate topics and sufficient time for discussion of all items</w:t>
      </w:r>
    </w:p>
    <w:p>
      <w:pPr>
        <w:spacing w:after="0" w:line="45" w:lineRule="exact"/>
        <w:rPr>
          <w:rFonts w:ascii="Arial" w:cs="Arial" w:eastAsia="Arial" w:hAnsi="Arial"/>
          <w:sz w:val="16"/>
          <w:szCs w:val="16"/>
          <w:color w:val="1A3FD6"/>
        </w:rPr>
      </w:pPr>
    </w:p>
    <w:p>
      <w:pPr>
        <w:ind w:left="320" w:right="520" w:hanging="203"/>
        <w:spacing w:after="0" w:line="281" w:lineRule="auto"/>
        <w:tabs>
          <w:tab w:leader="none" w:pos="317" w:val="left"/>
        </w:tabs>
        <w:numPr>
          <w:ilvl w:val="0"/>
          <w:numId w:val="26"/>
        </w:numPr>
        <w:rPr>
          <w:rFonts w:ascii="Arial" w:cs="Arial" w:eastAsia="Arial" w:hAnsi="Arial"/>
          <w:sz w:val="16"/>
          <w:szCs w:val="16"/>
          <w:color w:val="1A3FD6"/>
        </w:rPr>
      </w:pPr>
      <w:r>
        <w:rPr>
          <w:rFonts w:ascii="Arial" w:cs="Arial" w:eastAsia="Arial" w:hAnsi="Arial"/>
          <w:sz w:val="16"/>
          <w:szCs w:val="16"/>
          <w:color w:val="auto"/>
        </w:rPr>
        <w:t>Approves other Board related materials (e.g., directors, acting through the Lead Director, may propose matters to be included on the agenda for a meeting)</w:t>
      </w:r>
    </w:p>
    <w:p>
      <w:pPr>
        <w:spacing w:after="0" w:line="1" w:lineRule="exact"/>
        <w:rPr>
          <w:rFonts w:ascii="Arial" w:cs="Arial" w:eastAsia="Arial" w:hAnsi="Arial"/>
          <w:sz w:val="16"/>
          <w:szCs w:val="16"/>
          <w:color w:val="1A3FD6"/>
        </w:rPr>
      </w:pPr>
    </w:p>
    <w:p>
      <w:pPr>
        <w:ind w:left="300" w:hanging="183"/>
        <w:spacing w:after="0"/>
        <w:tabs>
          <w:tab w:leader="none" w:pos="300" w:val="left"/>
        </w:tabs>
        <w:numPr>
          <w:ilvl w:val="0"/>
          <w:numId w:val="26"/>
        </w:numPr>
        <w:rPr>
          <w:rFonts w:ascii="Arial" w:cs="Arial" w:eastAsia="Arial" w:hAnsi="Arial"/>
          <w:sz w:val="16"/>
          <w:szCs w:val="16"/>
          <w:color w:val="1A3FD6"/>
        </w:rPr>
      </w:pPr>
      <w:r>
        <w:rPr>
          <w:rFonts w:ascii="Arial" w:cs="Arial" w:eastAsia="Arial" w:hAnsi="Arial"/>
          <w:sz w:val="16"/>
          <w:szCs w:val="16"/>
          <w:color w:val="auto"/>
        </w:rPr>
        <w:t>Facilitates strong, independent oversight by leading executive sessions of independent directors at least after every quarterly Board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FFFF"/>
        </w:rPr>
        <w:t>PERFORMANCE, DEVELOPMENT AND SUCCESSION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8890" cy="9683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968375"/>
                    </a:xfrm>
                    <a:prstGeom prst="rect">
                      <a:avLst/>
                    </a:prstGeom>
                    <a:noFill/>
                  </pic:spPr>
                </pic:pic>
              </a:graphicData>
            </a:graphic>
          </wp:anchor>
        </w:drawing>
      </w:r>
    </w:p>
    <w:p>
      <w:pPr>
        <w:spacing w:after="0" w:line="174" w:lineRule="exact"/>
        <w:rPr>
          <w:sz w:val="20"/>
          <w:szCs w:val="20"/>
          <w:color w:val="auto"/>
        </w:rPr>
      </w:pPr>
    </w:p>
    <w:p>
      <w:pPr>
        <w:ind w:left="320" w:right="400" w:hanging="203"/>
        <w:spacing w:after="0" w:line="272" w:lineRule="auto"/>
        <w:tabs>
          <w:tab w:leader="none" w:pos="317" w:val="left"/>
        </w:tabs>
        <w:numPr>
          <w:ilvl w:val="0"/>
          <w:numId w:val="27"/>
        </w:numPr>
        <w:rPr>
          <w:rFonts w:ascii="Arial" w:cs="Arial" w:eastAsia="Arial" w:hAnsi="Arial"/>
          <w:sz w:val="16"/>
          <w:szCs w:val="16"/>
          <w:color w:val="1A3FD6"/>
        </w:rPr>
      </w:pPr>
      <w:r>
        <w:rPr>
          <w:rFonts w:ascii="Arial" w:cs="Arial" w:eastAsia="Arial" w:hAnsi="Arial"/>
          <w:sz w:val="16"/>
          <w:szCs w:val="16"/>
          <w:color w:val="auto"/>
        </w:rPr>
        <w:t>Conducts individual director evaluations with independent directors, discussing topics including the Board’s culture, leadership structure, committee effectiveness, continuing education, skills and expertise, and other areas</w:t>
      </w:r>
    </w:p>
    <w:p>
      <w:pPr>
        <w:spacing w:after="0" w:line="1" w:lineRule="exact"/>
        <w:rPr>
          <w:rFonts w:ascii="Arial" w:cs="Arial" w:eastAsia="Arial" w:hAnsi="Arial"/>
          <w:sz w:val="16"/>
          <w:szCs w:val="16"/>
          <w:color w:val="1A3FD6"/>
        </w:rPr>
      </w:pPr>
    </w:p>
    <w:p>
      <w:pPr>
        <w:ind w:left="320" w:right="680" w:hanging="203"/>
        <w:spacing w:after="0" w:line="281" w:lineRule="auto"/>
        <w:tabs>
          <w:tab w:leader="none" w:pos="317" w:val="left"/>
        </w:tabs>
        <w:numPr>
          <w:ilvl w:val="0"/>
          <w:numId w:val="27"/>
        </w:numPr>
        <w:rPr>
          <w:rFonts w:ascii="Arial" w:cs="Arial" w:eastAsia="Arial" w:hAnsi="Arial"/>
          <w:sz w:val="16"/>
          <w:szCs w:val="16"/>
          <w:color w:val="1A3FD6"/>
        </w:rPr>
      </w:pPr>
      <w:r>
        <w:rPr>
          <w:rFonts w:ascii="Arial" w:cs="Arial" w:eastAsia="Arial" w:hAnsi="Arial"/>
          <w:sz w:val="16"/>
          <w:szCs w:val="16"/>
          <w:color w:val="auto"/>
        </w:rPr>
        <w:t>In conjunction with the Governance Committee, reports to the Board on the Board’s annual self-assessment and provides recommendations for improvement, including relating to the Board’s oversight efforts and engagement with management</w:t>
      </w:r>
    </w:p>
    <w:p>
      <w:pPr>
        <w:spacing w:after="0" w:line="1" w:lineRule="exact"/>
        <w:rPr>
          <w:rFonts w:ascii="Arial" w:cs="Arial" w:eastAsia="Arial" w:hAnsi="Arial"/>
          <w:sz w:val="16"/>
          <w:szCs w:val="16"/>
          <w:color w:val="1A3FD6"/>
        </w:rPr>
      </w:pPr>
    </w:p>
    <w:p>
      <w:pPr>
        <w:ind w:left="300" w:hanging="183"/>
        <w:spacing w:after="0"/>
        <w:tabs>
          <w:tab w:leader="none" w:pos="300" w:val="left"/>
        </w:tabs>
        <w:numPr>
          <w:ilvl w:val="0"/>
          <w:numId w:val="27"/>
        </w:numPr>
        <w:rPr>
          <w:rFonts w:ascii="Arial" w:cs="Arial" w:eastAsia="Arial" w:hAnsi="Arial"/>
          <w:sz w:val="16"/>
          <w:szCs w:val="16"/>
          <w:color w:val="1A3FD6"/>
        </w:rPr>
      </w:pPr>
      <w:r>
        <w:rPr>
          <w:rFonts w:ascii="Arial" w:cs="Arial" w:eastAsia="Arial" w:hAnsi="Arial"/>
          <w:sz w:val="16"/>
          <w:szCs w:val="16"/>
          <w:color w:val="auto"/>
        </w:rPr>
        <w:t>Collaborates with the Compensation Committee to oversee management succession and progression planning efforts</w:t>
      </w:r>
    </w:p>
    <w:p>
      <w:pPr>
        <w:spacing w:after="0" w:line="45" w:lineRule="exact"/>
        <w:rPr>
          <w:rFonts w:ascii="Arial" w:cs="Arial" w:eastAsia="Arial" w:hAnsi="Arial"/>
          <w:sz w:val="16"/>
          <w:szCs w:val="16"/>
          <w:color w:val="1A3FD6"/>
        </w:rPr>
      </w:pPr>
    </w:p>
    <w:p>
      <w:pPr>
        <w:ind w:left="300" w:hanging="183"/>
        <w:spacing w:after="0"/>
        <w:tabs>
          <w:tab w:leader="none" w:pos="300" w:val="left"/>
        </w:tabs>
        <w:numPr>
          <w:ilvl w:val="0"/>
          <w:numId w:val="27"/>
        </w:numPr>
        <w:rPr>
          <w:rFonts w:ascii="Arial" w:cs="Arial" w:eastAsia="Arial" w:hAnsi="Arial"/>
          <w:sz w:val="16"/>
          <w:szCs w:val="16"/>
          <w:color w:val="1A3FD6"/>
        </w:rPr>
      </w:pPr>
      <w:r>
        <w:rPr>
          <w:rFonts w:ascii="Arial" w:cs="Arial" w:eastAsia="Arial" w:hAnsi="Arial"/>
          <w:sz w:val="16"/>
          <w:szCs w:val="16"/>
          <w:color w:val="auto"/>
        </w:rPr>
        <w:t>Meets directly with management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FFFF"/>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8890" cy="514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514350"/>
                    </a:xfrm>
                    <a:prstGeom prst="rect">
                      <a:avLst/>
                    </a:prstGeom>
                    <a:noFill/>
                  </pic:spPr>
                </pic:pic>
              </a:graphicData>
            </a:graphic>
          </wp:anchor>
        </w:drawing>
      </w:r>
    </w:p>
    <w:p>
      <w:pPr>
        <w:spacing w:after="0" w:line="174" w:lineRule="exact"/>
        <w:rPr>
          <w:sz w:val="20"/>
          <w:szCs w:val="20"/>
          <w:color w:val="auto"/>
        </w:rPr>
      </w:pPr>
    </w:p>
    <w:p>
      <w:pPr>
        <w:ind w:left="300" w:hanging="183"/>
        <w:spacing w:after="0"/>
        <w:tabs>
          <w:tab w:leader="none" w:pos="300" w:val="left"/>
        </w:tabs>
        <w:numPr>
          <w:ilvl w:val="0"/>
          <w:numId w:val="28"/>
        </w:numPr>
        <w:rPr>
          <w:rFonts w:ascii="Arial" w:cs="Arial" w:eastAsia="Arial" w:hAnsi="Arial"/>
          <w:sz w:val="16"/>
          <w:szCs w:val="16"/>
          <w:color w:val="1A3FD6"/>
        </w:rPr>
      </w:pPr>
      <w:r>
        <w:rPr>
          <w:rFonts w:ascii="Arial" w:cs="Arial" w:eastAsia="Arial" w:hAnsi="Arial"/>
          <w:sz w:val="16"/>
          <w:szCs w:val="16"/>
          <w:color w:val="auto"/>
        </w:rPr>
        <w:t>Is available to, and consults and directly communicates with, shareholders and other key constituents, as appropriate</w:t>
      </w:r>
    </w:p>
    <w:p>
      <w:pPr>
        <w:spacing w:after="0" w:line="45" w:lineRule="exact"/>
        <w:rPr>
          <w:rFonts w:ascii="Arial" w:cs="Arial" w:eastAsia="Arial" w:hAnsi="Arial"/>
          <w:sz w:val="16"/>
          <w:szCs w:val="16"/>
          <w:color w:val="1A3FD6"/>
        </w:rPr>
      </w:pPr>
    </w:p>
    <w:p>
      <w:pPr>
        <w:ind w:left="320" w:right="480" w:hanging="203"/>
        <w:spacing w:after="0" w:line="286" w:lineRule="auto"/>
        <w:tabs>
          <w:tab w:leader="none" w:pos="317" w:val="left"/>
        </w:tabs>
        <w:numPr>
          <w:ilvl w:val="0"/>
          <w:numId w:val="28"/>
        </w:numPr>
        <w:rPr>
          <w:rFonts w:ascii="Arial" w:cs="Arial" w:eastAsia="Arial" w:hAnsi="Arial"/>
          <w:sz w:val="16"/>
          <w:szCs w:val="16"/>
          <w:color w:val="1A3FD6"/>
        </w:rPr>
      </w:pPr>
      <w:r>
        <w:rPr>
          <w:rFonts w:ascii="Arial" w:cs="Arial" w:eastAsia="Arial" w:hAnsi="Arial"/>
          <w:sz w:val="16"/>
          <w:szCs w:val="16"/>
          <w:color w:val="auto"/>
        </w:rPr>
        <w:t>Participates in our annual off-season engagement efforts where we meet with many of our top shareholders to discuss our corporate responsibility practices, among other topics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8420"/>
              <w:spacing w:after="0"/>
              <w:rPr>
                <w:sz w:val="20"/>
                <w:szCs w:val="20"/>
                <w:color w:val="auto"/>
              </w:rPr>
            </w:pPr>
            <w:r>
              <w:rPr>
                <w:rFonts w:ascii="Arial" w:cs="Arial" w:eastAsia="Arial" w:hAnsi="Arial"/>
                <w:sz w:val="14"/>
                <w:szCs w:val="14"/>
                <w:b w:val="1"/>
                <w:bCs w:val="1"/>
                <w:color w:val="1A3FD6"/>
              </w:rPr>
              <w:t>Corporate Governance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35</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0" w:lineRule="exact"/>
        <w:rPr>
          <w:sz w:val="20"/>
          <w:szCs w:val="20"/>
          <w:color w:val="auto"/>
        </w:rPr>
      </w:pPr>
    </w:p>
    <w:p>
      <w:pPr>
        <w:spacing w:after="0" w:line="204"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While we believe that combining the roles of Chairman and CEO is the most effective leadership structure for our Board and the Company at this time, our Bylaws and Corporate Governance Policies also permit a structure where the CEO would not serve contemporaneously as the Chairman of the Board should the separation of such roles be determined appropriate and in the best interests of MSCI and its shareholders in the future.</w:t>
      </w:r>
    </w:p>
    <w:p>
      <w:pPr>
        <w:spacing w:after="0" w:line="51"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Committees of the Board of Directors</w:t>
      </w:r>
    </w:p>
    <w:p>
      <w:pPr>
        <w:spacing w:after="0" w:line="186"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Our Board has adopted a written charter for each of the Audit Committee, Compensation Committee, Governance Committee and Strategy Committee setting forth the roles and responsibilities of each committee. The Board and each committee may, from time-to-time, form and delegate authority to subcommittees when appropriate. Each committee annually reviews and assesses the adequacy of its charter and recommends any proposed changes to the Board for approval. You may access these charters through the “Corporate Governance” link under the “Investor Resources” tab found on our website’s Investor Relations homepage (</w:t>
      </w:r>
      <w:r>
        <w:rPr>
          <w:rFonts w:ascii="Arial" w:cs="Arial" w:eastAsia="Arial" w:hAnsi="Arial"/>
          <w:sz w:val="16"/>
          <w:szCs w:val="16"/>
          <w:color w:val="1A3FD6"/>
        </w:rPr>
        <w:t>https://ir.msci.com</w:t>
      </w:r>
      <w:r>
        <w:rPr>
          <w:rFonts w:ascii="Arial" w:cs="Arial" w:eastAsia="Arial" w:hAnsi="Arial"/>
          <w:sz w:val="16"/>
          <w:szCs w:val="16"/>
          <w:color w:val="auto"/>
        </w:rPr>
        <w:t>).</w:t>
      </w:r>
    </w:p>
    <w:p>
      <w:pPr>
        <w:spacing w:after="0" w:line="61"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The table below provides detail on the composition of each of our designated standing committees for the following periods (i) April 23, 2024 to January 27, 2025 (“2024”) and (ii) effective January 28, 2025 (“2025”).</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980" w:type="dxa"/>
            <w:vAlign w:val="bottom"/>
          </w:tcPr>
          <w:p>
            <w:pPr>
              <w:jc w:val="center"/>
              <w:ind w:left="520"/>
              <w:spacing w:after="0"/>
              <w:rPr>
                <w:sz w:val="20"/>
                <w:szCs w:val="20"/>
                <w:color w:val="auto"/>
              </w:rPr>
            </w:pPr>
            <w:r>
              <w:rPr>
                <w:rFonts w:ascii="Arial" w:cs="Arial" w:eastAsia="Arial" w:hAnsi="Arial"/>
                <w:sz w:val="14"/>
                <w:szCs w:val="14"/>
                <w:b w:val="1"/>
                <w:bCs w:val="1"/>
                <w:color w:val="auto"/>
              </w:rPr>
              <w:t>Audit</w:t>
            </w:r>
          </w:p>
        </w:tc>
        <w:tc>
          <w:tcPr>
            <w:tcW w:w="58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Governance</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Strategy</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Committee</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Committee</w:t>
            </w: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Committee</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Committee</w:t>
            </w:r>
          </w:p>
        </w:tc>
        <w:tc>
          <w:tcPr>
            <w:tcW w:w="0" w:type="dxa"/>
            <w:vAlign w:val="bottom"/>
          </w:tcPr>
          <w:p>
            <w:pPr>
              <w:spacing w:after="0"/>
              <w:rPr>
                <w:sz w:val="1"/>
                <w:szCs w:val="1"/>
                <w:color w:val="auto"/>
              </w:rPr>
            </w:pPr>
          </w:p>
        </w:tc>
      </w:tr>
      <w:tr>
        <w:trPr>
          <w:trHeight w:val="29"/>
        </w:trPr>
        <w:tc>
          <w:tcPr>
            <w:tcW w:w="8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980" w:type="dxa"/>
            <w:vAlign w:val="bottom"/>
            <w:tcBorders>
              <w:bottom w:val="single" w:sz="8" w:color="1A3FD6"/>
            </w:tcBorders>
          </w:tcPr>
          <w:p>
            <w:pPr>
              <w:spacing w:after="0"/>
              <w:rPr>
                <w:sz w:val="2"/>
                <w:szCs w:val="2"/>
                <w:color w:val="auto"/>
              </w:rPr>
            </w:pPr>
          </w:p>
        </w:tc>
        <w:tc>
          <w:tcPr>
            <w:tcW w:w="580" w:type="dxa"/>
            <w:vAlign w:val="bottom"/>
            <w:tcBorders>
              <w:bottom w:val="single" w:sz="8" w:color="1A3FD6"/>
            </w:tcBorders>
          </w:tcPr>
          <w:p>
            <w:pPr>
              <w:spacing w:after="0"/>
              <w:rPr>
                <w:sz w:val="2"/>
                <w:szCs w:val="2"/>
                <w:color w:val="auto"/>
              </w:rPr>
            </w:pPr>
          </w:p>
        </w:tc>
        <w:tc>
          <w:tcPr>
            <w:tcW w:w="780" w:type="dxa"/>
            <w:vAlign w:val="bottom"/>
            <w:tcBorders>
              <w:bottom w:val="single" w:sz="8" w:color="1A3FD6"/>
            </w:tcBorders>
          </w:tcPr>
          <w:p>
            <w:pPr>
              <w:spacing w:after="0"/>
              <w:rPr>
                <w:sz w:val="2"/>
                <w:szCs w:val="2"/>
                <w:color w:val="auto"/>
              </w:rPr>
            </w:pPr>
          </w:p>
        </w:tc>
        <w:tc>
          <w:tcPr>
            <w:tcW w:w="780" w:type="dxa"/>
            <w:vAlign w:val="bottom"/>
            <w:tcBorders>
              <w:bottom w:val="single" w:sz="8" w:color="1A3FD6"/>
            </w:tcBorders>
          </w:tcPr>
          <w:p>
            <w:pPr>
              <w:spacing w:after="0"/>
              <w:rPr>
                <w:sz w:val="2"/>
                <w:szCs w:val="2"/>
                <w:color w:val="auto"/>
              </w:rPr>
            </w:pPr>
          </w:p>
        </w:tc>
        <w:tc>
          <w:tcPr>
            <w:tcW w:w="800" w:type="dxa"/>
            <w:vAlign w:val="bottom"/>
            <w:tcBorders>
              <w:bottom w:val="single" w:sz="8" w:color="1A3FD6"/>
            </w:tcBorders>
          </w:tcPr>
          <w:p>
            <w:pPr>
              <w:spacing w:after="0"/>
              <w:rPr>
                <w:sz w:val="2"/>
                <w:szCs w:val="2"/>
                <w:color w:val="auto"/>
              </w:rPr>
            </w:pPr>
          </w:p>
        </w:tc>
        <w:tc>
          <w:tcPr>
            <w:tcW w:w="780" w:type="dxa"/>
            <w:vAlign w:val="bottom"/>
            <w:tcBorders>
              <w:bottom w:val="single" w:sz="8" w:color="1A3FD6"/>
            </w:tcBorders>
          </w:tcPr>
          <w:p>
            <w:pPr>
              <w:spacing w:after="0"/>
              <w:rPr>
                <w:sz w:val="2"/>
                <w:szCs w:val="2"/>
                <w:color w:val="auto"/>
              </w:rPr>
            </w:pPr>
          </w:p>
        </w:tc>
        <w:tc>
          <w:tcPr>
            <w:tcW w:w="780" w:type="dxa"/>
            <w:vAlign w:val="bottom"/>
            <w:tcBorders>
              <w:bottom w:val="single" w:sz="8" w:color="1A3FD6"/>
            </w:tcBorders>
          </w:tcPr>
          <w:p>
            <w:pPr>
              <w:spacing w:after="0"/>
              <w:rPr>
                <w:sz w:val="2"/>
                <w:szCs w:val="2"/>
                <w:color w:val="auto"/>
              </w:rPr>
            </w:pPr>
          </w:p>
        </w:tc>
        <w:tc>
          <w:tcPr>
            <w:tcW w:w="780" w:type="dxa"/>
            <w:vAlign w:val="bottom"/>
            <w:tcBorders>
              <w:bottom w:val="single" w:sz="8" w:color="1A3FD6"/>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40" w:type="dxa"/>
            <w:vAlign w:val="bottom"/>
            <w:tcBorders>
              <w:bottom w:val="single" w:sz="8" w:color="1A3FD6"/>
            </w:tcBorders>
          </w:tcPr>
          <w:p>
            <w:pPr>
              <w:spacing w:after="0"/>
              <w:rPr>
                <w:sz w:val="18"/>
                <w:szCs w:val="18"/>
                <w:color w:val="auto"/>
              </w:rPr>
            </w:pPr>
          </w:p>
        </w:tc>
        <w:tc>
          <w:tcPr>
            <w:tcW w:w="4140" w:type="dxa"/>
            <w:vAlign w:val="bottom"/>
            <w:tcBorders>
              <w:bottom w:val="single" w:sz="8" w:color="1A3FD6"/>
            </w:tcBorders>
          </w:tcPr>
          <w:p>
            <w:pPr>
              <w:spacing w:after="0"/>
              <w:rPr>
                <w:sz w:val="18"/>
                <w:szCs w:val="18"/>
                <w:color w:val="auto"/>
              </w:rPr>
            </w:pPr>
          </w:p>
        </w:tc>
        <w:tc>
          <w:tcPr>
            <w:tcW w:w="980" w:type="dxa"/>
            <w:vAlign w:val="bottom"/>
            <w:tcBorders>
              <w:bottom w:val="single" w:sz="8" w:color="1A3FD6"/>
            </w:tcBorders>
          </w:tcPr>
          <w:p>
            <w:pPr>
              <w:jc w:val="center"/>
              <w:ind w:right="160"/>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1A3FD6"/>
            </w:tcBorders>
          </w:tcPr>
          <w:p>
            <w:pPr>
              <w:jc w:val="center"/>
              <w:ind w:right="123"/>
              <w:spacing w:after="0"/>
              <w:rPr>
                <w:sz w:val="20"/>
                <w:szCs w:val="20"/>
                <w:color w:val="auto"/>
              </w:rPr>
            </w:pPr>
            <w:r>
              <w:rPr>
                <w:rFonts w:ascii="Arial" w:cs="Arial" w:eastAsia="Arial" w:hAnsi="Arial"/>
                <w:sz w:val="14"/>
                <w:szCs w:val="14"/>
                <w:b w:val="1"/>
                <w:bCs w:val="1"/>
                <w:color w:val="auto"/>
              </w:rPr>
              <w:t>2025</w:t>
            </w:r>
          </w:p>
        </w:tc>
        <w:tc>
          <w:tcPr>
            <w:tcW w:w="780" w:type="dxa"/>
            <w:vAlign w:val="bottom"/>
            <w:tcBorders>
              <w:bottom w:val="single" w:sz="8" w:color="1A3FD6"/>
            </w:tcBorders>
          </w:tcPr>
          <w:p>
            <w:pPr>
              <w:jc w:val="center"/>
              <w:spacing w:after="0"/>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1A3FD6"/>
            </w:tcBorders>
          </w:tcPr>
          <w:p>
            <w:pPr>
              <w:jc w:val="center"/>
              <w:spacing w:after="0"/>
              <w:rPr>
                <w:sz w:val="20"/>
                <w:szCs w:val="20"/>
                <w:color w:val="auto"/>
              </w:rPr>
            </w:pPr>
            <w:r>
              <w:rPr>
                <w:rFonts w:ascii="Arial" w:cs="Arial" w:eastAsia="Arial" w:hAnsi="Arial"/>
                <w:sz w:val="14"/>
                <w:szCs w:val="14"/>
                <w:b w:val="1"/>
                <w:bCs w:val="1"/>
                <w:color w:val="auto"/>
              </w:rPr>
              <w:t>2025</w:t>
            </w:r>
          </w:p>
        </w:tc>
        <w:tc>
          <w:tcPr>
            <w:tcW w:w="800" w:type="dxa"/>
            <w:vAlign w:val="bottom"/>
            <w:tcBorders>
              <w:bottom w:val="single" w:sz="8" w:color="1A3FD6"/>
            </w:tcBorders>
          </w:tcPr>
          <w:p>
            <w:pPr>
              <w:jc w:val="center"/>
              <w:spacing w:after="0"/>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1A3FD6"/>
            </w:tcBorders>
          </w:tcPr>
          <w:p>
            <w:pPr>
              <w:jc w:val="center"/>
              <w:spacing w:after="0"/>
              <w:rPr>
                <w:sz w:val="20"/>
                <w:szCs w:val="20"/>
                <w:color w:val="auto"/>
              </w:rPr>
            </w:pPr>
            <w:r>
              <w:rPr>
                <w:rFonts w:ascii="Arial" w:cs="Arial" w:eastAsia="Arial" w:hAnsi="Arial"/>
                <w:sz w:val="14"/>
                <w:szCs w:val="14"/>
                <w:b w:val="1"/>
                <w:bCs w:val="1"/>
                <w:color w:val="auto"/>
              </w:rPr>
              <w:t>2025</w:t>
            </w:r>
          </w:p>
        </w:tc>
        <w:tc>
          <w:tcPr>
            <w:tcW w:w="780" w:type="dxa"/>
            <w:vAlign w:val="bottom"/>
            <w:tcBorders>
              <w:bottom w:val="single" w:sz="8" w:color="1A3FD6"/>
            </w:tcBorders>
          </w:tcPr>
          <w:p>
            <w:pPr>
              <w:jc w:val="center"/>
              <w:spacing w:after="0"/>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1A3FD6"/>
            </w:tcBorders>
          </w:tcPr>
          <w:p>
            <w:pPr>
              <w:jc w:val="center"/>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239"/>
        </w:trPr>
        <w:tc>
          <w:tcPr>
            <w:tcW w:w="4980" w:type="dxa"/>
            <w:vAlign w:val="bottom"/>
            <w:gridSpan w:val="2"/>
          </w:tcPr>
          <w:p>
            <w:pPr>
              <w:ind w:left="20"/>
              <w:spacing w:after="0"/>
              <w:rPr>
                <w:sz w:val="20"/>
                <w:szCs w:val="20"/>
                <w:color w:val="auto"/>
              </w:rPr>
            </w:pPr>
            <w:r>
              <w:rPr>
                <w:rFonts w:ascii="Arial" w:cs="Arial" w:eastAsia="Arial" w:hAnsi="Arial"/>
                <w:sz w:val="16"/>
                <w:szCs w:val="16"/>
                <w:b w:val="1"/>
                <w:bCs w:val="1"/>
                <w:color w:val="1A3FD6"/>
              </w:rPr>
              <w:t>Henry A. Fernandez</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4980" w:type="dxa"/>
            <w:vAlign w:val="bottom"/>
            <w:gridSpan w:val="2"/>
            <w:shd w:val="clear" w:color="auto" w:fill="EDF0FC"/>
          </w:tcPr>
          <w:p>
            <w:pPr>
              <w:ind w:left="20"/>
              <w:spacing w:after="0" w:line="152" w:lineRule="exact"/>
              <w:rPr>
                <w:sz w:val="20"/>
                <w:szCs w:val="20"/>
                <w:color w:val="auto"/>
              </w:rPr>
            </w:pPr>
            <w:r>
              <w:rPr>
                <w:rFonts w:ascii="Arial" w:cs="Arial" w:eastAsia="Arial" w:hAnsi="Arial"/>
                <w:sz w:val="16"/>
                <w:szCs w:val="16"/>
                <w:b w:val="1"/>
                <w:bCs w:val="1"/>
                <w:color w:val="1A3FD6"/>
              </w:rPr>
              <w:t>Robert G. Ashe</w:t>
            </w:r>
          </w:p>
        </w:tc>
        <w:tc>
          <w:tcPr>
            <w:tcW w:w="980" w:type="dxa"/>
            <w:vAlign w:val="bottom"/>
            <w:vMerge w:val="restart"/>
            <w:shd w:val="clear" w:color="auto" w:fill="EDF0FC"/>
          </w:tcPr>
          <w:p>
            <w:pPr>
              <w:jc w:val="center"/>
              <w:ind w:right="140"/>
              <w:spacing w:after="0"/>
              <w:rPr>
                <w:sz w:val="20"/>
                <w:szCs w:val="20"/>
                <w:color w:val="auto"/>
              </w:rPr>
            </w:pPr>
            <w:r>
              <w:rPr>
                <w:rFonts w:ascii="Webdings" w:cs="Webdings" w:eastAsia="Webdings" w:hAnsi="Webdings"/>
                <w:sz w:val="11"/>
                <w:szCs w:val="11"/>
                <w:b w:val="1"/>
                <w:bCs w:val="1"/>
                <w:color w:val="7188EF"/>
                <w:w w:val="90"/>
              </w:rPr>
              <w:t>n</w:t>
            </w:r>
          </w:p>
        </w:tc>
        <w:tc>
          <w:tcPr>
            <w:tcW w:w="580" w:type="dxa"/>
            <w:vAlign w:val="bottom"/>
            <w:vMerge w:val="restart"/>
            <w:shd w:val="clear" w:color="auto" w:fill="EDF0FC"/>
          </w:tcPr>
          <w:p>
            <w:pPr>
              <w:jc w:val="center"/>
              <w:ind w:right="143"/>
              <w:spacing w:after="0"/>
              <w:rPr>
                <w:sz w:val="20"/>
                <w:szCs w:val="20"/>
                <w:color w:val="auto"/>
              </w:rPr>
            </w:pPr>
            <w:r>
              <w:rPr>
                <w:rFonts w:ascii="Webdings" w:cs="Webdings" w:eastAsia="Webdings" w:hAnsi="Webdings"/>
                <w:sz w:val="11"/>
                <w:szCs w:val="11"/>
                <w:b w:val="1"/>
                <w:bCs w:val="1"/>
                <w:color w:val="7188EF"/>
                <w:w w:val="90"/>
              </w:rPr>
              <w:t>n</w:t>
            </w:r>
          </w:p>
        </w:tc>
        <w:tc>
          <w:tcPr>
            <w:tcW w:w="780" w:type="dxa"/>
            <w:vAlign w:val="bottom"/>
            <w:shd w:val="clear" w:color="auto" w:fill="EDF0FC"/>
          </w:tcPr>
          <w:p>
            <w:pPr>
              <w:spacing w:after="0"/>
              <w:rPr>
                <w:sz w:val="13"/>
                <w:szCs w:val="13"/>
                <w:color w:val="auto"/>
              </w:rPr>
            </w:pPr>
          </w:p>
        </w:tc>
        <w:tc>
          <w:tcPr>
            <w:tcW w:w="780" w:type="dxa"/>
            <w:vAlign w:val="bottom"/>
            <w:shd w:val="clear" w:color="auto" w:fill="EDF0FC"/>
          </w:tcPr>
          <w:p>
            <w:pPr>
              <w:spacing w:after="0"/>
              <w:rPr>
                <w:sz w:val="13"/>
                <w:szCs w:val="13"/>
                <w:color w:val="auto"/>
              </w:rPr>
            </w:pPr>
          </w:p>
        </w:tc>
        <w:tc>
          <w:tcPr>
            <w:tcW w:w="800" w:type="dxa"/>
            <w:vAlign w:val="bottom"/>
            <w:vMerge w:val="restart"/>
            <w:shd w:val="clear" w:color="auto" w:fill="EDF0FC"/>
          </w:tcPr>
          <w:p>
            <w:pPr>
              <w:jc w:val="center"/>
              <w:spacing w:after="0"/>
              <w:rPr>
                <w:sz w:val="20"/>
                <w:szCs w:val="20"/>
                <w:color w:val="auto"/>
              </w:rPr>
            </w:pPr>
            <w:r>
              <w:rPr>
                <w:rFonts w:ascii="Webdings" w:cs="Webdings" w:eastAsia="Webdings" w:hAnsi="Webdings"/>
                <w:sz w:val="11"/>
                <w:szCs w:val="11"/>
                <w:b w:val="1"/>
                <w:bCs w:val="1"/>
                <w:color w:val="7188EF"/>
              </w:rPr>
              <w:t>n</w:t>
            </w:r>
          </w:p>
        </w:tc>
        <w:tc>
          <w:tcPr>
            <w:tcW w:w="780" w:type="dxa"/>
            <w:vAlign w:val="bottom"/>
            <w:vMerge w:val="restart"/>
            <w:shd w:val="clear" w:color="auto" w:fill="EDF0FC"/>
          </w:tcPr>
          <w:p>
            <w:pPr>
              <w:jc w:val="center"/>
              <w:spacing w:after="0"/>
              <w:rPr>
                <w:sz w:val="20"/>
                <w:szCs w:val="20"/>
                <w:color w:val="auto"/>
              </w:rPr>
            </w:pPr>
            <w:r>
              <w:rPr>
                <w:rFonts w:ascii="Webdings" w:cs="Webdings" w:eastAsia="Webdings" w:hAnsi="Webdings"/>
                <w:sz w:val="11"/>
                <w:szCs w:val="11"/>
                <w:b w:val="1"/>
                <w:bCs w:val="1"/>
                <w:color w:val="7188EF"/>
              </w:rPr>
              <w:t>n</w:t>
            </w:r>
          </w:p>
        </w:tc>
        <w:tc>
          <w:tcPr>
            <w:tcW w:w="780" w:type="dxa"/>
            <w:vAlign w:val="bottom"/>
            <w:shd w:val="clear" w:color="auto" w:fill="EDF0FC"/>
          </w:tcPr>
          <w:p>
            <w:pPr>
              <w:spacing w:after="0"/>
              <w:rPr>
                <w:sz w:val="13"/>
                <w:szCs w:val="13"/>
                <w:color w:val="auto"/>
              </w:rPr>
            </w:pPr>
          </w:p>
        </w:tc>
        <w:tc>
          <w:tcPr>
            <w:tcW w:w="780" w:type="dxa"/>
            <w:vAlign w:val="bottom"/>
            <w:shd w:val="clear" w:color="auto" w:fill="ED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EDF0FC"/>
          </w:tcPr>
          <w:p>
            <w:pPr>
              <w:spacing w:after="0" w:line="20" w:lineRule="exact"/>
              <w:rPr>
                <w:sz w:val="1"/>
                <w:szCs w:val="1"/>
                <w:color w:val="auto"/>
              </w:rPr>
            </w:pPr>
          </w:p>
        </w:tc>
        <w:tc>
          <w:tcPr>
            <w:tcW w:w="4140" w:type="dxa"/>
            <w:vAlign w:val="bottom"/>
            <w:shd w:val="clear" w:color="auto" w:fill="EDF0FC"/>
          </w:tcPr>
          <w:p>
            <w:pPr>
              <w:spacing w:after="0" w:line="20" w:lineRule="exact"/>
              <w:rPr>
                <w:sz w:val="1"/>
                <w:szCs w:val="1"/>
                <w:color w:val="auto"/>
              </w:rPr>
            </w:pPr>
          </w:p>
        </w:tc>
        <w:tc>
          <w:tcPr>
            <w:tcW w:w="980" w:type="dxa"/>
            <w:vAlign w:val="bottom"/>
            <w:vMerge w:val="continue"/>
            <w:shd w:val="clear" w:color="auto" w:fill="EDF0FC"/>
          </w:tcPr>
          <w:p>
            <w:pPr>
              <w:spacing w:after="0" w:line="20" w:lineRule="exact"/>
              <w:rPr>
                <w:sz w:val="1"/>
                <w:szCs w:val="1"/>
                <w:color w:val="auto"/>
              </w:rPr>
            </w:pPr>
          </w:p>
        </w:tc>
        <w:tc>
          <w:tcPr>
            <w:tcW w:w="580" w:type="dxa"/>
            <w:vAlign w:val="bottom"/>
            <w:vMerge w:val="continue"/>
            <w:shd w:val="clear" w:color="auto" w:fill="EDF0FC"/>
          </w:tcPr>
          <w:p>
            <w:pPr>
              <w:spacing w:after="0" w:line="20" w:lineRule="exact"/>
              <w:rPr>
                <w:sz w:val="1"/>
                <w:szCs w:val="1"/>
                <w:color w:val="auto"/>
              </w:rPr>
            </w:pPr>
          </w:p>
        </w:tc>
        <w:tc>
          <w:tcPr>
            <w:tcW w:w="780" w:type="dxa"/>
            <w:vAlign w:val="bottom"/>
            <w:shd w:val="clear" w:color="auto" w:fill="EDF0FC"/>
          </w:tcPr>
          <w:p>
            <w:pPr>
              <w:spacing w:after="0" w:line="20" w:lineRule="exact"/>
              <w:rPr>
                <w:sz w:val="1"/>
                <w:szCs w:val="1"/>
                <w:color w:val="auto"/>
              </w:rPr>
            </w:pPr>
          </w:p>
        </w:tc>
        <w:tc>
          <w:tcPr>
            <w:tcW w:w="780" w:type="dxa"/>
            <w:vAlign w:val="bottom"/>
            <w:shd w:val="clear" w:color="auto" w:fill="EDF0FC"/>
          </w:tcPr>
          <w:p>
            <w:pPr>
              <w:spacing w:after="0" w:line="20" w:lineRule="exact"/>
              <w:rPr>
                <w:sz w:val="1"/>
                <w:szCs w:val="1"/>
                <w:color w:val="auto"/>
              </w:rPr>
            </w:pPr>
          </w:p>
        </w:tc>
        <w:tc>
          <w:tcPr>
            <w:tcW w:w="800" w:type="dxa"/>
            <w:vAlign w:val="bottom"/>
            <w:vMerge w:val="continue"/>
            <w:shd w:val="clear" w:color="auto" w:fill="EDF0FC"/>
          </w:tcPr>
          <w:p>
            <w:pPr>
              <w:spacing w:after="0" w:line="20" w:lineRule="exact"/>
              <w:rPr>
                <w:sz w:val="1"/>
                <w:szCs w:val="1"/>
                <w:color w:val="auto"/>
              </w:rPr>
            </w:pPr>
          </w:p>
        </w:tc>
        <w:tc>
          <w:tcPr>
            <w:tcW w:w="780" w:type="dxa"/>
            <w:vAlign w:val="bottom"/>
            <w:vMerge w:val="continue"/>
            <w:shd w:val="clear" w:color="auto" w:fill="EDF0FC"/>
          </w:tcPr>
          <w:p>
            <w:pPr>
              <w:spacing w:after="0" w:line="20" w:lineRule="exact"/>
              <w:rPr>
                <w:sz w:val="1"/>
                <w:szCs w:val="1"/>
                <w:color w:val="auto"/>
              </w:rPr>
            </w:pPr>
          </w:p>
        </w:tc>
        <w:tc>
          <w:tcPr>
            <w:tcW w:w="780" w:type="dxa"/>
            <w:vAlign w:val="bottom"/>
            <w:shd w:val="clear" w:color="auto" w:fill="EDF0FC"/>
          </w:tcPr>
          <w:p>
            <w:pPr>
              <w:spacing w:after="0" w:line="20" w:lineRule="exact"/>
              <w:rPr>
                <w:sz w:val="1"/>
                <w:szCs w:val="1"/>
                <w:color w:val="auto"/>
              </w:rPr>
            </w:pPr>
          </w:p>
        </w:tc>
        <w:tc>
          <w:tcPr>
            <w:tcW w:w="780" w:type="dxa"/>
            <w:vAlign w:val="bottom"/>
            <w:shd w:val="clear" w:color="auto" w:fill="ED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840" w:type="dxa"/>
            <w:vAlign w:val="bottom"/>
            <w:shd w:val="clear" w:color="auto" w:fill="EDF0FC"/>
          </w:tcPr>
          <w:p>
            <w:pPr>
              <w:spacing w:after="0"/>
              <w:rPr>
                <w:sz w:val="6"/>
                <w:szCs w:val="6"/>
                <w:color w:val="auto"/>
              </w:rPr>
            </w:pPr>
          </w:p>
        </w:tc>
        <w:tc>
          <w:tcPr>
            <w:tcW w:w="4140" w:type="dxa"/>
            <w:vAlign w:val="bottom"/>
            <w:shd w:val="clear" w:color="auto" w:fill="EDF0FC"/>
          </w:tcPr>
          <w:p>
            <w:pPr>
              <w:spacing w:after="0"/>
              <w:rPr>
                <w:sz w:val="6"/>
                <w:szCs w:val="6"/>
                <w:color w:val="auto"/>
              </w:rPr>
            </w:pPr>
          </w:p>
        </w:tc>
        <w:tc>
          <w:tcPr>
            <w:tcW w:w="980" w:type="dxa"/>
            <w:vAlign w:val="bottom"/>
            <w:shd w:val="clear" w:color="auto" w:fill="EDF0FC"/>
          </w:tcPr>
          <w:p>
            <w:pPr>
              <w:spacing w:after="0"/>
              <w:rPr>
                <w:sz w:val="6"/>
                <w:szCs w:val="6"/>
                <w:color w:val="auto"/>
              </w:rPr>
            </w:pPr>
          </w:p>
        </w:tc>
        <w:tc>
          <w:tcPr>
            <w:tcW w:w="580" w:type="dxa"/>
            <w:vAlign w:val="bottom"/>
            <w:shd w:val="clear" w:color="auto" w:fill="EDF0FC"/>
          </w:tcPr>
          <w:p>
            <w:pPr>
              <w:spacing w:after="0"/>
              <w:rPr>
                <w:sz w:val="6"/>
                <w:szCs w:val="6"/>
                <w:color w:val="auto"/>
              </w:rPr>
            </w:pPr>
          </w:p>
        </w:tc>
        <w:tc>
          <w:tcPr>
            <w:tcW w:w="780" w:type="dxa"/>
            <w:vAlign w:val="bottom"/>
            <w:shd w:val="clear" w:color="auto" w:fill="EDF0FC"/>
          </w:tcPr>
          <w:p>
            <w:pPr>
              <w:spacing w:after="0"/>
              <w:rPr>
                <w:sz w:val="6"/>
                <w:szCs w:val="6"/>
                <w:color w:val="auto"/>
              </w:rPr>
            </w:pPr>
          </w:p>
        </w:tc>
        <w:tc>
          <w:tcPr>
            <w:tcW w:w="780" w:type="dxa"/>
            <w:vAlign w:val="bottom"/>
            <w:shd w:val="clear" w:color="auto" w:fill="EDF0FC"/>
          </w:tcPr>
          <w:p>
            <w:pPr>
              <w:spacing w:after="0"/>
              <w:rPr>
                <w:sz w:val="6"/>
                <w:szCs w:val="6"/>
                <w:color w:val="auto"/>
              </w:rPr>
            </w:pPr>
          </w:p>
        </w:tc>
        <w:tc>
          <w:tcPr>
            <w:tcW w:w="800" w:type="dxa"/>
            <w:vAlign w:val="bottom"/>
            <w:shd w:val="clear" w:color="auto" w:fill="EDF0FC"/>
          </w:tcPr>
          <w:p>
            <w:pPr>
              <w:spacing w:after="0"/>
              <w:rPr>
                <w:sz w:val="6"/>
                <w:szCs w:val="6"/>
                <w:color w:val="auto"/>
              </w:rPr>
            </w:pPr>
          </w:p>
        </w:tc>
        <w:tc>
          <w:tcPr>
            <w:tcW w:w="780" w:type="dxa"/>
            <w:vAlign w:val="bottom"/>
            <w:shd w:val="clear" w:color="auto" w:fill="EDF0FC"/>
          </w:tcPr>
          <w:p>
            <w:pPr>
              <w:spacing w:after="0"/>
              <w:rPr>
                <w:sz w:val="6"/>
                <w:szCs w:val="6"/>
                <w:color w:val="auto"/>
              </w:rPr>
            </w:pPr>
          </w:p>
        </w:tc>
        <w:tc>
          <w:tcPr>
            <w:tcW w:w="780" w:type="dxa"/>
            <w:vAlign w:val="bottom"/>
            <w:shd w:val="clear" w:color="auto" w:fill="EDF0FC"/>
          </w:tcPr>
          <w:p>
            <w:pPr>
              <w:spacing w:after="0"/>
              <w:rPr>
                <w:sz w:val="6"/>
                <w:szCs w:val="6"/>
                <w:color w:val="auto"/>
              </w:rPr>
            </w:pPr>
          </w:p>
        </w:tc>
        <w:tc>
          <w:tcPr>
            <w:tcW w:w="780" w:type="dxa"/>
            <w:vAlign w:val="bottom"/>
            <w:shd w:val="clear" w:color="auto" w:fill="EDF0FC"/>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140" w:type="dxa"/>
            <w:vAlign w:val="bottom"/>
          </w:tcPr>
          <w:p>
            <w:pPr>
              <w:jc w:val="right"/>
              <w:ind w:right="3467"/>
              <w:spacing w:after="0"/>
              <w:rPr>
                <w:sz w:val="20"/>
                <w:szCs w:val="20"/>
                <w:color w:val="auto"/>
              </w:rPr>
            </w:pPr>
            <w:r>
              <w:rPr>
                <w:rFonts w:ascii="Arial" w:cs="Arial" w:eastAsia="Arial" w:hAnsi="Arial"/>
                <w:sz w:val="11"/>
                <w:szCs w:val="11"/>
                <w:b w:val="1"/>
                <w:bCs w:val="1"/>
                <w:color w:val="1A3FD6"/>
              </w:rPr>
              <w:t>(1)</w:t>
            </w:r>
          </w:p>
        </w:tc>
        <w:tc>
          <w:tcPr>
            <w:tcW w:w="980" w:type="dxa"/>
            <w:vAlign w:val="bottom"/>
          </w:tcPr>
          <w:p>
            <w:pPr>
              <w:jc w:val="center"/>
              <w:ind w:right="140"/>
              <w:spacing w:after="0"/>
              <w:rPr>
                <w:sz w:val="20"/>
                <w:szCs w:val="20"/>
                <w:color w:val="auto"/>
              </w:rPr>
            </w:pPr>
            <w:r>
              <w:rPr>
                <w:rFonts w:ascii="Webdings" w:cs="Webdings" w:eastAsia="Webdings" w:hAnsi="Webdings"/>
                <w:sz w:val="11"/>
                <w:szCs w:val="11"/>
                <w:b w:val="1"/>
                <w:bCs w:val="1"/>
                <w:color w:val="7188EF"/>
                <w:w w:val="90"/>
              </w:rPr>
              <w:t>n</w:t>
            </w:r>
          </w:p>
        </w:tc>
        <w:tc>
          <w:tcPr>
            <w:tcW w:w="580" w:type="dxa"/>
            <w:vAlign w:val="bottom"/>
          </w:tcPr>
          <w:p>
            <w:pPr>
              <w:jc w:val="center"/>
              <w:ind w:right="143"/>
              <w:spacing w:after="0"/>
              <w:rPr>
                <w:sz w:val="20"/>
                <w:szCs w:val="20"/>
                <w:color w:val="auto"/>
              </w:rPr>
            </w:pPr>
            <w:r>
              <w:rPr>
                <w:rFonts w:ascii="Webdings" w:cs="Webdings" w:eastAsia="Webdings" w:hAnsi="Webdings"/>
                <w:sz w:val="11"/>
                <w:szCs w:val="11"/>
                <w:b w:val="1"/>
                <w:bCs w:val="1"/>
                <w:color w:val="7188EF"/>
                <w:w w:val="90"/>
              </w:rPr>
              <w:t>n</w:t>
            </w:r>
          </w:p>
        </w:tc>
        <w:tc>
          <w:tcPr>
            <w:tcW w:w="780" w:type="dxa"/>
            <w:vAlign w:val="bottom"/>
          </w:tcPr>
          <w:p>
            <w:pPr>
              <w:jc w:val="center"/>
              <w:spacing w:after="0"/>
              <w:rPr>
                <w:sz w:val="20"/>
                <w:szCs w:val="20"/>
                <w:color w:val="auto"/>
              </w:rPr>
            </w:pPr>
            <w:r>
              <w:rPr>
                <w:rFonts w:ascii="Webdings" w:cs="Webdings" w:eastAsia="Webdings" w:hAnsi="Webdings"/>
                <w:sz w:val="11"/>
                <w:szCs w:val="11"/>
                <w:b w:val="1"/>
                <w:bCs w:val="1"/>
                <w:color w:val="7188EF"/>
                <w:w w:val="90"/>
              </w:rPr>
              <w:t>n</w:t>
            </w:r>
          </w:p>
        </w:tc>
        <w:tc>
          <w:tcPr>
            <w:tcW w:w="780" w:type="dxa"/>
            <w:vAlign w:val="bottom"/>
          </w:tcPr>
          <w:p>
            <w:pPr>
              <w:jc w:val="center"/>
              <w:spacing w:after="0"/>
              <w:rPr>
                <w:sz w:val="20"/>
                <w:szCs w:val="20"/>
                <w:color w:val="auto"/>
              </w:rPr>
            </w:pPr>
            <w:r>
              <w:rPr>
                <w:rFonts w:ascii="Webdings" w:cs="Webdings" w:eastAsia="Webdings" w:hAnsi="Webdings"/>
                <w:sz w:val="11"/>
                <w:szCs w:val="11"/>
                <w:b w:val="1"/>
                <w:bCs w:val="1"/>
                <w:color w:val="7188EF"/>
              </w:rPr>
              <w:t>n</w:t>
            </w: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980" w:type="dxa"/>
            <w:vAlign w:val="bottom"/>
            <w:gridSpan w:val="2"/>
          </w:tcPr>
          <w:p>
            <w:pPr>
              <w:ind w:left="20"/>
              <w:spacing w:after="0" w:line="95" w:lineRule="exact"/>
              <w:rPr>
                <w:sz w:val="20"/>
                <w:szCs w:val="20"/>
                <w:color w:val="auto"/>
              </w:rPr>
            </w:pPr>
            <w:r>
              <w:rPr>
                <w:rFonts w:ascii="Arial" w:cs="Arial" w:eastAsia="Arial" w:hAnsi="Arial"/>
                <w:sz w:val="10"/>
                <w:szCs w:val="10"/>
                <w:b w:val="1"/>
                <w:bCs w:val="1"/>
                <w:color w:val="1A3FD6"/>
              </w:rPr>
              <w:t>Wayne Edmunds</w:t>
            </w: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980" w:type="dxa"/>
            <w:vAlign w:val="bottom"/>
            <w:gridSpan w:val="2"/>
            <w:shd w:val="clear" w:color="auto" w:fill="EDF0FC"/>
          </w:tcPr>
          <w:p>
            <w:pPr>
              <w:ind w:left="20"/>
              <w:spacing w:after="0" w:line="148" w:lineRule="exact"/>
              <w:rPr>
                <w:sz w:val="20"/>
                <w:szCs w:val="20"/>
                <w:color w:val="auto"/>
              </w:rPr>
            </w:pPr>
            <w:r>
              <w:rPr>
                <w:rFonts w:ascii="Arial" w:cs="Arial" w:eastAsia="Arial" w:hAnsi="Arial"/>
                <w:sz w:val="16"/>
                <w:szCs w:val="16"/>
                <w:b w:val="1"/>
                <w:bCs w:val="1"/>
                <w:color w:val="1A3FD6"/>
              </w:rPr>
              <w:t>Robin Matlock</w:t>
            </w:r>
          </w:p>
        </w:tc>
        <w:tc>
          <w:tcPr>
            <w:tcW w:w="980" w:type="dxa"/>
            <w:vAlign w:val="bottom"/>
            <w:vMerge w:val="restart"/>
            <w:shd w:val="clear" w:color="auto" w:fill="EDF0FC"/>
          </w:tcPr>
          <w:p>
            <w:pPr>
              <w:jc w:val="center"/>
              <w:ind w:right="140"/>
              <w:spacing w:after="0"/>
              <w:rPr>
                <w:sz w:val="20"/>
                <w:szCs w:val="20"/>
                <w:color w:val="auto"/>
              </w:rPr>
            </w:pPr>
            <w:r>
              <w:rPr>
                <w:rFonts w:ascii="Webdings" w:cs="Webdings" w:eastAsia="Webdings" w:hAnsi="Webdings"/>
                <w:sz w:val="11"/>
                <w:szCs w:val="11"/>
                <w:b w:val="1"/>
                <w:bCs w:val="1"/>
                <w:color w:val="7188EF"/>
                <w:w w:val="90"/>
              </w:rPr>
              <w:t>n</w:t>
            </w:r>
          </w:p>
        </w:tc>
        <w:tc>
          <w:tcPr>
            <w:tcW w:w="580" w:type="dxa"/>
            <w:vAlign w:val="bottom"/>
            <w:shd w:val="clear" w:color="auto" w:fill="EDF0FC"/>
          </w:tcPr>
          <w:p>
            <w:pPr>
              <w:spacing w:after="0"/>
              <w:rPr>
                <w:sz w:val="12"/>
                <w:szCs w:val="12"/>
                <w:color w:val="auto"/>
              </w:rPr>
            </w:pPr>
          </w:p>
        </w:tc>
        <w:tc>
          <w:tcPr>
            <w:tcW w:w="780" w:type="dxa"/>
            <w:vAlign w:val="bottom"/>
            <w:shd w:val="clear" w:color="auto" w:fill="EDF0FC"/>
          </w:tcPr>
          <w:p>
            <w:pPr>
              <w:spacing w:after="0"/>
              <w:rPr>
                <w:sz w:val="12"/>
                <w:szCs w:val="12"/>
                <w:color w:val="auto"/>
              </w:rPr>
            </w:pPr>
          </w:p>
        </w:tc>
        <w:tc>
          <w:tcPr>
            <w:tcW w:w="780" w:type="dxa"/>
            <w:vAlign w:val="bottom"/>
            <w:vMerge w:val="restart"/>
            <w:shd w:val="clear" w:color="auto" w:fill="EDF0FC"/>
          </w:tcPr>
          <w:p>
            <w:pPr>
              <w:jc w:val="center"/>
              <w:spacing w:after="0"/>
              <w:rPr>
                <w:sz w:val="20"/>
                <w:szCs w:val="20"/>
                <w:color w:val="auto"/>
              </w:rPr>
            </w:pPr>
            <w:r>
              <w:rPr>
                <w:rFonts w:ascii="Webdings" w:cs="Webdings" w:eastAsia="Webdings" w:hAnsi="Webdings"/>
                <w:sz w:val="11"/>
                <w:szCs w:val="11"/>
                <w:b w:val="1"/>
                <w:bCs w:val="1"/>
                <w:color w:val="7188EF"/>
              </w:rPr>
              <w:t>n</w:t>
            </w:r>
          </w:p>
        </w:tc>
        <w:tc>
          <w:tcPr>
            <w:tcW w:w="800" w:type="dxa"/>
            <w:vAlign w:val="bottom"/>
            <w:vMerge w:val="restart"/>
            <w:shd w:val="clear" w:color="auto" w:fill="EDF0FC"/>
          </w:tcPr>
          <w:p>
            <w:pPr>
              <w:jc w:val="center"/>
              <w:spacing w:after="0"/>
              <w:rPr>
                <w:sz w:val="20"/>
                <w:szCs w:val="20"/>
                <w:color w:val="auto"/>
              </w:rPr>
            </w:pPr>
            <w:r>
              <w:rPr>
                <w:rFonts w:ascii="Webdings" w:cs="Webdings" w:eastAsia="Webdings" w:hAnsi="Webdings"/>
                <w:sz w:val="11"/>
                <w:szCs w:val="11"/>
                <w:b w:val="1"/>
                <w:bCs w:val="1"/>
                <w:color w:val="7188EF"/>
              </w:rPr>
              <w:t>n</w:t>
            </w:r>
          </w:p>
        </w:tc>
        <w:tc>
          <w:tcPr>
            <w:tcW w:w="780" w:type="dxa"/>
            <w:vAlign w:val="bottom"/>
            <w:vMerge w:val="restart"/>
            <w:shd w:val="clear" w:color="auto" w:fill="EDF0FC"/>
          </w:tcPr>
          <w:p>
            <w:pPr>
              <w:jc w:val="center"/>
              <w:spacing w:after="0"/>
              <w:rPr>
                <w:sz w:val="20"/>
                <w:szCs w:val="20"/>
                <w:color w:val="auto"/>
              </w:rPr>
            </w:pPr>
            <w:r>
              <w:rPr>
                <w:rFonts w:ascii="Webdings" w:cs="Webdings" w:eastAsia="Webdings" w:hAnsi="Webdings"/>
                <w:sz w:val="11"/>
                <w:szCs w:val="11"/>
                <w:b w:val="1"/>
                <w:bCs w:val="1"/>
                <w:color w:val="7188EF"/>
              </w:rPr>
              <w:t>n</w:t>
            </w:r>
          </w:p>
        </w:tc>
        <w:tc>
          <w:tcPr>
            <w:tcW w:w="780" w:type="dxa"/>
            <w:vAlign w:val="bottom"/>
            <w:shd w:val="clear" w:color="auto" w:fill="EDF0FC"/>
          </w:tcPr>
          <w:p>
            <w:pPr>
              <w:spacing w:after="0"/>
              <w:rPr>
                <w:sz w:val="12"/>
                <w:szCs w:val="12"/>
                <w:color w:val="auto"/>
              </w:rPr>
            </w:pPr>
          </w:p>
        </w:tc>
        <w:tc>
          <w:tcPr>
            <w:tcW w:w="780" w:type="dxa"/>
            <w:vAlign w:val="bottom"/>
            <w:shd w:val="clear" w:color="auto" w:fill="ED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EDF0FC"/>
          </w:tcPr>
          <w:p>
            <w:pPr>
              <w:spacing w:after="0" w:line="20" w:lineRule="exact"/>
              <w:rPr>
                <w:sz w:val="1"/>
                <w:szCs w:val="1"/>
                <w:color w:val="auto"/>
              </w:rPr>
            </w:pPr>
          </w:p>
        </w:tc>
        <w:tc>
          <w:tcPr>
            <w:tcW w:w="4140" w:type="dxa"/>
            <w:vAlign w:val="bottom"/>
            <w:shd w:val="clear" w:color="auto" w:fill="EDF0FC"/>
          </w:tcPr>
          <w:p>
            <w:pPr>
              <w:spacing w:after="0" w:line="20" w:lineRule="exact"/>
              <w:rPr>
                <w:sz w:val="1"/>
                <w:szCs w:val="1"/>
                <w:color w:val="auto"/>
              </w:rPr>
            </w:pPr>
          </w:p>
        </w:tc>
        <w:tc>
          <w:tcPr>
            <w:tcW w:w="980" w:type="dxa"/>
            <w:vAlign w:val="bottom"/>
            <w:vMerge w:val="continue"/>
            <w:shd w:val="clear" w:color="auto" w:fill="EDF0FC"/>
          </w:tcPr>
          <w:p>
            <w:pPr>
              <w:spacing w:after="0" w:line="20" w:lineRule="exact"/>
              <w:rPr>
                <w:sz w:val="1"/>
                <w:szCs w:val="1"/>
                <w:color w:val="auto"/>
              </w:rPr>
            </w:pPr>
          </w:p>
        </w:tc>
        <w:tc>
          <w:tcPr>
            <w:tcW w:w="580" w:type="dxa"/>
            <w:vAlign w:val="bottom"/>
            <w:shd w:val="clear" w:color="auto" w:fill="EDF0FC"/>
          </w:tcPr>
          <w:p>
            <w:pPr>
              <w:spacing w:after="0" w:line="20" w:lineRule="exact"/>
              <w:rPr>
                <w:sz w:val="1"/>
                <w:szCs w:val="1"/>
                <w:color w:val="auto"/>
              </w:rPr>
            </w:pPr>
          </w:p>
        </w:tc>
        <w:tc>
          <w:tcPr>
            <w:tcW w:w="780" w:type="dxa"/>
            <w:vAlign w:val="bottom"/>
            <w:shd w:val="clear" w:color="auto" w:fill="EDF0FC"/>
          </w:tcPr>
          <w:p>
            <w:pPr>
              <w:spacing w:after="0" w:line="20" w:lineRule="exact"/>
              <w:rPr>
                <w:sz w:val="1"/>
                <w:szCs w:val="1"/>
                <w:color w:val="auto"/>
              </w:rPr>
            </w:pPr>
          </w:p>
        </w:tc>
        <w:tc>
          <w:tcPr>
            <w:tcW w:w="780" w:type="dxa"/>
            <w:vAlign w:val="bottom"/>
            <w:vMerge w:val="continue"/>
            <w:shd w:val="clear" w:color="auto" w:fill="EDF0FC"/>
          </w:tcPr>
          <w:p>
            <w:pPr>
              <w:spacing w:after="0" w:line="20" w:lineRule="exact"/>
              <w:rPr>
                <w:sz w:val="1"/>
                <w:szCs w:val="1"/>
                <w:color w:val="auto"/>
              </w:rPr>
            </w:pPr>
          </w:p>
        </w:tc>
        <w:tc>
          <w:tcPr>
            <w:tcW w:w="800" w:type="dxa"/>
            <w:vAlign w:val="bottom"/>
            <w:vMerge w:val="continue"/>
            <w:shd w:val="clear" w:color="auto" w:fill="EDF0FC"/>
          </w:tcPr>
          <w:p>
            <w:pPr>
              <w:spacing w:after="0" w:line="20" w:lineRule="exact"/>
              <w:rPr>
                <w:sz w:val="1"/>
                <w:szCs w:val="1"/>
                <w:color w:val="auto"/>
              </w:rPr>
            </w:pPr>
          </w:p>
        </w:tc>
        <w:tc>
          <w:tcPr>
            <w:tcW w:w="780" w:type="dxa"/>
            <w:vAlign w:val="bottom"/>
            <w:vMerge w:val="continue"/>
            <w:shd w:val="clear" w:color="auto" w:fill="EDF0FC"/>
          </w:tcPr>
          <w:p>
            <w:pPr>
              <w:spacing w:after="0" w:line="20" w:lineRule="exact"/>
              <w:rPr>
                <w:sz w:val="1"/>
                <w:szCs w:val="1"/>
                <w:color w:val="auto"/>
              </w:rPr>
            </w:pPr>
          </w:p>
        </w:tc>
        <w:tc>
          <w:tcPr>
            <w:tcW w:w="780" w:type="dxa"/>
            <w:vAlign w:val="bottom"/>
            <w:shd w:val="clear" w:color="auto" w:fill="EDF0FC"/>
          </w:tcPr>
          <w:p>
            <w:pPr>
              <w:spacing w:after="0" w:line="20" w:lineRule="exact"/>
              <w:rPr>
                <w:sz w:val="1"/>
                <w:szCs w:val="1"/>
                <w:color w:val="auto"/>
              </w:rPr>
            </w:pPr>
          </w:p>
        </w:tc>
        <w:tc>
          <w:tcPr>
            <w:tcW w:w="780" w:type="dxa"/>
            <w:vAlign w:val="bottom"/>
            <w:shd w:val="clear" w:color="auto" w:fill="ED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4980" w:type="dxa"/>
            <w:vAlign w:val="bottom"/>
            <w:gridSpan w:val="2"/>
            <w:shd w:val="clear" w:color="auto" w:fill="EDF0FC"/>
          </w:tcPr>
          <w:p>
            <w:pPr>
              <w:spacing w:after="0"/>
              <w:rPr>
                <w:sz w:val="6"/>
                <w:szCs w:val="6"/>
                <w:color w:val="auto"/>
              </w:rPr>
            </w:pPr>
          </w:p>
        </w:tc>
        <w:tc>
          <w:tcPr>
            <w:tcW w:w="980" w:type="dxa"/>
            <w:vAlign w:val="bottom"/>
            <w:shd w:val="clear" w:color="auto" w:fill="EDF0FC"/>
          </w:tcPr>
          <w:p>
            <w:pPr>
              <w:spacing w:after="0"/>
              <w:rPr>
                <w:sz w:val="6"/>
                <w:szCs w:val="6"/>
                <w:color w:val="auto"/>
              </w:rPr>
            </w:pPr>
          </w:p>
        </w:tc>
        <w:tc>
          <w:tcPr>
            <w:tcW w:w="580" w:type="dxa"/>
            <w:vAlign w:val="bottom"/>
            <w:shd w:val="clear" w:color="auto" w:fill="EDF0FC"/>
          </w:tcPr>
          <w:p>
            <w:pPr>
              <w:spacing w:after="0"/>
              <w:rPr>
                <w:sz w:val="6"/>
                <w:szCs w:val="6"/>
                <w:color w:val="auto"/>
              </w:rPr>
            </w:pPr>
          </w:p>
        </w:tc>
        <w:tc>
          <w:tcPr>
            <w:tcW w:w="780" w:type="dxa"/>
            <w:vAlign w:val="bottom"/>
            <w:shd w:val="clear" w:color="auto" w:fill="EDF0FC"/>
          </w:tcPr>
          <w:p>
            <w:pPr>
              <w:spacing w:after="0"/>
              <w:rPr>
                <w:sz w:val="6"/>
                <w:szCs w:val="6"/>
                <w:color w:val="auto"/>
              </w:rPr>
            </w:pPr>
          </w:p>
        </w:tc>
        <w:tc>
          <w:tcPr>
            <w:tcW w:w="780" w:type="dxa"/>
            <w:vAlign w:val="bottom"/>
            <w:shd w:val="clear" w:color="auto" w:fill="EDF0FC"/>
          </w:tcPr>
          <w:p>
            <w:pPr>
              <w:spacing w:after="0"/>
              <w:rPr>
                <w:sz w:val="6"/>
                <w:szCs w:val="6"/>
                <w:color w:val="auto"/>
              </w:rPr>
            </w:pPr>
          </w:p>
        </w:tc>
        <w:tc>
          <w:tcPr>
            <w:tcW w:w="800" w:type="dxa"/>
            <w:vAlign w:val="bottom"/>
            <w:shd w:val="clear" w:color="auto" w:fill="EDF0FC"/>
          </w:tcPr>
          <w:p>
            <w:pPr>
              <w:spacing w:after="0"/>
              <w:rPr>
                <w:sz w:val="6"/>
                <w:szCs w:val="6"/>
                <w:color w:val="auto"/>
              </w:rPr>
            </w:pPr>
          </w:p>
        </w:tc>
        <w:tc>
          <w:tcPr>
            <w:tcW w:w="780" w:type="dxa"/>
            <w:vAlign w:val="bottom"/>
            <w:shd w:val="clear" w:color="auto" w:fill="EDF0FC"/>
          </w:tcPr>
          <w:p>
            <w:pPr>
              <w:spacing w:after="0"/>
              <w:rPr>
                <w:sz w:val="6"/>
                <w:szCs w:val="6"/>
                <w:color w:val="auto"/>
              </w:rPr>
            </w:pPr>
          </w:p>
        </w:tc>
        <w:tc>
          <w:tcPr>
            <w:tcW w:w="780" w:type="dxa"/>
            <w:vAlign w:val="bottom"/>
            <w:shd w:val="clear" w:color="auto" w:fill="EDF0FC"/>
          </w:tcPr>
          <w:p>
            <w:pPr>
              <w:spacing w:after="0"/>
              <w:rPr>
                <w:sz w:val="6"/>
                <w:szCs w:val="6"/>
                <w:color w:val="auto"/>
              </w:rPr>
            </w:pPr>
          </w:p>
        </w:tc>
        <w:tc>
          <w:tcPr>
            <w:tcW w:w="780" w:type="dxa"/>
            <w:vAlign w:val="bottom"/>
            <w:shd w:val="clear" w:color="auto" w:fill="EDF0FC"/>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980" w:type="dxa"/>
            <w:vAlign w:val="bottom"/>
            <w:gridSpan w:val="2"/>
          </w:tcPr>
          <w:p>
            <w:pPr>
              <w:ind w:left="20"/>
              <w:spacing w:after="0" w:line="148" w:lineRule="exact"/>
              <w:rPr>
                <w:sz w:val="20"/>
                <w:szCs w:val="20"/>
                <w:color w:val="auto"/>
              </w:rPr>
            </w:pPr>
            <w:r>
              <w:rPr>
                <w:rFonts w:ascii="Arial" w:cs="Arial" w:eastAsia="Arial" w:hAnsi="Arial"/>
                <w:sz w:val="16"/>
                <w:szCs w:val="16"/>
                <w:b w:val="1"/>
                <w:bCs w:val="1"/>
                <w:color w:val="1A3FD6"/>
              </w:rPr>
              <w:t>Jacques P. Perold</w:t>
            </w: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Webdings" w:cs="Webdings" w:eastAsia="Webdings" w:hAnsi="Webdings"/>
                <w:sz w:val="11"/>
                <w:szCs w:val="11"/>
                <w:b w:val="1"/>
                <w:bCs w:val="1"/>
                <w:color w:val="0626A9"/>
                <w:w w:val="90"/>
              </w:rPr>
              <w:t>n</w:t>
            </w:r>
          </w:p>
        </w:tc>
        <w:tc>
          <w:tcPr>
            <w:tcW w:w="780" w:type="dxa"/>
            <w:vAlign w:val="bottom"/>
            <w:vMerge w:val="restart"/>
          </w:tcPr>
          <w:p>
            <w:pPr>
              <w:jc w:val="center"/>
              <w:spacing w:after="0"/>
              <w:rPr>
                <w:sz w:val="20"/>
                <w:szCs w:val="20"/>
                <w:color w:val="auto"/>
              </w:rPr>
            </w:pPr>
            <w:r>
              <w:rPr>
                <w:rFonts w:ascii="Webdings" w:cs="Webdings" w:eastAsia="Webdings" w:hAnsi="Webdings"/>
                <w:sz w:val="11"/>
                <w:szCs w:val="11"/>
                <w:b w:val="1"/>
                <w:bCs w:val="1"/>
                <w:color w:val="0626A9"/>
              </w:rPr>
              <w:t>n</w:t>
            </w: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Webdings" w:cs="Webdings" w:eastAsia="Webdings" w:hAnsi="Webdings"/>
                <w:sz w:val="11"/>
                <w:szCs w:val="11"/>
                <w:b w:val="1"/>
                <w:bCs w:val="1"/>
                <w:color w:val="7188EF"/>
                <w:w w:val="90"/>
              </w:rPr>
              <w:t>n</w:t>
            </w:r>
          </w:p>
        </w:tc>
        <w:tc>
          <w:tcPr>
            <w:tcW w:w="780" w:type="dxa"/>
            <w:vAlign w:val="bottom"/>
            <w:vMerge w:val="restart"/>
          </w:tcPr>
          <w:p>
            <w:pPr>
              <w:jc w:val="center"/>
              <w:spacing w:after="0"/>
              <w:rPr>
                <w:sz w:val="20"/>
                <w:szCs w:val="20"/>
                <w:color w:val="auto"/>
              </w:rPr>
            </w:pPr>
            <w:r>
              <w:rPr>
                <w:rFonts w:ascii="Webdings" w:cs="Webdings" w:eastAsia="Webdings" w:hAnsi="Webdings"/>
                <w:sz w:val="11"/>
                <w:szCs w:val="11"/>
                <w:b w:val="1"/>
                <w:bCs w:val="1"/>
                <w:color w:val="7188EF"/>
                <w:w w:val="90"/>
              </w:rPr>
              <w:t>n</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840" w:type="dxa"/>
            <w:vAlign w:val="bottom"/>
          </w:tcPr>
          <w:p>
            <w:pPr>
              <w:spacing w:after="0"/>
              <w:rPr>
                <w:sz w:val="6"/>
                <w:szCs w:val="6"/>
                <w:color w:val="auto"/>
              </w:rPr>
            </w:pPr>
          </w:p>
        </w:tc>
        <w:tc>
          <w:tcPr>
            <w:tcW w:w="4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4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w w:val="99"/>
              </w:rPr>
              <w:t>Baer Pettit</w:t>
            </w:r>
          </w:p>
        </w:tc>
        <w:tc>
          <w:tcPr>
            <w:tcW w:w="4140" w:type="dxa"/>
            <w:vAlign w:val="bottom"/>
            <w:shd w:val="clear" w:color="auto" w:fill="EDF0FC"/>
          </w:tcPr>
          <w:p>
            <w:pPr>
              <w:spacing w:after="0"/>
              <w:rPr>
                <w:sz w:val="21"/>
                <w:szCs w:val="21"/>
                <w:color w:val="auto"/>
              </w:rPr>
            </w:pPr>
          </w:p>
        </w:tc>
        <w:tc>
          <w:tcPr>
            <w:tcW w:w="980" w:type="dxa"/>
            <w:vAlign w:val="bottom"/>
            <w:shd w:val="clear" w:color="auto" w:fill="EDF0FC"/>
          </w:tcPr>
          <w:p>
            <w:pPr>
              <w:spacing w:after="0"/>
              <w:rPr>
                <w:sz w:val="21"/>
                <w:szCs w:val="21"/>
                <w:color w:val="auto"/>
              </w:rPr>
            </w:pPr>
          </w:p>
        </w:tc>
        <w:tc>
          <w:tcPr>
            <w:tcW w:w="580" w:type="dxa"/>
            <w:vAlign w:val="bottom"/>
            <w:shd w:val="clear" w:color="auto" w:fill="EDF0FC"/>
          </w:tcPr>
          <w:p>
            <w:pPr>
              <w:spacing w:after="0"/>
              <w:rPr>
                <w:sz w:val="21"/>
                <w:szCs w:val="21"/>
                <w:color w:val="auto"/>
              </w:rPr>
            </w:pPr>
          </w:p>
        </w:tc>
        <w:tc>
          <w:tcPr>
            <w:tcW w:w="780" w:type="dxa"/>
            <w:vAlign w:val="bottom"/>
            <w:shd w:val="clear" w:color="auto" w:fill="EDF0FC"/>
          </w:tcPr>
          <w:p>
            <w:pPr>
              <w:spacing w:after="0"/>
              <w:rPr>
                <w:sz w:val="21"/>
                <w:szCs w:val="21"/>
                <w:color w:val="auto"/>
              </w:rPr>
            </w:pPr>
          </w:p>
        </w:tc>
        <w:tc>
          <w:tcPr>
            <w:tcW w:w="780" w:type="dxa"/>
            <w:vAlign w:val="bottom"/>
            <w:shd w:val="clear" w:color="auto" w:fill="EDF0FC"/>
          </w:tcPr>
          <w:p>
            <w:pPr>
              <w:spacing w:after="0"/>
              <w:rPr>
                <w:sz w:val="21"/>
                <w:szCs w:val="21"/>
                <w:color w:val="auto"/>
              </w:rPr>
            </w:pPr>
          </w:p>
        </w:tc>
        <w:tc>
          <w:tcPr>
            <w:tcW w:w="800" w:type="dxa"/>
            <w:vAlign w:val="bottom"/>
            <w:shd w:val="clear" w:color="auto" w:fill="EDF0FC"/>
          </w:tcPr>
          <w:p>
            <w:pPr>
              <w:spacing w:after="0"/>
              <w:rPr>
                <w:sz w:val="21"/>
                <w:szCs w:val="21"/>
                <w:color w:val="auto"/>
              </w:rPr>
            </w:pPr>
          </w:p>
        </w:tc>
        <w:tc>
          <w:tcPr>
            <w:tcW w:w="780" w:type="dxa"/>
            <w:vAlign w:val="bottom"/>
            <w:shd w:val="clear" w:color="auto" w:fill="EDF0FC"/>
          </w:tcPr>
          <w:p>
            <w:pPr>
              <w:spacing w:after="0"/>
              <w:rPr>
                <w:sz w:val="21"/>
                <w:szCs w:val="21"/>
                <w:color w:val="auto"/>
              </w:rPr>
            </w:pPr>
          </w:p>
        </w:tc>
        <w:tc>
          <w:tcPr>
            <w:tcW w:w="780" w:type="dxa"/>
            <w:vAlign w:val="bottom"/>
            <w:shd w:val="clear" w:color="auto" w:fill="EDF0FC"/>
          </w:tcPr>
          <w:p>
            <w:pPr>
              <w:spacing w:after="0"/>
              <w:rPr>
                <w:sz w:val="21"/>
                <w:szCs w:val="21"/>
                <w:color w:val="auto"/>
              </w:rPr>
            </w:pPr>
          </w:p>
        </w:tc>
        <w:tc>
          <w:tcPr>
            <w:tcW w:w="780" w:type="dxa"/>
            <w:vAlign w:val="bottom"/>
            <w:shd w:val="clear" w:color="auto" w:fill="EDF0FC"/>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4980" w:type="dxa"/>
            <w:vAlign w:val="bottom"/>
            <w:gridSpan w:val="2"/>
          </w:tcPr>
          <w:p>
            <w:pPr>
              <w:ind w:left="20"/>
              <w:spacing w:after="0" w:line="148" w:lineRule="exact"/>
              <w:rPr>
                <w:sz w:val="20"/>
                <w:szCs w:val="20"/>
                <w:color w:val="auto"/>
              </w:rPr>
            </w:pPr>
            <w:r>
              <w:rPr>
                <w:rFonts w:ascii="Arial" w:cs="Arial" w:eastAsia="Arial" w:hAnsi="Arial"/>
                <w:sz w:val="16"/>
                <w:szCs w:val="16"/>
                <w:b w:val="1"/>
                <w:bCs w:val="1"/>
                <w:color w:val="1A3FD6"/>
              </w:rPr>
              <w:t>Sandy C. Rattray</w:t>
            </w: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Webdings" w:cs="Webdings" w:eastAsia="Webdings" w:hAnsi="Webdings"/>
                <w:sz w:val="11"/>
                <w:szCs w:val="11"/>
                <w:b w:val="1"/>
                <w:bCs w:val="1"/>
                <w:color w:val="7188EF"/>
              </w:rPr>
              <w:t>n</w:t>
            </w:r>
          </w:p>
        </w:tc>
        <w:tc>
          <w:tcPr>
            <w:tcW w:w="780" w:type="dxa"/>
            <w:vAlign w:val="bottom"/>
            <w:vMerge w:val="restart"/>
          </w:tcPr>
          <w:p>
            <w:pPr>
              <w:jc w:val="center"/>
              <w:spacing w:after="0"/>
              <w:rPr>
                <w:sz w:val="20"/>
                <w:szCs w:val="20"/>
                <w:color w:val="auto"/>
              </w:rPr>
            </w:pPr>
            <w:r>
              <w:rPr>
                <w:rFonts w:ascii="Webdings" w:cs="Webdings" w:eastAsia="Webdings" w:hAnsi="Webdings"/>
                <w:sz w:val="11"/>
                <w:szCs w:val="11"/>
                <w:b w:val="1"/>
                <w:bCs w:val="1"/>
                <w:color w:val="7188EF"/>
              </w:rPr>
              <w:t>n</w:t>
            </w:r>
          </w:p>
        </w:tc>
        <w:tc>
          <w:tcPr>
            <w:tcW w:w="780" w:type="dxa"/>
            <w:vAlign w:val="bottom"/>
            <w:vMerge w:val="restart"/>
          </w:tcPr>
          <w:p>
            <w:pPr>
              <w:jc w:val="center"/>
              <w:spacing w:after="0"/>
              <w:rPr>
                <w:sz w:val="20"/>
                <w:szCs w:val="20"/>
                <w:color w:val="auto"/>
              </w:rPr>
            </w:pPr>
            <w:r>
              <w:rPr>
                <w:rFonts w:ascii="Webdings" w:cs="Webdings" w:eastAsia="Webdings" w:hAnsi="Webdings"/>
                <w:sz w:val="11"/>
                <w:szCs w:val="11"/>
                <w:b w:val="1"/>
                <w:bCs w:val="1"/>
                <w:color w:val="0626A9"/>
                <w:w w:val="90"/>
              </w:rPr>
              <w:t>n</w:t>
            </w:r>
          </w:p>
        </w:tc>
        <w:tc>
          <w:tcPr>
            <w:tcW w:w="780" w:type="dxa"/>
            <w:vAlign w:val="bottom"/>
            <w:vMerge w:val="restart"/>
          </w:tcPr>
          <w:p>
            <w:pPr>
              <w:jc w:val="center"/>
              <w:spacing w:after="0"/>
              <w:rPr>
                <w:sz w:val="20"/>
                <w:szCs w:val="20"/>
                <w:color w:val="auto"/>
              </w:rPr>
            </w:pPr>
            <w:r>
              <w:rPr>
                <w:rFonts w:ascii="Webdings" w:cs="Webdings" w:eastAsia="Webdings" w:hAnsi="Webdings"/>
                <w:sz w:val="11"/>
                <w:szCs w:val="11"/>
                <w:b w:val="1"/>
                <w:bCs w:val="1"/>
                <w:color w:val="0626A9"/>
                <w:w w:val="90"/>
              </w:rPr>
              <w:t>n</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4980" w:type="dxa"/>
            <w:vAlign w:val="bottom"/>
            <w:gridSpan w:val="2"/>
          </w:tcPr>
          <w:p>
            <w:pPr>
              <w:spacing w:after="0"/>
              <w:rPr>
                <w:sz w:val="6"/>
                <w:szCs w:val="6"/>
                <w:color w:val="auto"/>
              </w:rPr>
            </w:pPr>
          </w:p>
        </w:tc>
        <w:tc>
          <w:tcPr>
            <w:tcW w:w="9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4980" w:type="dxa"/>
            <w:vAlign w:val="bottom"/>
            <w:gridSpan w:val="2"/>
            <w:shd w:val="clear" w:color="auto" w:fill="EDF0FC"/>
          </w:tcPr>
          <w:p>
            <w:pPr>
              <w:ind w:left="20"/>
              <w:spacing w:after="0" w:line="148" w:lineRule="exact"/>
              <w:rPr>
                <w:sz w:val="20"/>
                <w:szCs w:val="20"/>
                <w:color w:val="auto"/>
              </w:rPr>
            </w:pPr>
            <w:r>
              <w:rPr>
                <w:rFonts w:ascii="Arial" w:cs="Arial" w:eastAsia="Arial" w:hAnsi="Arial"/>
                <w:sz w:val="16"/>
                <w:szCs w:val="16"/>
                <w:b w:val="1"/>
                <w:bCs w:val="1"/>
                <w:color w:val="1A3FD6"/>
              </w:rPr>
              <w:t>Linda H. Riefler</w:t>
            </w:r>
          </w:p>
        </w:tc>
        <w:tc>
          <w:tcPr>
            <w:tcW w:w="980" w:type="dxa"/>
            <w:vAlign w:val="bottom"/>
            <w:shd w:val="clear" w:color="auto" w:fill="EDF0FC"/>
          </w:tcPr>
          <w:p>
            <w:pPr>
              <w:spacing w:after="0"/>
              <w:rPr>
                <w:sz w:val="12"/>
                <w:szCs w:val="12"/>
                <w:color w:val="auto"/>
              </w:rPr>
            </w:pPr>
          </w:p>
        </w:tc>
        <w:tc>
          <w:tcPr>
            <w:tcW w:w="580" w:type="dxa"/>
            <w:vAlign w:val="bottom"/>
            <w:shd w:val="clear" w:color="auto" w:fill="EDF0FC"/>
          </w:tcPr>
          <w:p>
            <w:pPr>
              <w:spacing w:after="0"/>
              <w:rPr>
                <w:sz w:val="12"/>
                <w:szCs w:val="12"/>
                <w:color w:val="auto"/>
              </w:rPr>
            </w:pPr>
          </w:p>
        </w:tc>
        <w:tc>
          <w:tcPr>
            <w:tcW w:w="780" w:type="dxa"/>
            <w:vAlign w:val="bottom"/>
            <w:vMerge w:val="restart"/>
            <w:shd w:val="clear" w:color="auto" w:fill="EDF0FC"/>
          </w:tcPr>
          <w:p>
            <w:pPr>
              <w:jc w:val="center"/>
              <w:spacing w:after="0"/>
              <w:rPr>
                <w:sz w:val="20"/>
                <w:szCs w:val="20"/>
                <w:color w:val="auto"/>
              </w:rPr>
            </w:pPr>
            <w:r>
              <w:rPr>
                <w:rFonts w:ascii="Webdings" w:cs="Webdings" w:eastAsia="Webdings" w:hAnsi="Webdings"/>
                <w:sz w:val="11"/>
                <w:szCs w:val="11"/>
                <w:b w:val="1"/>
                <w:bCs w:val="1"/>
                <w:color w:val="7188EF"/>
                <w:w w:val="90"/>
              </w:rPr>
              <w:t>n</w:t>
            </w:r>
          </w:p>
        </w:tc>
        <w:tc>
          <w:tcPr>
            <w:tcW w:w="780" w:type="dxa"/>
            <w:vAlign w:val="bottom"/>
            <w:vMerge w:val="restart"/>
            <w:shd w:val="clear" w:color="auto" w:fill="EDF0FC"/>
          </w:tcPr>
          <w:p>
            <w:pPr>
              <w:jc w:val="center"/>
              <w:spacing w:after="0"/>
              <w:rPr>
                <w:sz w:val="20"/>
                <w:szCs w:val="20"/>
                <w:color w:val="auto"/>
              </w:rPr>
            </w:pPr>
            <w:r>
              <w:rPr>
                <w:rFonts w:ascii="Webdings" w:cs="Webdings" w:eastAsia="Webdings" w:hAnsi="Webdings"/>
                <w:sz w:val="11"/>
                <w:szCs w:val="11"/>
                <w:b w:val="1"/>
                <w:bCs w:val="1"/>
                <w:color w:val="7188EF"/>
              </w:rPr>
              <w:t>n</w:t>
            </w:r>
          </w:p>
        </w:tc>
        <w:tc>
          <w:tcPr>
            <w:tcW w:w="800" w:type="dxa"/>
            <w:vAlign w:val="bottom"/>
            <w:vMerge w:val="restart"/>
            <w:shd w:val="clear" w:color="auto" w:fill="EDF0FC"/>
          </w:tcPr>
          <w:p>
            <w:pPr>
              <w:jc w:val="center"/>
              <w:spacing w:after="0"/>
              <w:rPr>
                <w:sz w:val="20"/>
                <w:szCs w:val="20"/>
                <w:color w:val="auto"/>
              </w:rPr>
            </w:pPr>
            <w:r>
              <w:rPr>
                <w:rFonts w:ascii="Webdings" w:cs="Webdings" w:eastAsia="Webdings" w:hAnsi="Webdings"/>
                <w:sz w:val="11"/>
                <w:szCs w:val="11"/>
                <w:b w:val="1"/>
                <w:bCs w:val="1"/>
                <w:color w:val="0626A9"/>
              </w:rPr>
              <w:t>n</w:t>
            </w:r>
          </w:p>
        </w:tc>
        <w:tc>
          <w:tcPr>
            <w:tcW w:w="780" w:type="dxa"/>
            <w:vAlign w:val="bottom"/>
            <w:vMerge w:val="restart"/>
            <w:shd w:val="clear" w:color="auto" w:fill="EDF0FC"/>
          </w:tcPr>
          <w:p>
            <w:pPr>
              <w:jc w:val="center"/>
              <w:spacing w:after="0"/>
              <w:rPr>
                <w:sz w:val="20"/>
                <w:szCs w:val="20"/>
                <w:color w:val="auto"/>
              </w:rPr>
            </w:pPr>
            <w:r>
              <w:rPr>
                <w:rFonts w:ascii="Webdings" w:cs="Webdings" w:eastAsia="Webdings" w:hAnsi="Webdings"/>
                <w:sz w:val="11"/>
                <w:szCs w:val="11"/>
                <w:b w:val="1"/>
                <w:bCs w:val="1"/>
                <w:color w:val="0626A9"/>
              </w:rPr>
              <w:t>n</w:t>
            </w:r>
          </w:p>
        </w:tc>
        <w:tc>
          <w:tcPr>
            <w:tcW w:w="780" w:type="dxa"/>
            <w:vAlign w:val="bottom"/>
            <w:shd w:val="clear" w:color="auto" w:fill="EDF0FC"/>
          </w:tcPr>
          <w:p>
            <w:pPr>
              <w:spacing w:after="0"/>
              <w:rPr>
                <w:sz w:val="12"/>
                <w:szCs w:val="12"/>
                <w:color w:val="auto"/>
              </w:rPr>
            </w:pPr>
          </w:p>
        </w:tc>
        <w:tc>
          <w:tcPr>
            <w:tcW w:w="780" w:type="dxa"/>
            <w:vAlign w:val="bottom"/>
            <w:shd w:val="clear" w:color="auto" w:fill="ED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EDF0FC"/>
          </w:tcPr>
          <w:p>
            <w:pPr>
              <w:spacing w:after="0" w:line="20" w:lineRule="exact"/>
              <w:rPr>
                <w:sz w:val="1"/>
                <w:szCs w:val="1"/>
                <w:color w:val="auto"/>
              </w:rPr>
            </w:pPr>
          </w:p>
        </w:tc>
        <w:tc>
          <w:tcPr>
            <w:tcW w:w="4140" w:type="dxa"/>
            <w:vAlign w:val="bottom"/>
            <w:shd w:val="clear" w:color="auto" w:fill="EDF0FC"/>
          </w:tcPr>
          <w:p>
            <w:pPr>
              <w:spacing w:after="0" w:line="20" w:lineRule="exact"/>
              <w:rPr>
                <w:sz w:val="1"/>
                <w:szCs w:val="1"/>
                <w:color w:val="auto"/>
              </w:rPr>
            </w:pPr>
          </w:p>
        </w:tc>
        <w:tc>
          <w:tcPr>
            <w:tcW w:w="980" w:type="dxa"/>
            <w:vAlign w:val="bottom"/>
            <w:shd w:val="clear" w:color="auto" w:fill="EDF0FC"/>
          </w:tcPr>
          <w:p>
            <w:pPr>
              <w:spacing w:after="0" w:line="20" w:lineRule="exact"/>
              <w:rPr>
                <w:sz w:val="1"/>
                <w:szCs w:val="1"/>
                <w:color w:val="auto"/>
              </w:rPr>
            </w:pPr>
          </w:p>
        </w:tc>
        <w:tc>
          <w:tcPr>
            <w:tcW w:w="580" w:type="dxa"/>
            <w:vAlign w:val="bottom"/>
            <w:shd w:val="clear" w:color="auto" w:fill="EDF0FC"/>
          </w:tcPr>
          <w:p>
            <w:pPr>
              <w:spacing w:after="0" w:line="20" w:lineRule="exact"/>
              <w:rPr>
                <w:sz w:val="1"/>
                <w:szCs w:val="1"/>
                <w:color w:val="auto"/>
              </w:rPr>
            </w:pPr>
          </w:p>
        </w:tc>
        <w:tc>
          <w:tcPr>
            <w:tcW w:w="780" w:type="dxa"/>
            <w:vAlign w:val="bottom"/>
            <w:vMerge w:val="continue"/>
            <w:shd w:val="clear" w:color="auto" w:fill="EDF0FC"/>
          </w:tcPr>
          <w:p>
            <w:pPr>
              <w:spacing w:after="0" w:line="20" w:lineRule="exact"/>
              <w:rPr>
                <w:sz w:val="1"/>
                <w:szCs w:val="1"/>
                <w:color w:val="auto"/>
              </w:rPr>
            </w:pPr>
          </w:p>
        </w:tc>
        <w:tc>
          <w:tcPr>
            <w:tcW w:w="780" w:type="dxa"/>
            <w:vAlign w:val="bottom"/>
            <w:vMerge w:val="continue"/>
            <w:shd w:val="clear" w:color="auto" w:fill="EDF0FC"/>
          </w:tcPr>
          <w:p>
            <w:pPr>
              <w:spacing w:after="0" w:line="20" w:lineRule="exact"/>
              <w:rPr>
                <w:sz w:val="1"/>
                <w:szCs w:val="1"/>
                <w:color w:val="auto"/>
              </w:rPr>
            </w:pPr>
          </w:p>
        </w:tc>
        <w:tc>
          <w:tcPr>
            <w:tcW w:w="800" w:type="dxa"/>
            <w:vAlign w:val="bottom"/>
            <w:vMerge w:val="continue"/>
            <w:shd w:val="clear" w:color="auto" w:fill="EDF0FC"/>
          </w:tcPr>
          <w:p>
            <w:pPr>
              <w:spacing w:after="0" w:line="20" w:lineRule="exact"/>
              <w:rPr>
                <w:sz w:val="1"/>
                <w:szCs w:val="1"/>
                <w:color w:val="auto"/>
              </w:rPr>
            </w:pPr>
          </w:p>
        </w:tc>
        <w:tc>
          <w:tcPr>
            <w:tcW w:w="780" w:type="dxa"/>
            <w:vAlign w:val="bottom"/>
            <w:vMerge w:val="continue"/>
            <w:shd w:val="clear" w:color="auto" w:fill="EDF0FC"/>
          </w:tcPr>
          <w:p>
            <w:pPr>
              <w:spacing w:after="0" w:line="20" w:lineRule="exact"/>
              <w:rPr>
                <w:sz w:val="1"/>
                <w:szCs w:val="1"/>
                <w:color w:val="auto"/>
              </w:rPr>
            </w:pPr>
          </w:p>
        </w:tc>
        <w:tc>
          <w:tcPr>
            <w:tcW w:w="780" w:type="dxa"/>
            <w:vAlign w:val="bottom"/>
            <w:shd w:val="clear" w:color="auto" w:fill="EDF0FC"/>
          </w:tcPr>
          <w:p>
            <w:pPr>
              <w:spacing w:after="0" w:line="20" w:lineRule="exact"/>
              <w:rPr>
                <w:sz w:val="1"/>
                <w:szCs w:val="1"/>
                <w:color w:val="auto"/>
              </w:rPr>
            </w:pPr>
          </w:p>
        </w:tc>
        <w:tc>
          <w:tcPr>
            <w:tcW w:w="780" w:type="dxa"/>
            <w:vAlign w:val="bottom"/>
            <w:shd w:val="clear" w:color="auto" w:fill="ED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840" w:type="dxa"/>
            <w:vAlign w:val="bottom"/>
            <w:shd w:val="clear" w:color="auto" w:fill="EDF0FC"/>
          </w:tcPr>
          <w:p>
            <w:pPr>
              <w:spacing w:after="0"/>
              <w:rPr>
                <w:sz w:val="6"/>
                <w:szCs w:val="6"/>
                <w:color w:val="auto"/>
              </w:rPr>
            </w:pPr>
          </w:p>
        </w:tc>
        <w:tc>
          <w:tcPr>
            <w:tcW w:w="4140" w:type="dxa"/>
            <w:vAlign w:val="bottom"/>
            <w:shd w:val="clear" w:color="auto" w:fill="EDF0FC"/>
          </w:tcPr>
          <w:p>
            <w:pPr>
              <w:spacing w:after="0"/>
              <w:rPr>
                <w:sz w:val="6"/>
                <w:szCs w:val="6"/>
                <w:color w:val="auto"/>
              </w:rPr>
            </w:pPr>
          </w:p>
        </w:tc>
        <w:tc>
          <w:tcPr>
            <w:tcW w:w="980" w:type="dxa"/>
            <w:vAlign w:val="bottom"/>
            <w:shd w:val="clear" w:color="auto" w:fill="EDF0FC"/>
          </w:tcPr>
          <w:p>
            <w:pPr>
              <w:spacing w:after="0"/>
              <w:rPr>
                <w:sz w:val="6"/>
                <w:szCs w:val="6"/>
                <w:color w:val="auto"/>
              </w:rPr>
            </w:pPr>
          </w:p>
        </w:tc>
        <w:tc>
          <w:tcPr>
            <w:tcW w:w="580" w:type="dxa"/>
            <w:vAlign w:val="bottom"/>
            <w:shd w:val="clear" w:color="auto" w:fill="EDF0FC"/>
          </w:tcPr>
          <w:p>
            <w:pPr>
              <w:spacing w:after="0"/>
              <w:rPr>
                <w:sz w:val="6"/>
                <w:szCs w:val="6"/>
                <w:color w:val="auto"/>
              </w:rPr>
            </w:pPr>
          </w:p>
        </w:tc>
        <w:tc>
          <w:tcPr>
            <w:tcW w:w="780" w:type="dxa"/>
            <w:vAlign w:val="bottom"/>
            <w:shd w:val="clear" w:color="auto" w:fill="EDF0FC"/>
          </w:tcPr>
          <w:p>
            <w:pPr>
              <w:spacing w:after="0"/>
              <w:rPr>
                <w:sz w:val="6"/>
                <w:szCs w:val="6"/>
                <w:color w:val="auto"/>
              </w:rPr>
            </w:pPr>
          </w:p>
        </w:tc>
        <w:tc>
          <w:tcPr>
            <w:tcW w:w="780" w:type="dxa"/>
            <w:vAlign w:val="bottom"/>
            <w:shd w:val="clear" w:color="auto" w:fill="EDF0FC"/>
          </w:tcPr>
          <w:p>
            <w:pPr>
              <w:spacing w:after="0"/>
              <w:rPr>
                <w:sz w:val="6"/>
                <w:szCs w:val="6"/>
                <w:color w:val="auto"/>
              </w:rPr>
            </w:pPr>
          </w:p>
        </w:tc>
        <w:tc>
          <w:tcPr>
            <w:tcW w:w="800" w:type="dxa"/>
            <w:vAlign w:val="bottom"/>
            <w:shd w:val="clear" w:color="auto" w:fill="EDF0FC"/>
          </w:tcPr>
          <w:p>
            <w:pPr>
              <w:spacing w:after="0"/>
              <w:rPr>
                <w:sz w:val="6"/>
                <w:szCs w:val="6"/>
                <w:color w:val="auto"/>
              </w:rPr>
            </w:pPr>
          </w:p>
        </w:tc>
        <w:tc>
          <w:tcPr>
            <w:tcW w:w="780" w:type="dxa"/>
            <w:vAlign w:val="bottom"/>
            <w:shd w:val="clear" w:color="auto" w:fill="EDF0FC"/>
          </w:tcPr>
          <w:p>
            <w:pPr>
              <w:spacing w:after="0"/>
              <w:rPr>
                <w:sz w:val="6"/>
                <w:szCs w:val="6"/>
                <w:color w:val="auto"/>
              </w:rPr>
            </w:pPr>
          </w:p>
        </w:tc>
        <w:tc>
          <w:tcPr>
            <w:tcW w:w="780" w:type="dxa"/>
            <w:vAlign w:val="bottom"/>
            <w:shd w:val="clear" w:color="auto" w:fill="EDF0FC"/>
          </w:tcPr>
          <w:p>
            <w:pPr>
              <w:spacing w:after="0"/>
              <w:rPr>
                <w:sz w:val="6"/>
                <w:szCs w:val="6"/>
                <w:color w:val="auto"/>
              </w:rPr>
            </w:pPr>
          </w:p>
        </w:tc>
        <w:tc>
          <w:tcPr>
            <w:tcW w:w="780" w:type="dxa"/>
            <w:vAlign w:val="bottom"/>
            <w:shd w:val="clear" w:color="auto" w:fill="EDF0FC"/>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4140" w:type="dxa"/>
            <w:vAlign w:val="bottom"/>
          </w:tcPr>
          <w:p>
            <w:pPr>
              <w:jc w:val="right"/>
              <w:ind w:right="3707"/>
              <w:spacing w:after="0"/>
              <w:rPr>
                <w:sz w:val="20"/>
                <w:szCs w:val="20"/>
                <w:color w:val="auto"/>
              </w:rPr>
            </w:pPr>
            <w:r>
              <w:rPr>
                <w:rFonts w:ascii="Arial" w:cs="Arial" w:eastAsia="Arial" w:hAnsi="Arial"/>
                <w:sz w:val="11"/>
                <w:szCs w:val="11"/>
                <w:b w:val="1"/>
                <w:bCs w:val="1"/>
                <w:color w:val="1A3FD6"/>
              </w:rPr>
              <w:t>(2)</w:t>
            </w:r>
          </w:p>
        </w:tc>
        <w:tc>
          <w:tcPr>
            <w:tcW w:w="980" w:type="dxa"/>
            <w:vAlign w:val="bottom"/>
          </w:tcPr>
          <w:p>
            <w:pPr>
              <w:jc w:val="center"/>
              <w:ind w:right="140"/>
              <w:spacing w:after="0"/>
              <w:rPr>
                <w:sz w:val="20"/>
                <w:szCs w:val="20"/>
                <w:color w:val="auto"/>
              </w:rPr>
            </w:pPr>
            <w:r>
              <w:rPr>
                <w:rFonts w:ascii="Webdings" w:cs="Webdings" w:eastAsia="Webdings" w:hAnsi="Webdings"/>
                <w:sz w:val="11"/>
                <w:szCs w:val="11"/>
                <w:b w:val="1"/>
                <w:bCs w:val="1"/>
                <w:color w:val="7188EF"/>
                <w:w w:val="90"/>
              </w:rPr>
              <w:t>n</w:t>
            </w: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Webdings" w:cs="Webdings" w:eastAsia="Webdings" w:hAnsi="Webdings"/>
                <w:sz w:val="11"/>
                <w:szCs w:val="11"/>
                <w:b w:val="1"/>
                <w:bCs w:val="1"/>
                <w:color w:val="7188EF"/>
                <w:w w:val="90"/>
              </w:rPr>
              <w:t>n</w:t>
            </w:r>
          </w:p>
        </w:tc>
        <w:tc>
          <w:tcPr>
            <w:tcW w:w="0" w:type="dxa"/>
            <w:vAlign w:val="bottom"/>
          </w:tcPr>
          <w:p>
            <w:pPr>
              <w:spacing w:after="0"/>
              <w:rPr>
                <w:sz w:val="1"/>
                <w:szCs w:val="1"/>
                <w:color w:val="auto"/>
              </w:rPr>
            </w:pPr>
          </w:p>
        </w:tc>
      </w:tr>
      <w:tr>
        <w:trPr>
          <w:trHeight w:val="94"/>
        </w:trPr>
        <w:tc>
          <w:tcPr>
            <w:tcW w:w="4980" w:type="dxa"/>
            <w:vAlign w:val="bottom"/>
            <w:gridSpan w:val="2"/>
          </w:tcPr>
          <w:p>
            <w:pPr>
              <w:ind w:left="20"/>
              <w:spacing w:after="0" w:line="95" w:lineRule="exact"/>
              <w:rPr>
                <w:sz w:val="20"/>
                <w:szCs w:val="20"/>
                <w:color w:val="auto"/>
              </w:rPr>
            </w:pPr>
            <w:r>
              <w:rPr>
                <w:rFonts w:ascii="Arial" w:cs="Arial" w:eastAsia="Arial" w:hAnsi="Arial"/>
                <w:sz w:val="10"/>
                <w:szCs w:val="10"/>
                <w:b w:val="1"/>
                <w:bCs w:val="1"/>
                <w:color w:val="1A3FD6"/>
              </w:rPr>
              <w:t>Michelle Seitz</w:t>
            </w: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980" w:type="dxa"/>
            <w:vAlign w:val="bottom"/>
            <w:gridSpan w:val="2"/>
            <w:shd w:val="clear" w:color="auto" w:fill="EDF0FC"/>
          </w:tcPr>
          <w:p>
            <w:pPr>
              <w:ind w:left="20"/>
              <w:spacing w:after="0" w:line="148" w:lineRule="exact"/>
              <w:rPr>
                <w:sz w:val="20"/>
                <w:szCs w:val="20"/>
                <w:color w:val="auto"/>
              </w:rPr>
            </w:pPr>
            <w:r>
              <w:rPr>
                <w:rFonts w:ascii="Arial" w:cs="Arial" w:eastAsia="Arial" w:hAnsi="Arial"/>
                <w:sz w:val="16"/>
                <w:szCs w:val="16"/>
                <w:b w:val="1"/>
                <w:bCs w:val="1"/>
                <w:color w:val="1A3FD6"/>
              </w:rPr>
              <w:t>Marcus L. Smith</w:t>
            </w:r>
          </w:p>
        </w:tc>
        <w:tc>
          <w:tcPr>
            <w:tcW w:w="980" w:type="dxa"/>
            <w:vAlign w:val="bottom"/>
            <w:vMerge w:val="restart"/>
            <w:shd w:val="clear" w:color="auto" w:fill="EDF0FC"/>
          </w:tcPr>
          <w:p>
            <w:pPr>
              <w:jc w:val="center"/>
              <w:ind w:right="140"/>
              <w:spacing w:after="0"/>
              <w:rPr>
                <w:sz w:val="20"/>
                <w:szCs w:val="20"/>
                <w:color w:val="auto"/>
              </w:rPr>
            </w:pPr>
            <w:r>
              <w:rPr>
                <w:rFonts w:ascii="Webdings" w:cs="Webdings" w:eastAsia="Webdings" w:hAnsi="Webdings"/>
                <w:sz w:val="11"/>
                <w:szCs w:val="11"/>
                <w:b w:val="1"/>
                <w:bCs w:val="1"/>
                <w:color w:val="0626A9"/>
                <w:w w:val="90"/>
              </w:rPr>
              <w:t>n</w:t>
            </w:r>
          </w:p>
        </w:tc>
        <w:tc>
          <w:tcPr>
            <w:tcW w:w="580" w:type="dxa"/>
            <w:vAlign w:val="bottom"/>
            <w:vMerge w:val="restart"/>
            <w:shd w:val="clear" w:color="auto" w:fill="EDF0FC"/>
          </w:tcPr>
          <w:p>
            <w:pPr>
              <w:jc w:val="center"/>
              <w:ind w:right="143"/>
              <w:spacing w:after="0"/>
              <w:rPr>
                <w:sz w:val="20"/>
                <w:szCs w:val="20"/>
                <w:color w:val="auto"/>
              </w:rPr>
            </w:pPr>
            <w:r>
              <w:rPr>
                <w:rFonts w:ascii="Webdings" w:cs="Webdings" w:eastAsia="Webdings" w:hAnsi="Webdings"/>
                <w:sz w:val="11"/>
                <w:szCs w:val="11"/>
                <w:b w:val="1"/>
                <w:bCs w:val="1"/>
                <w:color w:val="0626A9"/>
                <w:w w:val="90"/>
              </w:rPr>
              <w:t>n</w:t>
            </w:r>
          </w:p>
        </w:tc>
        <w:tc>
          <w:tcPr>
            <w:tcW w:w="780" w:type="dxa"/>
            <w:vAlign w:val="bottom"/>
            <w:shd w:val="clear" w:color="auto" w:fill="EDF0FC"/>
          </w:tcPr>
          <w:p>
            <w:pPr>
              <w:spacing w:after="0"/>
              <w:rPr>
                <w:sz w:val="12"/>
                <w:szCs w:val="12"/>
                <w:color w:val="auto"/>
              </w:rPr>
            </w:pPr>
          </w:p>
        </w:tc>
        <w:tc>
          <w:tcPr>
            <w:tcW w:w="780" w:type="dxa"/>
            <w:vAlign w:val="bottom"/>
            <w:shd w:val="clear" w:color="auto" w:fill="EDF0FC"/>
          </w:tcPr>
          <w:p>
            <w:pPr>
              <w:spacing w:after="0"/>
              <w:rPr>
                <w:sz w:val="12"/>
                <w:szCs w:val="12"/>
                <w:color w:val="auto"/>
              </w:rPr>
            </w:pPr>
          </w:p>
        </w:tc>
        <w:tc>
          <w:tcPr>
            <w:tcW w:w="800" w:type="dxa"/>
            <w:vAlign w:val="bottom"/>
            <w:shd w:val="clear" w:color="auto" w:fill="EDF0FC"/>
          </w:tcPr>
          <w:p>
            <w:pPr>
              <w:spacing w:after="0"/>
              <w:rPr>
                <w:sz w:val="12"/>
                <w:szCs w:val="12"/>
                <w:color w:val="auto"/>
              </w:rPr>
            </w:pPr>
          </w:p>
        </w:tc>
        <w:tc>
          <w:tcPr>
            <w:tcW w:w="780" w:type="dxa"/>
            <w:vAlign w:val="bottom"/>
            <w:shd w:val="clear" w:color="auto" w:fill="EDF0FC"/>
          </w:tcPr>
          <w:p>
            <w:pPr>
              <w:spacing w:after="0"/>
              <w:rPr>
                <w:sz w:val="12"/>
                <w:szCs w:val="12"/>
                <w:color w:val="auto"/>
              </w:rPr>
            </w:pPr>
          </w:p>
        </w:tc>
        <w:tc>
          <w:tcPr>
            <w:tcW w:w="780" w:type="dxa"/>
            <w:vAlign w:val="bottom"/>
            <w:vMerge w:val="restart"/>
            <w:shd w:val="clear" w:color="auto" w:fill="EDF0FC"/>
          </w:tcPr>
          <w:p>
            <w:pPr>
              <w:jc w:val="center"/>
              <w:spacing w:after="0"/>
              <w:rPr>
                <w:sz w:val="20"/>
                <w:szCs w:val="20"/>
                <w:color w:val="auto"/>
              </w:rPr>
            </w:pPr>
            <w:r>
              <w:rPr>
                <w:rFonts w:ascii="Webdings" w:cs="Webdings" w:eastAsia="Webdings" w:hAnsi="Webdings"/>
                <w:sz w:val="11"/>
                <w:szCs w:val="11"/>
                <w:b w:val="1"/>
                <w:bCs w:val="1"/>
                <w:color w:val="7188EF"/>
                <w:w w:val="90"/>
              </w:rPr>
              <w:t>n</w:t>
            </w:r>
          </w:p>
        </w:tc>
        <w:tc>
          <w:tcPr>
            <w:tcW w:w="780" w:type="dxa"/>
            <w:vAlign w:val="bottom"/>
            <w:vMerge w:val="restart"/>
            <w:shd w:val="clear" w:color="auto" w:fill="EDF0FC"/>
          </w:tcPr>
          <w:p>
            <w:pPr>
              <w:jc w:val="center"/>
              <w:spacing w:after="0"/>
              <w:rPr>
                <w:sz w:val="20"/>
                <w:szCs w:val="20"/>
                <w:color w:val="auto"/>
              </w:rPr>
            </w:pPr>
            <w:r>
              <w:rPr>
                <w:rFonts w:ascii="Webdings" w:cs="Webdings" w:eastAsia="Webdings" w:hAnsi="Webdings"/>
                <w:sz w:val="11"/>
                <w:szCs w:val="11"/>
                <w:b w:val="1"/>
                <w:bCs w:val="1"/>
                <w:color w:val="7188EF"/>
                <w:w w:val="90"/>
              </w:rPr>
              <w:t>n</w:t>
            </w:r>
          </w:p>
        </w:tc>
        <w:tc>
          <w:tcPr>
            <w:tcW w:w="0" w:type="dxa"/>
            <w:vAlign w:val="bottom"/>
          </w:tcPr>
          <w:p>
            <w:pPr>
              <w:spacing w:after="0"/>
              <w:rPr>
                <w:sz w:val="1"/>
                <w:szCs w:val="1"/>
                <w:color w:val="auto"/>
              </w:rPr>
            </w:pPr>
          </w:p>
        </w:tc>
      </w:tr>
      <w:tr>
        <w:trPr>
          <w:trHeight w:val="20"/>
        </w:trPr>
        <w:tc>
          <w:tcPr>
            <w:tcW w:w="840" w:type="dxa"/>
            <w:vAlign w:val="bottom"/>
            <w:shd w:val="clear" w:color="auto" w:fill="EDF0FC"/>
          </w:tcPr>
          <w:p>
            <w:pPr>
              <w:spacing w:after="0" w:line="20" w:lineRule="exact"/>
              <w:rPr>
                <w:sz w:val="1"/>
                <w:szCs w:val="1"/>
                <w:color w:val="auto"/>
              </w:rPr>
            </w:pPr>
          </w:p>
        </w:tc>
        <w:tc>
          <w:tcPr>
            <w:tcW w:w="4140" w:type="dxa"/>
            <w:vAlign w:val="bottom"/>
            <w:shd w:val="clear" w:color="auto" w:fill="EDF0FC"/>
          </w:tcPr>
          <w:p>
            <w:pPr>
              <w:spacing w:after="0" w:line="20" w:lineRule="exact"/>
              <w:rPr>
                <w:sz w:val="1"/>
                <w:szCs w:val="1"/>
                <w:color w:val="auto"/>
              </w:rPr>
            </w:pPr>
          </w:p>
        </w:tc>
        <w:tc>
          <w:tcPr>
            <w:tcW w:w="980" w:type="dxa"/>
            <w:vAlign w:val="bottom"/>
            <w:vMerge w:val="continue"/>
            <w:shd w:val="clear" w:color="auto" w:fill="EDF0FC"/>
          </w:tcPr>
          <w:p>
            <w:pPr>
              <w:spacing w:after="0" w:line="20" w:lineRule="exact"/>
              <w:rPr>
                <w:sz w:val="1"/>
                <w:szCs w:val="1"/>
                <w:color w:val="auto"/>
              </w:rPr>
            </w:pPr>
          </w:p>
        </w:tc>
        <w:tc>
          <w:tcPr>
            <w:tcW w:w="580" w:type="dxa"/>
            <w:vAlign w:val="bottom"/>
            <w:vMerge w:val="continue"/>
            <w:shd w:val="clear" w:color="auto" w:fill="EDF0FC"/>
          </w:tcPr>
          <w:p>
            <w:pPr>
              <w:spacing w:after="0" w:line="20" w:lineRule="exact"/>
              <w:rPr>
                <w:sz w:val="1"/>
                <w:szCs w:val="1"/>
                <w:color w:val="auto"/>
              </w:rPr>
            </w:pPr>
          </w:p>
        </w:tc>
        <w:tc>
          <w:tcPr>
            <w:tcW w:w="780" w:type="dxa"/>
            <w:vAlign w:val="bottom"/>
            <w:shd w:val="clear" w:color="auto" w:fill="EDF0FC"/>
          </w:tcPr>
          <w:p>
            <w:pPr>
              <w:spacing w:after="0" w:line="20" w:lineRule="exact"/>
              <w:rPr>
                <w:sz w:val="1"/>
                <w:szCs w:val="1"/>
                <w:color w:val="auto"/>
              </w:rPr>
            </w:pPr>
          </w:p>
        </w:tc>
        <w:tc>
          <w:tcPr>
            <w:tcW w:w="780" w:type="dxa"/>
            <w:vAlign w:val="bottom"/>
            <w:shd w:val="clear" w:color="auto" w:fill="EDF0FC"/>
          </w:tcPr>
          <w:p>
            <w:pPr>
              <w:spacing w:after="0" w:line="20" w:lineRule="exact"/>
              <w:rPr>
                <w:sz w:val="1"/>
                <w:szCs w:val="1"/>
                <w:color w:val="auto"/>
              </w:rPr>
            </w:pPr>
          </w:p>
        </w:tc>
        <w:tc>
          <w:tcPr>
            <w:tcW w:w="800" w:type="dxa"/>
            <w:vAlign w:val="bottom"/>
            <w:shd w:val="clear" w:color="auto" w:fill="EDF0FC"/>
          </w:tcPr>
          <w:p>
            <w:pPr>
              <w:spacing w:after="0" w:line="20" w:lineRule="exact"/>
              <w:rPr>
                <w:sz w:val="1"/>
                <w:szCs w:val="1"/>
                <w:color w:val="auto"/>
              </w:rPr>
            </w:pPr>
          </w:p>
        </w:tc>
        <w:tc>
          <w:tcPr>
            <w:tcW w:w="780" w:type="dxa"/>
            <w:vAlign w:val="bottom"/>
            <w:shd w:val="clear" w:color="auto" w:fill="EDF0FC"/>
          </w:tcPr>
          <w:p>
            <w:pPr>
              <w:spacing w:after="0" w:line="20" w:lineRule="exact"/>
              <w:rPr>
                <w:sz w:val="1"/>
                <w:szCs w:val="1"/>
                <w:color w:val="auto"/>
              </w:rPr>
            </w:pPr>
          </w:p>
        </w:tc>
        <w:tc>
          <w:tcPr>
            <w:tcW w:w="780" w:type="dxa"/>
            <w:vAlign w:val="bottom"/>
            <w:vMerge w:val="continue"/>
            <w:shd w:val="clear" w:color="auto" w:fill="EDF0FC"/>
          </w:tcPr>
          <w:p>
            <w:pPr>
              <w:spacing w:after="0" w:line="20" w:lineRule="exact"/>
              <w:rPr>
                <w:sz w:val="1"/>
                <w:szCs w:val="1"/>
                <w:color w:val="auto"/>
              </w:rPr>
            </w:pPr>
          </w:p>
        </w:tc>
        <w:tc>
          <w:tcPr>
            <w:tcW w:w="780" w:type="dxa"/>
            <w:vAlign w:val="bottom"/>
            <w:vMerge w:val="continue"/>
            <w:shd w:val="clear" w:color="auto" w:fill="ED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980" w:type="dxa"/>
            <w:vAlign w:val="bottom"/>
            <w:gridSpan w:val="2"/>
            <w:shd w:val="clear" w:color="auto" w:fill="EDF0FC"/>
          </w:tcPr>
          <w:p>
            <w:pPr>
              <w:spacing w:after="0"/>
              <w:rPr>
                <w:sz w:val="6"/>
                <w:szCs w:val="6"/>
                <w:color w:val="auto"/>
              </w:rPr>
            </w:pPr>
          </w:p>
        </w:tc>
        <w:tc>
          <w:tcPr>
            <w:tcW w:w="980" w:type="dxa"/>
            <w:vAlign w:val="bottom"/>
            <w:shd w:val="clear" w:color="auto" w:fill="EDF0FC"/>
          </w:tcPr>
          <w:p>
            <w:pPr>
              <w:spacing w:after="0"/>
              <w:rPr>
                <w:sz w:val="6"/>
                <w:szCs w:val="6"/>
                <w:color w:val="auto"/>
              </w:rPr>
            </w:pPr>
          </w:p>
        </w:tc>
        <w:tc>
          <w:tcPr>
            <w:tcW w:w="580" w:type="dxa"/>
            <w:vAlign w:val="bottom"/>
            <w:shd w:val="clear" w:color="auto" w:fill="EDF0FC"/>
          </w:tcPr>
          <w:p>
            <w:pPr>
              <w:spacing w:after="0"/>
              <w:rPr>
                <w:sz w:val="6"/>
                <w:szCs w:val="6"/>
                <w:color w:val="auto"/>
              </w:rPr>
            </w:pPr>
          </w:p>
        </w:tc>
        <w:tc>
          <w:tcPr>
            <w:tcW w:w="780" w:type="dxa"/>
            <w:vAlign w:val="bottom"/>
            <w:shd w:val="clear" w:color="auto" w:fill="EDF0FC"/>
          </w:tcPr>
          <w:p>
            <w:pPr>
              <w:spacing w:after="0"/>
              <w:rPr>
                <w:sz w:val="6"/>
                <w:szCs w:val="6"/>
                <w:color w:val="auto"/>
              </w:rPr>
            </w:pPr>
          </w:p>
        </w:tc>
        <w:tc>
          <w:tcPr>
            <w:tcW w:w="780" w:type="dxa"/>
            <w:vAlign w:val="bottom"/>
            <w:shd w:val="clear" w:color="auto" w:fill="EDF0FC"/>
          </w:tcPr>
          <w:p>
            <w:pPr>
              <w:spacing w:after="0"/>
              <w:rPr>
                <w:sz w:val="6"/>
                <w:szCs w:val="6"/>
                <w:color w:val="auto"/>
              </w:rPr>
            </w:pPr>
          </w:p>
        </w:tc>
        <w:tc>
          <w:tcPr>
            <w:tcW w:w="800" w:type="dxa"/>
            <w:vAlign w:val="bottom"/>
            <w:shd w:val="clear" w:color="auto" w:fill="EDF0FC"/>
          </w:tcPr>
          <w:p>
            <w:pPr>
              <w:spacing w:after="0"/>
              <w:rPr>
                <w:sz w:val="6"/>
                <w:szCs w:val="6"/>
                <w:color w:val="auto"/>
              </w:rPr>
            </w:pPr>
          </w:p>
        </w:tc>
        <w:tc>
          <w:tcPr>
            <w:tcW w:w="780" w:type="dxa"/>
            <w:vAlign w:val="bottom"/>
            <w:shd w:val="clear" w:color="auto" w:fill="EDF0FC"/>
          </w:tcPr>
          <w:p>
            <w:pPr>
              <w:spacing w:after="0"/>
              <w:rPr>
                <w:sz w:val="6"/>
                <w:szCs w:val="6"/>
                <w:color w:val="auto"/>
              </w:rPr>
            </w:pPr>
          </w:p>
        </w:tc>
        <w:tc>
          <w:tcPr>
            <w:tcW w:w="780" w:type="dxa"/>
            <w:vAlign w:val="bottom"/>
            <w:shd w:val="clear" w:color="auto" w:fill="EDF0FC"/>
          </w:tcPr>
          <w:p>
            <w:pPr>
              <w:spacing w:after="0"/>
              <w:rPr>
                <w:sz w:val="6"/>
                <w:szCs w:val="6"/>
                <w:color w:val="auto"/>
              </w:rPr>
            </w:pPr>
          </w:p>
        </w:tc>
        <w:tc>
          <w:tcPr>
            <w:tcW w:w="780" w:type="dxa"/>
            <w:vAlign w:val="bottom"/>
            <w:shd w:val="clear" w:color="auto" w:fill="EDF0FC"/>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4980" w:type="dxa"/>
            <w:vAlign w:val="bottom"/>
            <w:gridSpan w:val="2"/>
          </w:tcPr>
          <w:p>
            <w:pPr>
              <w:ind w:left="20"/>
              <w:spacing w:after="0" w:line="148" w:lineRule="exact"/>
              <w:rPr>
                <w:sz w:val="20"/>
                <w:szCs w:val="20"/>
                <w:color w:val="auto"/>
              </w:rPr>
            </w:pPr>
            <w:r>
              <w:rPr>
                <w:rFonts w:ascii="Arial" w:cs="Arial" w:eastAsia="Arial" w:hAnsi="Arial"/>
                <w:sz w:val="16"/>
                <w:szCs w:val="16"/>
                <w:b w:val="1"/>
                <w:bCs w:val="1"/>
                <w:color w:val="1A3FD6"/>
              </w:rPr>
              <w:t>Rajat Taneja</w:t>
            </w:r>
          </w:p>
        </w:tc>
        <w:tc>
          <w:tcPr>
            <w:tcW w:w="980" w:type="dxa"/>
            <w:vAlign w:val="bottom"/>
            <w:vMerge w:val="restart"/>
          </w:tcPr>
          <w:p>
            <w:pPr>
              <w:jc w:val="center"/>
              <w:ind w:right="140"/>
              <w:spacing w:after="0"/>
              <w:rPr>
                <w:sz w:val="20"/>
                <w:szCs w:val="20"/>
                <w:color w:val="auto"/>
              </w:rPr>
            </w:pPr>
            <w:r>
              <w:rPr>
                <w:rFonts w:ascii="Webdings" w:cs="Webdings" w:eastAsia="Webdings" w:hAnsi="Webdings"/>
                <w:sz w:val="11"/>
                <w:szCs w:val="11"/>
                <w:b w:val="1"/>
                <w:bCs w:val="1"/>
                <w:color w:val="7188EF"/>
                <w:w w:val="90"/>
              </w:rPr>
              <w:t>n</w:t>
            </w:r>
          </w:p>
        </w:tc>
        <w:tc>
          <w:tcPr>
            <w:tcW w:w="580" w:type="dxa"/>
            <w:vAlign w:val="bottom"/>
            <w:vMerge w:val="restart"/>
          </w:tcPr>
          <w:p>
            <w:pPr>
              <w:jc w:val="center"/>
              <w:ind w:right="143"/>
              <w:spacing w:after="0"/>
              <w:rPr>
                <w:sz w:val="20"/>
                <w:szCs w:val="20"/>
                <w:color w:val="auto"/>
              </w:rPr>
            </w:pPr>
            <w:r>
              <w:rPr>
                <w:rFonts w:ascii="Webdings" w:cs="Webdings" w:eastAsia="Webdings" w:hAnsi="Webdings"/>
                <w:sz w:val="11"/>
                <w:szCs w:val="11"/>
                <w:b w:val="1"/>
                <w:bCs w:val="1"/>
                <w:color w:val="7188EF"/>
                <w:w w:val="90"/>
              </w:rPr>
              <w:t>n</w:t>
            </w: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4980" w:type="dxa"/>
            <w:vAlign w:val="bottom"/>
            <w:gridSpan w:val="2"/>
          </w:tcPr>
          <w:p>
            <w:pPr>
              <w:spacing w:after="0"/>
              <w:rPr>
                <w:sz w:val="6"/>
                <w:szCs w:val="6"/>
                <w:color w:val="auto"/>
              </w:rPr>
            </w:pPr>
          </w:p>
        </w:tc>
        <w:tc>
          <w:tcPr>
            <w:tcW w:w="9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4980" w:type="dxa"/>
            <w:vAlign w:val="bottom"/>
            <w:gridSpan w:val="2"/>
            <w:shd w:val="clear" w:color="auto" w:fill="EDF0FC"/>
          </w:tcPr>
          <w:p>
            <w:pPr>
              <w:ind w:left="20"/>
              <w:spacing w:after="0" w:line="148" w:lineRule="exact"/>
              <w:rPr>
                <w:sz w:val="20"/>
                <w:szCs w:val="20"/>
                <w:color w:val="auto"/>
              </w:rPr>
            </w:pPr>
            <w:r>
              <w:rPr>
                <w:rFonts w:ascii="Arial" w:cs="Arial" w:eastAsia="Arial" w:hAnsi="Arial"/>
                <w:sz w:val="16"/>
                <w:szCs w:val="16"/>
                <w:b w:val="1"/>
                <w:bCs w:val="1"/>
                <w:color w:val="1A3FD6"/>
              </w:rPr>
              <w:t>Paula Volent</w:t>
            </w:r>
          </w:p>
        </w:tc>
        <w:tc>
          <w:tcPr>
            <w:tcW w:w="980" w:type="dxa"/>
            <w:vAlign w:val="bottom"/>
            <w:shd w:val="clear" w:color="auto" w:fill="EDF0FC"/>
          </w:tcPr>
          <w:p>
            <w:pPr>
              <w:spacing w:after="0"/>
              <w:rPr>
                <w:sz w:val="12"/>
                <w:szCs w:val="12"/>
                <w:color w:val="auto"/>
              </w:rPr>
            </w:pPr>
          </w:p>
        </w:tc>
        <w:tc>
          <w:tcPr>
            <w:tcW w:w="580" w:type="dxa"/>
            <w:vAlign w:val="bottom"/>
            <w:shd w:val="clear" w:color="auto" w:fill="EDF0FC"/>
          </w:tcPr>
          <w:p>
            <w:pPr>
              <w:spacing w:after="0"/>
              <w:rPr>
                <w:sz w:val="12"/>
                <w:szCs w:val="12"/>
                <w:color w:val="auto"/>
              </w:rPr>
            </w:pPr>
          </w:p>
        </w:tc>
        <w:tc>
          <w:tcPr>
            <w:tcW w:w="780" w:type="dxa"/>
            <w:vAlign w:val="bottom"/>
            <w:vMerge w:val="restart"/>
            <w:shd w:val="clear" w:color="auto" w:fill="EDF0FC"/>
          </w:tcPr>
          <w:p>
            <w:pPr>
              <w:jc w:val="center"/>
              <w:spacing w:after="0"/>
              <w:rPr>
                <w:sz w:val="20"/>
                <w:szCs w:val="20"/>
                <w:color w:val="auto"/>
              </w:rPr>
            </w:pPr>
            <w:r>
              <w:rPr>
                <w:rFonts w:ascii="Webdings" w:cs="Webdings" w:eastAsia="Webdings" w:hAnsi="Webdings"/>
                <w:sz w:val="11"/>
                <w:szCs w:val="11"/>
                <w:b w:val="1"/>
                <w:bCs w:val="1"/>
                <w:color w:val="7188EF"/>
                <w:w w:val="90"/>
              </w:rPr>
              <w:t>n</w:t>
            </w:r>
          </w:p>
        </w:tc>
        <w:tc>
          <w:tcPr>
            <w:tcW w:w="780" w:type="dxa"/>
            <w:vAlign w:val="bottom"/>
            <w:vMerge w:val="restart"/>
            <w:shd w:val="clear" w:color="auto" w:fill="EDF0FC"/>
          </w:tcPr>
          <w:p>
            <w:pPr>
              <w:jc w:val="center"/>
              <w:spacing w:after="0"/>
              <w:rPr>
                <w:sz w:val="20"/>
                <w:szCs w:val="20"/>
                <w:color w:val="auto"/>
              </w:rPr>
            </w:pPr>
            <w:r>
              <w:rPr>
                <w:rFonts w:ascii="Webdings" w:cs="Webdings" w:eastAsia="Webdings" w:hAnsi="Webdings"/>
                <w:sz w:val="11"/>
                <w:szCs w:val="11"/>
                <w:b w:val="1"/>
                <w:bCs w:val="1"/>
                <w:color w:val="7188EF"/>
              </w:rPr>
              <w:t>n</w:t>
            </w:r>
          </w:p>
        </w:tc>
        <w:tc>
          <w:tcPr>
            <w:tcW w:w="800" w:type="dxa"/>
            <w:vAlign w:val="bottom"/>
            <w:shd w:val="clear" w:color="auto" w:fill="EDF0FC"/>
          </w:tcPr>
          <w:p>
            <w:pPr>
              <w:spacing w:after="0"/>
              <w:rPr>
                <w:sz w:val="12"/>
                <w:szCs w:val="12"/>
                <w:color w:val="auto"/>
              </w:rPr>
            </w:pPr>
          </w:p>
        </w:tc>
        <w:tc>
          <w:tcPr>
            <w:tcW w:w="780" w:type="dxa"/>
            <w:vAlign w:val="bottom"/>
            <w:shd w:val="clear" w:color="auto" w:fill="EDF0FC"/>
          </w:tcPr>
          <w:p>
            <w:pPr>
              <w:spacing w:after="0"/>
              <w:rPr>
                <w:sz w:val="12"/>
                <w:szCs w:val="12"/>
                <w:color w:val="auto"/>
              </w:rPr>
            </w:pPr>
          </w:p>
        </w:tc>
        <w:tc>
          <w:tcPr>
            <w:tcW w:w="780" w:type="dxa"/>
            <w:vAlign w:val="bottom"/>
            <w:vMerge w:val="restart"/>
            <w:shd w:val="clear" w:color="auto" w:fill="EDF0FC"/>
          </w:tcPr>
          <w:p>
            <w:pPr>
              <w:jc w:val="center"/>
              <w:spacing w:after="0"/>
              <w:rPr>
                <w:sz w:val="20"/>
                <w:szCs w:val="20"/>
                <w:color w:val="auto"/>
              </w:rPr>
            </w:pPr>
            <w:r>
              <w:rPr>
                <w:rFonts w:ascii="Webdings" w:cs="Webdings" w:eastAsia="Webdings" w:hAnsi="Webdings"/>
                <w:sz w:val="11"/>
                <w:szCs w:val="11"/>
                <w:b w:val="1"/>
                <w:bCs w:val="1"/>
                <w:color w:val="7188EF"/>
                <w:w w:val="90"/>
              </w:rPr>
              <w:t>n</w:t>
            </w:r>
          </w:p>
        </w:tc>
        <w:tc>
          <w:tcPr>
            <w:tcW w:w="780" w:type="dxa"/>
            <w:vAlign w:val="bottom"/>
            <w:vMerge w:val="restart"/>
            <w:shd w:val="clear" w:color="auto" w:fill="EDF0FC"/>
          </w:tcPr>
          <w:p>
            <w:pPr>
              <w:jc w:val="center"/>
              <w:spacing w:after="0"/>
              <w:rPr>
                <w:sz w:val="20"/>
                <w:szCs w:val="20"/>
                <w:color w:val="auto"/>
              </w:rPr>
            </w:pPr>
            <w:r>
              <w:rPr>
                <w:rFonts w:ascii="Webdings" w:cs="Webdings" w:eastAsia="Webdings" w:hAnsi="Webdings"/>
                <w:sz w:val="11"/>
                <w:szCs w:val="11"/>
                <w:b w:val="1"/>
                <w:bCs w:val="1"/>
                <w:color w:val="7188EF"/>
                <w:w w:val="90"/>
              </w:rPr>
              <w:t>n</w:t>
            </w:r>
          </w:p>
        </w:tc>
        <w:tc>
          <w:tcPr>
            <w:tcW w:w="0" w:type="dxa"/>
            <w:vAlign w:val="bottom"/>
          </w:tcPr>
          <w:p>
            <w:pPr>
              <w:spacing w:after="0"/>
              <w:rPr>
                <w:sz w:val="1"/>
                <w:szCs w:val="1"/>
                <w:color w:val="auto"/>
              </w:rPr>
            </w:pPr>
          </w:p>
        </w:tc>
      </w:tr>
      <w:tr>
        <w:trPr>
          <w:trHeight w:val="20"/>
        </w:trPr>
        <w:tc>
          <w:tcPr>
            <w:tcW w:w="840" w:type="dxa"/>
            <w:vAlign w:val="bottom"/>
            <w:shd w:val="clear" w:color="auto" w:fill="EDF0FC"/>
          </w:tcPr>
          <w:p>
            <w:pPr>
              <w:spacing w:after="0" w:line="20" w:lineRule="exact"/>
              <w:rPr>
                <w:sz w:val="1"/>
                <w:szCs w:val="1"/>
                <w:color w:val="auto"/>
              </w:rPr>
            </w:pPr>
          </w:p>
        </w:tc>
        <w:tc>
          <w:tcPr>
            <w:tcW w:w="4140" w:type="dxa"/>
            <w:vAlign w:val="bottom"/>
            <w:shd w:val="clear" w:color="auto" w:fill="EDF0FC"/>
          </w:tcPr>
          <w:p>
            <w:pPr>
              <w:spacing w:after="0" w:line="20" w:lineRule="exact"/>
              <w:rPr>
                <w:sz w:val="1"/>
                <w:szCs w:val="1"/>
                <w:color w:val="auto"/>
              </w:rPr>
            </w:pPr>
          </w:p>
        </w:tc>
        <w:tc>
          <w:tcPr>
            <w:tcW w:w="980" w:type="dxa"/>
            <w:vAlign w:val="bottom"/>
            <w:shd w:val="clear" w:color="auto" w:fill="EDF0FC"/>
          </w:tcPr>
          <w:p>
            <w:pPr>
              <w:spacing w:after="0" w:line="20" w:lineRule="exact"/>
              <w:rPr>
                <w:sz w:val="1"/>
                <w:szCs w:val="1"/>
                <w:color w:val="auto"/>
              </w:rPr>
            </w:pPr>
          </w:p>
        </w:tc>
        <w:tc>
          <w:tcPr>
            <w:tcW w:w="580" w:type="dxa"/>
            <w:vAlign w:val="bottom"/>
            <w:shd w:val="clear" w:color="auto" w:fill="EDF0FC"/>
          </w:tcPr>
          <w:p>
            <w:pPr>
              <w:spacing w:after="0" w:line="20" w:lineRule="exact"/>
              <w:rPr>
                <w:sz w:val="1"/>
                <w:szCs w:val="1"/>
                <w:color w:val="auto"/>
              </w:rPr>
            </w:pPr>
          </w:p>
        </w:tc>
        <w:tc>
          <w:tcPr>
            <w:tcW w:w="780" w:type="dxa"/>
            <w:vAlign w:val="bottom"/>
            <w:vMerge w:val="continue"/>
            <w:shd w:val="clear" w:color="auto" w:fill="EDF0FC"/>
          </w:tcPr>
          <w:p>
            <w:pPr>
              <w:spacing w:after="0" w:line="20" w:lineRule="exact"/>
              <w:rPr>
                <w:sz w:val="1"/>
                <w:szCs w:val="1"/>
                <w:color w:val="auto"/>
              </w:rPr>
            </w:pPr>
          </w:p>
        </w:tc>
        <w:tc>
          <w:tcPr>
            <w:tcW w:w="780" w:type="dxa"/>
            <w:vAlign w:val="bottom"/>
            <w:vMerge w:val="continue"/>
            <w:shd w:val="clear" w:color="auto" w:fill="EDF0FC"/>
          </w:tcPr>
          <w:p>
            <w:pPr>
              <w:spacing w:after="0" w:line="20" w:lineRule="exact"/>
              <w:rPr>
                <w:sz w:val="1"/>
                <w:szCs w:val="1"/>
                <w:color w:val="auto"/>
              </w:rPr>
            </w:pPr>
          </w:p>
        </w:tc>
        <w:tc>
          <w:tcPr>
            <w:tcW w:w="800" w:type="dxa"/>
            <w:vAlign w:val="bottom"/>
            <w:shd w:val="clear" w:color="auto" w:fill="EDF0FC"/>
          </w:tcPr>
          <w:p>
            <w:pPr>
              <w:spacing w:after="0" w:line="20" w:lineRule="exact"/>
              <w:rPr>
                <w:sz w:val="1"/>
                <w:szCs w:val="1"/>
                <w:color w:val="auto"/>
              </w:rPr>
            </w:pPr>
          </w:p>
        </w:tc>
        <w:tc>
          <w:tcPr>
            <w:tcW w:w="780" w:type="dxa"/>
            <w:vAlign w:val="bottom"/>
            <w:shd w:val="clear" w:color="auto" w:fill="EDF0FC"/>
          </w:tcPr>
          <w:p>
            <w:pPr>
              <w:spacing w:after="0" w:line="20" w:lineRule="exact"/>
              <w:rPr>
                <w:sz w:val="1"/>
                <w:szCs w:val="1"/>
                <w:color w:val="auto"/>
              </w:rPr>
            </w:pPr>
          </w:p>
        </w:tc>
        <w:tc>
          <w:tcPr>
            <w:tcW w:w="780" w:type="dxa"/>
            <w:vAlign w:val="bottom"/>
            <w:vMerge w:val="continue"/>
            <w:shd w:val="clear" w:color="auto" w:fill="EDF0FC"/>
          </w:tcPr>
          <w:p>
            <w:pPr>
              <w:spacing w:after="0" w:line="20" w:lineRule="exact"/>
              <w:rPr>
                <w:sz w:val="1"/>
                <w:szCs w:val="1"/>
                <w:color w:val="auto"/>
              </w:rPr>
            </w:pPr>
          </w:p>
        </w:tc>
        <w:tc>
          <w:tcPr>
            <w:tcW w:w="780" w:type="dxa"/>
            <w:vAlign w:val="bottom"/>
            <w:vMerge w:val="continue"/>
            <w:shd w:val="clear" w:color="auto" w:fill="ED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840" w:type="dxa"/>
            <w:vAlign w:val="bottom"/>
            <w:shd w:val="clear" w:color="auto" w:fill="EDF0FC"/>
          </w:tcPr>
          <w:p>
            <w:pPr>
              <w:spacing w:after="0"/>
              <w:rPr>
                <w:sz w:val="6"/>
                <w:szCs w:val="6"/>
                <w:color w:val="auto"/>
              </w:rPr>
            </w:pPr>
          </w:p>
        </w:tc>
        <w:tc>
          <w:tcPr>
            <w:tcW w:w="4140" w:type="dxa"/>
            <w:vAlign w:val="bottom"/>
            <w:shd w:val="clear" w:color="auto" w:fill="EDF0FC"/>
          </w:tcPr>
          <w:p>
            <w:pPr>
              <w:spacing w:after="0"/>
              <w:rPr>
                <w:sz w:val="6"/>
                <w:szCs w:val="6"/>
                <w:color w:val="auto"/>
              </w:rPr>
            </w:pPr>
          </w:p>
        </w:tc>
        <w:tc>
          <w:tcPr>
            <w:tcW w:w="980" w:type="dxa"/>
            <w:vAlign w:val="bottom"/>
            <w:shd w:val="clear" w:color="auto" w:fill="EDF0FC"/>
          </w:tcPr>
          <w:p>
            <w:pPr>
              <w:spacing w:after="0"/>
              <w:rPr>
                <w:sz w:val="6"/>
                <w:szCs w:val="6"/>
                <w:color w:val="auto"/>
              </w:rPr>
            </w:pPr>
          </w:p>
        </w:tc>
        <w:tc>
          <w:tcPr>
            <w:tcW w:w="580" w:type="dxa"/>
            <w:vAlign w:val="bottom"/>
            <w:shd w:val="clear" w:color="auto" w:fill="EDF0FC"/>
          </w:tcPr>
          <w:p>
            <w:pPr>
              <w:spacing w:after="0"/>
              <w:rPr>
                <w:sz w:val="6"/>
                <w:szCs w:val="6"/>
                <w:color w:val="auto"/>
              </w:rPr>
            </w:pPr>
          </w:p>
        </w:tc>
        <w:tc>
          <w:tcPr>
            <w:tcW w:w="780" w:type="dxa"/>
            <w:vAlign w:val="bottom"/>
            <w:shd w:val="clear" w:color="auto" w:fill="EDF0FC"/>
          </w:tcPr>
          <w:p>
            <w:pPr>
              <w:spacing w:after="0"/>
              <w:rPr>
                <w:sz w:val="6"/>
                <w:szCs w:val="6"/>
                <w:color w:val="auto"/>
              </w:rPr>
            </w:pPr>
          </w:p>
        </w:tc>
        <w:tc>
          <w:tcPr>
            <w:tcW w:w="780" w:type="dxa"/>
            <w:vAlign w:val="bottom"/>
            <w:shd w:val="clear" w:color="auto" w:fill="EDF0FC"/>
          </w:tcPr>
          <w:p>
            <w:pPr>
              <w:spacing w:after="0"/>
              <w:rPr>
                <w:sz w:val="6"/>
                <w:szCs w:val="6"/>
                <w:color w:val="auto"/>
              </w:rPr>
            </w:pPr>
          </w:p>
        </w:tc>
        <w:tc>
          <w:tcPr>
            <w:tcW w:w="800" w:type="dxa"/>
            <w:vAlign w:val="bottom"/>
            <w:shd w:val="clear" w:color="auto" w:fill="EDF0FC"/>
          </w:tcPr>
          <w:p>
            <w:pPr>
              <w:spacing w:after="0"/>
              <w:rPr>
                <w:sz w:val="6"/>
                <w:szCs w:val="6"/>
                <w:color w:val="auto"/>
              </w:rPr>
            </w:pPr>
          </w:p>
        </w:tc>
        <w:tc>
          <w:tcPr>
            <w:tcW w:w="780" w:type="dxa"/>
            <w:vAlign w:val="bottom"/>
            <w:shd w:val="clear" w:color="auto" w:fill="EDF0FC"/>
          </w:tcPr>
          <w:p>
            <w:pPr>
              <w:spacing w:after="0"/>
              <w:rPr>
                <w:sz w:val="6"/>
                <w:szCs w:val="6"/>
                <w:color w:val="auto"/>
              </w:rPr>
            </w:pPr>
          </w:p>
        </w:tc>
        <w:tc>
          <w:tcPr>
            <w:tcW w:w="780" w:type="dxa"/>
            <w:vAlign w:val="bottom"/>
            <w:shd w:val="clear" w:color="auto" w:fill="EDF0FC"/>
          </w:tcPr>
          <w:p>
            <w:pPr>
              <w:spacing w:after="0"/>
              <w:rPr>
                <w:sz w:val="6"/>
                <w:szCs w:val="6"/>
                <w:color w:val="auto"/>
              </w:rPr>
            </w:pPr>
          </w:p>
        </w:tc>
        <w:tc>
          <w:tcPr>
            <w:tcW w:w="780" w:type="dxa"/>
            <w:vAlign w:val="bottom"/>
            <w:shd w:val="clear" w:color="auto" w:fill="EDF0FC"/>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840" w:type="dxa"/>
            <w:vAlign w:val="bottom"/>
            <w:vMerge w:val="restart"/>
          </w:tcPr>
          <w:p>
            <w:pPr>
              <w:ind w:left="20"/>
              <w:spacing w:after="0"/>
              <w:rPr>
                <w:sz w:val="20"/>
                <w:szCs w:val="20"/>
                <w:color w:val="auto"/>
              </w:rPr>
            </w:pPr>
            <w:r>
              <w:rPr>
                <w:rFonts w:ascii="Arial" w:cs="Arial" w:eastAsia="Arial" w:hAnsi="Arial"/>
                <w:sz w:val="16"/>
                <w:szCs w:val="16"/>
                <w:b w:val="1"/>
                <w:bCs w:val="1"/>
                <w:color w:val="1A3FD6"/>
                <w:w w:val="98"/>
              </w:rPr>
              <w:t>June Yang</w:t>
            </w:r>
          </w:p>
        </w:tc>
        <w:tc>
          <w:tcPr>
            <w:tcW w:w="4140" w:type="dxa"/>
            <w:vAlign w:val="bottom"/>
          </w:tcPr>
          <w:p>
            <w:pPr>
              <w:jc w:val="right"/>
              <w:ind w:right="3967"/>
              <w:spacing w:after="0"/>
              <w:rPr>
                <w:sz w:val="20"/>
                <w:szCs w:val="20"/>
                <w:color w:val="auto"/>
              </w:rPr>
            </w:pPr>
            <w:r>
              <w:rPr>
                <w:rFonts w:ascii="Arial" w:cs="Arial" w:eastAsia="Arial" w:hAnsi="Arial"/>
                <w:sz w:val="11"/>
                <w:szCs w:val="11"/>
                <w:b w:val="1"/>
                <w:bCs w:val="1"/>
                <w:color w:val="1A3FD6"/>
                <w:w w:val="74"/>
              </w:rPr>
              <w:t>(3)</w:t>
            </w:r>
          </w:p>
        </w:tc>
        <w:tc>
          <w:tcPr>
            <w:tcW w:w="980" w:type="dxa"/>
            <w:vAlign w:val="bottom"/>
          </w:tcPr>
          <w:p>
            <w:pPr>
              <w:spacing w:after="0"/>
              <w:rPr>
                <w:sz w:val="14"/>
                <w:szCs w:val="14"/>
                <w:color w:val="auto"/>
              </w:rPr>
            </w:pPr>
          </w:p>
        </w:tc>
        <w:tc>
          <w:tcPr>
            <w:tcW w:w="580" w:type="dxa"/>
            <w:vAlign w:val="bottom"/>
          </w:tcPr>
          <w:p>
            <w:pPr>
              <w:jc w:val="center"/>
              <w:ind w:right="143"/>
              <w:spacing w:after="0"/>
              <w:rPr>
                <w:sz w:val="20"/>
                <w:szCs w:val="20"/>
                <w:color w:val="auto"/>
              </w:rPr>
            </w:pPr>
            <w:r>
              <w:rPr>
                <w:rFonts w:ascii="Webdings" w:cs="Webdings" w:eastAsia="Webdings" w:hAnsi="Webdings"/>
                <w:sz w:val="11"/>
                <w:szCs w:val="11"/>
                <w:b w:val="1"/>
                <w:bCs w:val="1"/>
                <w:color w:val="7188EF"/>
                <w:w w:val="90"/>
              </w:rPr>
              <w:t>n</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840" w:type="dxa"/>
            <w:vAlign w:val="bottom"/>
            <w:tcBorders>
              <w:bottom w:val="single" w:sz="8" w:color="auto"/>
            </w:tcBorders>
            <w:vMerge w:val="continue"/>
          </w:tcPr>
          <w:p>
            <w:pPr>
              <w:spacing w:after="0"/>
              <w:rPr>
                <w:sz w:val="6"/>
                <w:szCs w:val="6"/>
                <w:color w:val="auto"/>
              </w:rPr>
            </w:pPr>
          </w:p>
        </w:tc>
        <w:tc>
          <w:tcPr>
            <w:tcW w:w="4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Mr. Edmunds is not standing for re-election at the 2025 Annual Meeting but will remain on the Board through the date of the meeting.</w:t>
      </w:r>
    </w:p>
    <w:p>
      <w:pPr>
        <w:spacing w:after="0" w:line="57" w:lineRule="exact"/>
        <w:rPr>
          <w:rFonts w:ascii="Arial" w:cs="Arial" w:eastAsia="Arial" w:hAnsi="Arial"/>
          <w:sz w:val="19"/>
          <w:szCs w:val="19"/>
          <w:color w:val="auto"/>
          <w:vertAlign w:val="superscript"/>
        </w:rPr>
      </w:pPr>
    </w:p>
    <w:p>
      <w:pPr>
        <w:ind w:left="200" w:right="160" w:hanging="192"/>
        <w:spacing w:after="0" w:line="237" w:lineRule="auto"/>
        <w:tabs>
          <w:tab w:leader="none" w:pos="187"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Ms. Seitz was appointed to the Board and initially to the Audit Committee on August 5, 2024. Ms. Seitz was appointed to the Strategy Committee and rotated from the Audit Committee on January 28, 2025.</w:t>
      </w:r>
    </w:p>
    <w:p>
      <w:pPr>
        <w:spacing w:after="0" w:line="24"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Ms. Yang was appointed to the Board on December 17, 2024 and appointed to the Audit Committee on January 28, 2025.</w:t>
      </w:r>
    </w:p>
    <w:p>
      <w:pPr>
        <w:spacing w:after="0" w:line="161" w:lineRule="exact"/>
        <w:rPr>
          <w:sz w:val="20"/>
          <w:szCs w:val="20"/>
          <w:color w:val="auto"/>
        </w:rPr>
      </w:pPr>
    </w:p>
    <w:p>
      <w:pPr>
        <w:ind w:left="340" w:hanging="244"/>
        <w:spacing w:after="0"/>
        <w:tabs>
          <w:tab w:leader="none" w:pos="340" w:val="left"/>
        </w:tabs>
        <w:numPr>
          <w:ilvl w:val="0"/>
          <w:numId w:val="30"/>
        </w:numPr>
        <w:rPr>
          <w:rFonts w:ascii="Webdings" w:cs="Webdings" w:eastAsia="Webdings" w:hAnsi="Webdings"/>
          <w:sz w:val="11"/>
          <w:szCs w:val="11"/>
          <w:b w:val="1"/>
          <w:bCs w:val="1"/>
          <w:color w:val="0626A9"/>
        </w:rPr>
      </w:pPr>
      <w:r>
        <w:rPr>
          <w:rFonts w:ascii="Arial" w:cs="Arial" w:eastAsia="Arial" w:hAnsi="Arial"/>
          <w:sz w:val="14"/>
          <w:szCs w:val="14"/>
          <w:color w:val="auto"/>
        </w:rPr>
        <w:t>Chair</w:t>
      </w:r>
    </w:p>
    <w:p>
      <w:pPr>
        <w:spacing w:after="0" w:line="176" w:lineRule="exact"/>
        <w:rPr>
          <w:rFonts w:ascii="Webdings" w:cs="Webdings" w:eastAsia="Webdings" w:hAnsi="Webdings"/>
          <w:sz w:val="11"/>
          <w:szCs w:val="11"/>
          <w:b w:val="1"/>
          <w:bCs w:val="1"/>
          <w:color w:val="0626A9"/>
        </w:rPr>
      </w:pPr>
    </w:p>
    <w:p>
      <w:pPr>
        <w:ind w:left="340" w:hanging="244"/>
        <w:spacing w:after="0"/>
        <w:tabs>
          <w:tab w:leader="none" w:pos="340" w:val="left"/>
        </w:tabs>
        <w:numPr>
          <w:ilvl w:val="0"/>
          <w:numId w:val="30"/>
        </w:numPr>
        <w:rPr>
          <w:rFonts w:ascii="Webdings" w:cs="Webdings" w:eastAsia="Webdings" w:hAnsi="Webdings"/>
          <w:sz w:val="11"/>
          <w:szCs w:val="11"/>
          <w:b w:val="1"/>
          <w:bCs w:val="1"/>
          <w:color w:val="7188EF"/>
        </w:rPr>
      </w:pPr>
      <w:r>
        <w:rPr>
          <w:rFonts w:ascii="Arial" w:cs="Arial" w:eastAsia="Arial" w:hAnsi="Arial"/>
          <w:sz w:val="14"/>
          <w:szCs w:val="14"/>
          <w:color w:val="auto"/>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833755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37" w:name="page38"/>
    <w:bookmarkEnd w:id="37"/>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36</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Audit and Risk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3373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337310"/>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CURRENT MEMBERS:</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Marcus L. Smith (Chair)</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Robert G. Ashe</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Wayne Edmunds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Rajat Taneja</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June Yang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HELD IN 2024: 10</w:t>
      </w:r>
    </w:p>
    <w:p>
      <w:pPr>
        <w:spacing w:after="0" w:line="135" w:lineRule="exact"/>
        <w:rPr>
          <w:sz w:val="20"/>
          <w:szCs w:val="20"/>
          <w:color w:val="auto"/>
        </w:rPr>
      </w:pPr>
    </w:p>
    <w:p>
      <w:pPr>
        <w:ind w:left="200" w:right="440" w:hanging="191"/>
        <w:spacing w:after="0" w:line="286" w:lineRule="auto"/>
        <w:tabs>
          <w:tab w:leader="none" w:pos="197" w:val="left"/>
        </w:tabs>
        <w:numPr>
          <w:ilvl w:val="0"/>
          <w:numId w:val="31"/>
        </w:numPr>
        <w:rPr>
          <w:rFonts w:ascii="Arial" w:cs="Arial" w:eastAsia="Arial" w:hAnsi="Arial"/>
          <w:sz w:val="16"/>
          <w:szCs w:val="16"/>
          <w:color w:val="1A3FD6"/>
        </w:rPr>
      </w:pPr>
      <w:r>
        <w:rPr>
          <w:rFonts w:ascii="Arial" w:cs="Arial" w:eastAsia="Arial" w:hAnsi="Arial"/>
          <w:sz w:val="16"/>
          <w:szCs w:val="16"/>
          <w:color w:val="auto"/>
        </w:rPr>
        <w:t>All members are independent within the meaning of the NYSE standards of independence for directors and audit committee members.</w:t>
      </w:r>
    </w:p>
    <w:p>
      <w:pPr>
        <w:spacing w:after="0" w:line="7" w:lineRule="exact"/>
        <w:rPr>
          <w:rFonts w:ascii="Arial" w:cs="Arial" w:eastAsia="Arial" w:hAnsi="Arial"/>
          <w:sz w:val="16"/>
          <w:szCs w:val="16"/>
          <w:color w:val="1A3FD6"/>
        </w:rPr>
      </w:pPr>
    </w:p>
    <w:p>
      <w:pPr>
        <w:ind w:left="200" w:right="240" w:hanging="191"/>
        <w:spacing w:after="0" w:line="265" w:lineRule="auto"/>
        <w:tabs>
          <w:tab w:leader="none" w:pos="197" w:val="left"/>
        </w:tabs>
        <w:numPr>
          <w:ilvl w:val="0"/>
          <w:numId w:val="31"/>
        </w:numPr>
        <w:rPr>
          <w:rFonts w:ascii="Arial" w:cs="Arial" w:eastAsia="Arial" w:hAnsi="Arial"/>
          <w:sz w:val="16"/>
          <w:szCs w:val="16"/>
          <w:color w:val="1A3FD6"/>
        </w:rPr>
      </w:pPr>
      <w:r>
        <w:rPr>
          <w:rFonts w:ascii="Arial" w:cs="Arial" w:eastAsia="Arial" w:hAnsi="Arial"/>
          <w:sz w:val="16"/>
          <w:szCs w:val="16"/>
          <w:color w:val="auto"/>
        </w:rPr>
        <w:t>All members satisfy NYSE financial literacy requirements, each of Messrs. Ashe, Edmunds and Smith have accounting or other related financial management expertise, and Messrs. Ashe, Edmunds and Smith have been designated as “audit committee financial experts,” as defined by SEC rules.</w:t>
      </w:r>
    </w:p>
    <w:p>
      <w:pPr>
        <w:spacing w:after="0" w:line="200" w:lineRule="exact"/>
        <w:rPr>
          <w:sz w:val="20"/>
          <w:szCs w:val="20"/>
          <w:color w:val="auto"/>
        </w:rPr>
      </w:pPr>
    </w:p>
    <w:p>
      <w:pPr>
        <w:sectPr>
          <w:pgSz w:w="11900" w:h="16838" w:orient="portrait"/>
          <w:cols w:equalWidth="0" w:num="2">
            <w:col w:w="3180" w:space="720"/>
            <w:col w:w="7320"/>
          </w:cols>
          <w:pgMar w:left="320" w:top="292" w:right="359" w:bottom="1440" w:gutter="0" w:footer="0" w:header="0"/>
          <w:type w:val="continuous"/>
        </w:sectPr>
      </w:pP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A3FD6"/>
        </w:rPr>
        <w:t>PRIMARY RESPONSIBILITIES:</w:t>
      </w:r>
    </w:p>
    <w:p>
      <w:pPr>
        <w:spacing w:after="0" w:line="122" w:lineRule="exact"/>
        <w:rPr>
          <w:sz w:val="20"/>
          <w:szCs w:val="20"/>
          <w:color w:val="auto"/>
        </w:rPr>
      </w:pPr>
    </w:p>
    <w:p>
      <w:pPr>
        <w:ind w:left="220" w:right="140" w:hanging="194"/>
        <w:spacing w:after="0" w:line="299" w:lineRule="auto"/>
        <w:tabs>
          <w:tab w:leader="none" w:pos="217" w:val="left"/>
        </w:tabs>
        <w:numPr>
          <w:ilvl w:val="0"/>
          <w:numId w:val="32"/>
        </w:numPr>
        <w:rPr>
          <w:rFonts w:ascii="Arial" w:cs="Arial" w:eastAsia="Arial" w:hAnsi="Arial"/>
          <w:sz w:val="16"/>
          <w:szCs w:val="16"/>
          <w:color w:val="1A3FD6"/>
        </w:rPr>
      </w:pPr>
      <w:r>
        <w:rPr>
          <w:rFonts w:ascii="Arial" w:cs="Arial" w:eastAsia="Arial" w:hAnsi="Arial"/>
          <w:sz w:val="16"/>
          <w:szCs w:val="16"/>
          <w:color w:val="auto"/>
        </w:rPr>
        <w:t>Oversees the integrity of the Company’s financial statements, internal controls over financial reporting, risk assessment and risk management (including major financial risk exposures and cybersecurity risks).</w:t>
      </w:r>
    </w:p>
    <w:p>
      <w:pPr>
        <w:ind w:left="220" w:hanging="194"/>
        <w:spacing w:after="0"/>
        <w:tabs>
          <w:tab w:leader="none" w:pos="220" w:val="left"/>
        </w:tabs>
        <w:numPr>
          <w:ilvl w:val="0"/>
          <w:numId w:val="32"/>
        </w:numPr>
        <w:rPr>
          <w:rFonts w:ascii="Arial" w:cs="Arial" w:eastAsia="Arial" w:hAnsi="Arial"/>
          <w:sz w:val="16"/>
          <w:szCs w:val="16"/>
          <w:color w:val="1A3FD6"/>
        </w:rPr>
      </w:pPr>
      <w:r>
        <w:rPr>
          <w:rFonts w:ascii="Arial" w:cs="Arial" w:eastAsia="Arial" w:hAnsi="Arial"/>
          <w:sz w:val="16"/>
          <w:szCs w:val="16"/>
          <w:color w:val="auto"/>
        </w:rPr>
        <w:t>Oversees the Company’s internal controls over financial reporting, risk assessment and risk management.</w:t>
      </w:r>
    </w:p>
    <w:p>
      <w:pPr>
        <w:spacing w:after="0" w:line="59" w:lineRule="exact"/>
        <w:rPr>
          <w:rFonts w:ascii="Arial" w:cs="Arial" w:eastAsia="Arial" w:hAnsi="Arial"/>
          <w:sz w:val="16"/>
          <w:szCs w:val="16"/>
          <w:color w:val="1A3FD6"/>
        </w:rPr>
      </w:pPr>
    </w:p>
    <w:p>
      <w:pPr>
        <w:ind w:left="220" w:right="180" w:hanging="194"/>
        <w:spacing w:after="0" w:line="299" w:lineRule="auto"/>
        <w:tabs>
          <w:tab w:leader="none" w:pos="217" w:val="left"/>
        </w:tabs>
        <w:numPr>
          <w:ilvl w:val="0"/>
          <w:numId w:val="32"/>
        </w:numPr>
        <w:rPr>
          <w:rFonts w:ascii="Arial" w:cs="Arial" w:eastAsia="Arial" w:hAnsi="Arial"/>
          <w:sz w:val="16"/>
          <w:szCs w:val="16"/>
          <w:color w:val="1A3FD6"/>
        </w:rPr>
      </w:pPr>
      <w:r>
        <w:rPr>
          <w:rFonts w:ascii="Arial" w:cs="Arial" w:eastAsia="Arial" w:hAnsi="Arial"/>
          <w:sz w:val="16"/>
          <w:szCs w:val="16"/>
          <w:color w:val="auto"/>
        </w:rPr>
        <w:t>Oversees the appointment, compensation, retention, termination and oversight of the work of any accounting firm engaged for the purpose of preparing or issuing an audit report or performing other audit, review or attestation services for the Company, including the independent auditor.</w:t>
      </w:r>
    </w:p>
    <w:p>
      <w:pPr>
        <w:ind w:left="220" w:right="280" w:hanging="194"/>
        <w:spacing w:after="0" w:line="286" w:lineRule="auto"/>
        <w:tabs>
          <w:tab w:leader="none" w:pos="217" w:val="left"/>
        </w:tabs>
        <w:numPr>
          <w:ilvl w:val="0"/>
          <w:numId w:val="32"/>
        </w:numPr>
        <w:rPr>
          <w:rFonts w:ascii="Arial" w:cs="Arial" w:eastAsia="Arial" w:hAnsi="Arial"/>
          <w:sz w:val="16"/>
          <w:szCs w:val="16"/>
          <w:color w:val="1A3FD6"/>
        </w:rPr>
      </w:pPr>
      <w:r>
        <w:rPr>
          <w:rFonts w:ascii="Arial" w:cs="Arial" w:eastAsia="Arial" w:hAnsi="Arial"/>
          <w:sz w:val="16"/>
          <w:szCs w:val="16"/>
          <w:color w:val="auto"/>
        </w:rPr>
        <w:t>Evaluates the qualifications, independence and performance of the independent auditor, including obtaining a report of the independent auditor describing the items set forth in the Audit and Risk Committee’s charter, including those required by the Public Company Accounting Oversight Board.</w:t>
      </w:r>
    </w:p>
    <w:p>
      <w:pPr>
        <w:spacing w:after="0" w:line="7" w:lineRule="exact"/>
        <w:rPr>
          <w:rFonts w:ascii="Arial" w:cs="Arial" w:eastAsia="Arial" w:hAnsi="Arial"/>
          <w:sz w:val="16"/>
          <w:szCs w:val="16"/>
          <w:color w:val="1A3FD6"/>
        </w:rPr>
      </w:pPr>
    </w:p>
    <w:p>
      <w:pPr>
        <w:ind w:left="220" w:hanging="194"/>
        <w:spacing w:after="0"/>
        <w:tabs>
          <w:tab w:leader="none" w:pos="220" w:val="left"/>
        </w:tabs>
        <w:numPr>
          <w:ilvl w:val="0"/>
          <w:numId w:val="32"/>
        </w:numPr>
        <w:rPr>
          <w:rFonts w:ascii="Arial" w:cs="Arial" w:eastAsia="Arial" w:hAnsi="Arial"/>
          <w:sz w:val="16"/>
          <w:szCs w:val="16"/>
          <w:color w:val="1A3FD6"/>
        </w:rPr>
      </w:pPr>
      <w:r>
        <w:rPr>
          <w:rFonts w:ascii="Arial" w:cs="Arial" w:eastAsia="Arial" w:hAnsi="Arial"/>
          <w:sz w:val="16"/>
          <w:szCs w:val="16"/>
          <w:color w:val="auto"/>
        </w:rPr>
        <w:t>Pre-approves audit and permitted non-audit services.</w:t>
      </w:r>
    </w:p>
    <w:p>
      <w:pPr>
        <w:spacing w:after="0" w:line="59" w:lineRule="exact"/>
        <w:rPr>
          <w:rFonts w:ascii="Arial" w:cs="Arial" w:eastAsia="Arial" w:hAnsi="Arial"/>
          <w:sz w:val="16"/>
          <w:szCs w:val="16"/>
          <w:color w:val="1A3FD6"/>
        </w:rPr>
      </w:pPr>
    </w:p>
    <w:p>
      <w:pPr>
        <w:ind w:left="220" w:hanging="194"/>
        <w:spacing w:after="0"/>
        <w:tabs>
          <w:tab w:leader="none" w:pos="220" w:val="left"/>
        </w:tabs>
        <w:numPr>
          <w:ilvl w:val="0"/>
          <w:numId w:val="32"/>
        </w:numPr>
        <w:rPr>
          <w:rFonts w:ascii="Arial" w:cs="Arial" w:eastAsia="Arial" w:hAnsi="Arial"/>
          <w:sz w:val="16"/>
          <w:szCs w:val="16"/>
          <w:color w:val="1A3FD6"/>
        </w:rPr>
      </w:pPr>
      <w:r>
        <w:rPr>
          <w:rFonts w:ascii="Arial" w:cs="Arial" w:eastAsia="Arial" w:hAnsi="Arial"/>
          <w:sz w:val="16"/>
          <w:szCs w:val="16"/>
          <w:color w:val="auto"/>
        </w:rPr>
        <w:t>Reviews and evaluates the internal audit plan and the performance, responsibilities, budget and staffing of the Company’s internal audit function.</w:t>
      </w:r>
    </w:p>
    <w:p>
      <w:pPr>
        <w:spacing w:after="0" w:line="72" w:lineRule="exact"/>
        <w:rPr>
          <w:rFonts w:ascii="Arial" w:cs="Arial" w:eastAsia="Arial" w:hAnsi="Arial"/>
          <w:sz w:val="16"/>
          <w:szCs w:val="16"/>
          <w:color w:val="1A3FD6"/>
        </w:rPr>
      </w:pPr>
    </w:p>
    <w:p>
      <w:pPr>
        <w:ind w:left="220" w:right="240" w:hanging="194"/>
        <w:spacing w:after="0" w:line="290" w:lineRule="auto"/>
        <w:tabs>
          <w:tab w:leader="none" w:pos="217" w:val="left"/>
        </w:tabs>
        <w:numPr>
          <w:ilvl w:val="0"/>
          <w:numId w:val="32"/>
        </w:numPr>
        <w:rPr>
          <w:rFonts w:ascii="Arial" w:cs="Arial" w:eastAsia="Arial" w:hAnsi="Arial"/>
          <w:sz w:val="16"/>
          <w:szCs w:val="16"/>
          <w:color w:val="1A3FD6"/>
        </w:rPr>
      </w:pPr>
      <w:r>
        <w:rPr>
          <w:rFonts w:ascii="Arial" w:cs="Arial" w:eastAsia="Arial" w:hAnsi="Arial"/>
          <w:sz w:val="16"/>
          <w:szCs w:val="16"/>
          <w:color w:val="auto"/>
        </w:rPr>
        <w:t>Reviews and discusses with management and the independent auditor the annual audited and quarterly unaudited financial statements included in the Company’s Annual Report on Form 10-K and Quarterly Reports on Form 10-Q, respectively.</w:t>
      </w:r>
    </w:p>
    <w:p>
      <w:pPr>
        <w:ind w:left="220" w:hanging="194"/>
        <w:spacing w:after="0" w:line="281" w:lineRule="auto"/>
        <w:tabs>
          <w:tab w:leader="none" w:pos="217" w:val="left"/>
        </w:tabs>
        <w:numPr>
          <w:ilvl w:val="0"/>
          <w:numId w:val="32"/>
        </w:numPr>
        <w:rPr>
          <w:rFonts w:ascii="Arial" w:cs="Arial" w:eastAsia="Arial" w:hAnsi="Arial"/>
          <w:sz w:val="16"/>
          <w:szCs w:val="16"/>
          <w:color w:val="1A3FD6"/>
        </w:rPr>
      </w:pPr>
      <w:r>
        <w:rPr>
          <w:rFonts w:ascii="Arial" w:cs="Arial" w:eastAsia="Arial" w:hAnsi="Arial"/>
          <w:sz w:val="16"/>
          <w:szCs w:val="16"/>
          <w:color w:val="auto"/>
        </w:rPr>
        <w:t>Establishes procedures for (i) the receipt, retention and treatment of complaints regarding accounting, internal accounting controls or auditing matters and (ii) the confidential, anonymous submission by the Company’s employees of concerns regarding questionable accounting or auditing matters, and the review of any submissions received pursuant to such procedures.</w:t>
      </w:r>
    </w:p>
    <w:p>
      <w:pPr>
        <w:spacing w:after="0" w:line="1" w:lineRule="exact"/>
        <w:rPr>
          <w:rFonts w:ascii="Arial" w:cs="Arial" w:eastAsia="Arial" w:hAnsi="Arial"/>
          <w:sz w:val="16"/>
          <w:szCs w:val="16"/>
          <w:color w:val="1A3FD6"/>
        </w:rPr>
      </w:pPr>
    </w:p>
    <w:p>
      <w:pPr>
        <w:ind w:left="220" w:hanging="194"/>
        <w:spacing w:after="0"/>
        <w:tabs>
          <w:tab w:leader="none" w:pos="220" w:val="left"/>
        </w:tabs>
        <w:numPr>
          <w:ilvl w:val="0"/>
          <w:numId w:val="32"/>
        </w:numPr>
        <w:rPr>
          <w:rFonts w:ascii="Arial" w:cs="Arial" w:eastAsia="Arial" w:hAnsi="Arial"/>
          <w:sz w:val="16"/>
          <w:szCs w:val="16"/>
          <w:color w:val="1A3FD6"/>
        </w:rPr>
      </w:pPr>
      <w:r>
        <w:rPr>
          <w:rFonts w:ascii="Arial" w:cs="Arial" w:eastAsia="Arial" w:hAnsi="Arial"/>
          <w:sz w:val="16"/>
          <w:szCs w:val="16"/>
          <w:color w:val="auto"/>
        </w:rPr>
        <w:t>Reviews reports from management relating to the status of compliance with legal and regulatory requirements.</w:t>
      </w:r>
    </w:p>
    <w:p>
      <w:pPr>
        <w:spacing w:after="0" w:line="72" w:lineRule="exact"/>
        <w:rPr>
          <w:rFonts w:ascii="Arial" w:cs="Arial" w:eastAsia="Arial" w:hAnsi="Arial"/>
          <w:sz w:val="16"/>
          <w:szCs w:val="16"/>
          <w:color w:val="1A3FD6"/>
        </w:rPr>
      </w:pPr>
    </w:p>
    <w:p>
      <w:pPr>
        <w:jc w:val="both"/>
        <w:ind w:left="220" w:right="80" w:hanging="194"/>
        <w:spacing w:after="0" w:line="275" w:lineRule="auto"/>
        <w:tabs>
          <w:tab w:leader="none" w:pos="217" w:val="left"/>
        </w:tabs>
        <w:numPr>
          <w:ilvl w:val="0"/>
          <w:numId w:val="32"/>
        </w:numPr>
        <w:rPr>
          <w:rFonts w:ascii="Arial" w:cs="Arial" w:eastAsia="Arial" w:hAnsi="Arial"/>
          <w:sz w:val="16"/>
          <w:szCs w:val="16"/>
          <w:color w:val="1A3FD6"/>
        </w:rPr>
      </w:pPr>
      <w:r>
        <w:rPr>
          <w:rFonts w:ascii="Arial" w:cs="Arial" w:eastAsia="Arial" w:hAnsi="Arial"/>
          <w:sz w:val="16"/>
          <w:szCs w:val="16"/>
          <w:color w:val="auto"/>
        </w:rPr>
        <w:t>Reviews with management (i) the Company’s key business risks, including the Company’s major strategic, operational, regulatory, litigation and financial risk exposures and technology and cybersecurity risks, (ii) policies and practices with respect to risk governance, risk assessment and risk management, and (iii) the steps that have been taken to assess, monitor and control such risks.</w:t>
      </w:r>
    </w:p>
    <w:p>
      <w:pPr>
        <w:spacing w:after="0" w:line="15" w:lineRule="exact"/>
        <w:rPr>
          <w:rFonts w:ascii="Arial" w:cs="Arial" w:eastAsia="Arial" w:hAnsi="Arial"/>
          <w:sz w:val="16"/>
          <w:szCs w:val="16"/>
          <w:color w:val="1A3FD6"/>
        </w:rPr>
      </w:pPr>
    </w:p>
    <w:p>
      <w:pPr>
        <w:ind w:left="220" w:right="120" w:hanging="194"/>
        <w:spacing w:after="0" w:line="286" w:lineRule="auto"/>
        <w:tabs>
          <w:tab w:leader="none" w:pos="217" w:val="left"/>
        </w:tabs>
        <w:numPr>
          <w:ilvl w:val="0"/>
          <w:numId w:val="32"/>
        </w:numPr>
        <w:rPr>
          <w:rFonts w:ascii="Arial" w:cs="Arial" w:eastAsia="Arial" w:hAnsi="Arial"/>
          <w:sz w:val="16"/>
          <w:szCs w:val="16"/>
          <w:color w:val="1A3FD6"/>
        </w:rPr>
      </w:pPr>
      <w:r>
        <w:rPr>
          <w:rFonts w:ascii="Arial" w:cs="Arial" w:eastAsia="Arial" w:hAnsi="Arial"/>
          <w:sz w:val="16"/>
          <w:szCs w:val="16"/>
          <w:color w:val="auto"/>
        </w:rPr>
        <w:t>Reviews the Company’s enterprise risk management program, including its risk governance framework and risk management practices that facilitate the identification, assessment, mitigation and public reporting of risks that may affect the Company.</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A3FD6"/>
        </w:rPr>
        <w:t>KEY AREAS OF FOCUS IN 2024:</w:t>
      </w:r>
    </w:p>
    <w:p>
      <w:pPr>
        <w:spacing w:after="0" w:line="122" w:lineRule="exact"/>
        <w:rPr>
          <w:sz w:val="20"/>
          <w:szCs w:val="20"/>
          <w:color w:val="auto"/>
        </w:rPr>
      </w:pPr>
    </w:p>
    <w:p>
      <w:pPr>
        <w:ind w:left="220" w:hanging="194"/>
        <w:spacing w:after="0"/>
        <w:tabs>
          <w:tab w:leader="none" w:pos="220" w:val="left"/>
        </w:tabs>
        <w:numPr>
          <w:ilvl w:val="0"/>
          <w:numId w:val="33"/>
        </w:numPr>
        <w:rPr>
          <w:rFonts w:ascii="Arial" w:cs="Arial" w:eastAsia="Arial" w:hAnsi="Arial"/>
          <w:sz w:val="16"/>
          <w:szCs w:val="16"/>
          <w:color w:val="1A3FD6"/>
        </w:rPr>
      </w:pPr>
      <w:r>
        <w:rPr>
          <w:rFonts w:ascii="Arial" w:cs="Arial" w:eastAsia="Arial" w:hAnsi="Arial"/>
          <w:sz w:val="16"/>
          <w:szCs w:val="16"/>
          <w:color w:val="auto"/>
        </w:rPr>
        <w:t>Risks associated with the evolving macro-economic environment, including as a result of geopolitical events and tensions.</w:t>
      </w:r>
    </w:p>
    <w:p>
      <w:pPr>
        <w:spacing w:after="0" w:line="72" w:lineRule="exact"/>
        <w:rPr>
          <w:rFonts w:ascii="Arial" w:cs="Arial" w:eastAsia="Arial" w:hAnsi="Arial"/>
          <w:sz w:val="16"/>
          <w:szCs w:val="16"/>
          <w:color w:val="1A3FD6"/>
        </w:rPr>
      </w:pPr>
    </w:p>
    <w:p>
      <w:pPr>
        <w:ind w:left="220" w:hanging="194"/>
        <w:spacing w:after="0"/>
        <w:tabs>
          <w:tab w:leader="none" w:pos="220" w:val="left"/>
        </w:tabs>
        <w:numPr>
          <w:ilvl w:val="0"/>
          <w:numId w:val="33"/>
        </w:numPr>
        <w:rPr>
          <w:rFonts w:ascii="Arial" w:cs="Arial" w:eastAsia="Arial" w:hAnsi="Arial"/>
          <w:sz w:val="16"/>
          <w:szCs w:val="16"/>
          <w:color w:val="1A3FD6"/>
        </w:rPr>
      </w:pPr>
      <w:r>
        <w:rPr>
          <w:rFonts w:ascii="Arial" w:cs="Arial" w:eastAsia="Arial" w:hAnsi="Arial"/>
          <w:sz w:val="16"/>
          <w:szCs w:val="16"/>
          <w:color w:val="auto"/>
        </w:rPr>
        <w:t>Risks and opportunities related to artificial intelligence.</w:t>
      </w:r>
    </w:p>
    <w:p>
      <w:pPr>
        <w:spacing w:after="0" w:line="59" w:lineRule="exact"/>
        <w:rPr>
          <w:rFonts w:ascii="Arial" w:cs="Arial" w:eastAsia="Arial" w:hAnsi="Arial"/>
          <w:sz w:val="16"/>
          <w:szCs w:val="16"/>
          <w:color w:val="1A3FD6"/>
        </w:rPr>
      </w:pPr>
    </w:p>
    <w:p>
      <w:pPr>
        <w:ind w:left="220" w:hanging="194"/>
        <w:spacing w:after="0"/>
        <w:tabs>
          <w:tab w:leader="none" w:pos="220" w:val="left"/>
        </w:tabs>
        <w:numPr>
          <w:ilvl w:val="0"/>
          <w:numId w:val="33"/>
        </w:numPr>
        <w:rPr>
          <w:rFonts w:ascii="Arial" w:cs="Arial" w:eastAsia="Arial" w:hAnsi="Arial"/>
          <w:sz w:val="16"/>
          <w:szCs w:val="16"/>
          <w:color w:val="1A3FD6"/>
        </w:rPr>
      </w:pPr>
      <w:r>
        <w:rPr>
          <w:rFonts w:ascii="Arial" w:cs="Arial" w:eastAsia="Arial" w:hAnsi="Arial"/>
          <w:sz w:val="16"/>
          <w:szCs w:val="16"/>
          <w:color w:val="auto"/>
        </w:rPr>
        <w:t>Continued focus on enhancing controls and governance in our production processes and financial operations.</w:t>
      </w:r>
    </w:p>
    <w:p>
      <w:pPr>
        <w:spacing w:after="0" w:line="72" w:lineRule="exact"/>
        <w:rPr>
          <w:rFonts w:ascii="Arial" w:cs="Arial" w:eastAsia="Arial" w:hAnsi="Arial"/>
          <w:sz w:val="16"/>
          <w:szCs w:val="16"/>
          <w:color w:val="1A3FD6"/>
        </w:rPr>
      </w:pPr>
    </w:p>
    <w:p>
      <w:pPr>
        <w:ind w:left="220" w:hanging="194"/>
        <w:spacing w:after="0"/>
        <w:tabs>
          <w:tab w:leader="none" w:pos="220" w:val="left"/>
        </w:tabs>
        <w:numPr>
          <w:ilvl w:val="0"/>
          <w:numId w:val="33"/>
        </w:numPr>
        <w:rPr>
          <w:rFonts w:ascii="Arial" w:cs="Arial" w:eastAsia="Arial" w:hAnsi="Arial"/>
          <w:sz w:val="16"/>
          <w:szCs w:val="16"/>
          <w:color w:val="1A3FD6"/>
        </w:rPr>
      </w:pPr>
      <w:r>
        <w:rPr>
          <w:rFonts w:ascii="Arial" w:cs="Arial" w:eastAsia="Arial" w:hAnsi="Arial"/>
          <w:sz w:val="16"/>
          <w:szCs w:val="16"/>
          <w:color w:val="auto"/>
        </w:rPr>
        <w:t>Management of regulatory risks and opportunities.</w:t>
      </w:r>
    </w:p>
    <w:p>
      <w:pPr>
        <w:spacing w:after="0" w:line="59" w:lineRule="exact"/>
        <w:rPr>
          <w:rFonts w:ascii="Arial" w:cs="Arial" w:eastAsia="Arial" w:hAnsi="Arial"/>
          <w:sz w:val="16"/>
          <w:szCs w:val="16"/>
          <w:color w:val="1A3FD6"/>
        </w:rPr>
      </w:pPr>
    </w:p>
    <w:p>
      <w:pPr>
        <w:ind w:left="220" w:hanging="194"/>
        <w:spacing w:after="0"/>
        <w:tabs>
          <w:tab w:leader="none" w:pos="220" w:val="left"/>
        </w:tabs>
        <w:numPr>
          <w:ilvl w:val="0"/>
          <w:numId w:val="33"/>
        </w:numPr>
        <w:rPr>
          <w:rFonts w:ascii="Arial" w:cs="Arial" w:eastAsia="Arial" w:hAnsi="Arial"/>
          <w:sz w:val="16"/>
          <w:szCs w:val="16"/>
          <w:color w:val="1A3FD6"/>
        </w:rPr>
      </w:pPr>
      <w:r>
        <w:rPr>
          <w:rFonts w:ascii="Arial" w:cs="Arial" w:eastAsia="Arial" w:hAnsi="Arial"/>
          <w:sz w:val="16"/>
          <w:szCs w:val="16"/>
          <w:color w:val="auto"/>
        </w:rPr>
        <w:t>Data and technology governance, including cybersecurity incident escalation process and business resiliency.</w:t>
      </w:r>
    </w:p>
    <w:p>
      <w:pPr>
        <w:spacing w:after="0" w:line="127" w:lineRule="exact"/>
        <w:rPr>
          <w:sz w:val="20"/>
          <w:szCs w:val="20"/>
          <w:color w:val="auto"/>
        </w:rPr>
      </w:pPr>
    </w:p>
    <w:p>
      <w:pPr>
        <w:ind w:left="20" w:right="320"/>
        <w:spacing w:after="0" w:line="286" w:lineRule="auto"/>
        <w:rPr>
          <w:sz w:val="20"/>
          <w:szCs w:val="20"/>
          <w:color w:val="auto"/>
        </w:rPr>
      </w:pPr>
      <w:r>
        <w:rPr>
          <w:rFonts w:ascii="Arial" w:cs="Arial" w:eastAsia="Arial" w:hAnsi="Arial"/>
          <w:sz w:val="16"/>
          <w:szCs w:val="16"/>
          <w:color w:val="auto"/>
        </w:rPr>
        <w:t>Further details on the role of the Audit and Risk Committee, as well as the Audit and Risk Committee Report, may be found in “Audit Matters—Audit and Risk Committee Report” on page 110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Wayne Edmunds is not standing for re-election at the 2025 Annual Meeting but will remain on the Board through the date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753745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8420"/>
              <w:spacing w:after="0"/>
              <w:rPr>
                <w:sz w:val="20"/>
                <w:szCs w:val="20"/>
                <w:color w:val="auto"/>
              </w:rPr>
            </w:pPr>
            <w:r>
              <w:rPr>
                <w:rFonts w:ascii="Arial" w:cs="Arial" w:eastAsia="Arial" w:hAnsi="Arial"/>
                <w:sz w:val="14"/>
                <w:szCs w:val="14"/>
                <w:b w:val="1"/>
                <w:bCs w:val="1"/>
                <w:color w:val="1A3FD6"/>
              </w:rPr>
              <w:t>Corporate Governance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37</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3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Talent and Culture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036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03695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p>
      <w:pPr>
        <w:spacing w:after="0" w:line="393"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CURRENT MEMBERS:</w:t>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Jacques P. Perold (Chair)</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Wayne Edmunds</w:t>
      </w:r>
    </w:p>
    <w:p>
      <w:pPr>
        <w:ind w:left="160"/>
        <w:spacing w:after="0"/>
        <w:rPr>
          <w:sz w:val="20"/>
          <w:szCs w:val="20"/>
          <w:color w:val="auto"/>
        </w:rPr>
      </w:pPr>
      <w:r>
        <w:rPr>
          <w:rFonts w:ascii="Arial" w:cs="Arial" w:eastAsia="Arial" w:hAnsi="Arial"/>
          <w:sz w:val="16"/>
          <w:szCs w:val="16"/>
          <w:color w:val="auto"/>
        </w:rPr>
        <w:t>Robin L. Matlock</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Linda H. Riefler</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Paula Volent</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HELD IN 2024: 7</w:t>
      </w:r>
    </w:p>
    <w:p>
      <w:pPr>
        <w:spacing w:after="0" w:line="108" w:lineRule="exact"/>
        <w:rPr>
          <w:sz w:val="20"/>
          <w:szCs w:val="20"/>
          <w:color w:val="auto"/>
        </w:rPr>
      </w:pPr>
    </w:p>
    <w:p>
      <w:pPr>
        <w:ind w:left="200" w:right="460" w:hanging="191"/>
        <w:spacing w:after="0" w:line="272" w:lineRule="auto"/>
        <w:tabs>
          <w:tab w:leader="none" w:pos="197" w:val="left"/>
        </w:tabs>
        <w:numPr>
          <w:ilvl w:val="0"/>
          <w:numId w:val="34"/>
        </w:numPr>
        <w:rPr>
          <w:rFonts w:ascii="Arial" w:cs="Arial" w:eastAsia="Arial" w:hAnsi="Arial"/>
          <w:sz w:val="16"/>
          <w:szCs w:val="16"/>
          <w:color w:val="1A3FD6"/>
        </w:rPr>
      </w:pPr>
      <w:r>
        <w:rPr>
          <w:rFonts w:ascii="Arial" w:cs="Arial" w:eastAsia="Arial" w:hAnsi="Arial"/>
          <w:sz w:val="16"/>
          <w:szCs w:val="16"/>
          <w:color w:val="auto"/>
        </w:rPr>
        <w:t>All members are independent within the meaning of the NYSE standards of independence for directors and compensation committee members.</w:t>
      </w:r>
    </w:p>
    <w:p>
      <w:pPr>
        <w:spacing w:after="0" w:line="1" w:lineRule="exact"/>
        <w:rPr>
          <w:rFonts w:ascii="Arial" w:cs="Arial" w:eastAsia="Arial" w:hAnsi="Arial"/>
          <w:sz w:val="16"/>
          <w:szCs w:val="16"/>
          <w:color w:val="1A3FD6"/>
        </w:rPr>
      </w:pPr>
    </w:p>
    <w:p>
      <w:pPr>
        <w:ind w:left="200" w:right="200" w:hanging="191"/>
        <w:spacing w:after="0" w:line="286" w:lineRule="auto"/>
        <w:tabs>
          <w:tab w:leader="none" w:pos="197" w:val="left"/>
        </w:tabs>
        <w:numPr>
          <w:ilvl w:val="0"/>
          <w:numId w:val="34"/>
        </w:numPr>
        <w:rPr>
          <w:rFonts w:ascii="Arial" w:cs="Arial" w:eastAsia="Arial" w:hAnsi="Arial"/>
          <w:sz w:val="16"/>
          <w:szCs w:val="16"/>
          <w:color w:val="1A3FD6"/>
        </w:rPr>
      </w:pPr>
      <w:r>
        <w:rPr>
          <w:rFonts w:ascii="Arial" w:cs="Arial" w:eastAsia="Arial" w:hAnsi="Arial"/>
          <w:sz w:val="16"/>
          <w:szCs w:val="16"/>
          <w:color w:val="auto"/>
        </w:rPr>
        <w:t>All members qualify as “non-employee directors” for purposes of Rule 16b-3 under the Exchange Act.</w:t>
      </w:r>
    </w:p>
    <w:p>
      <w:pPr>
        <w:spacing w:after="0" w:line="285" w:lineRule="exact"/>
        <w:rPr>
          <w:sz w:val="20"/>
          <w:szCs w:val="20"/>
          <w:color w:val="auto"/>
        </w:rPr>
      </w:pPr>
    </w:p>
    <w:p>
      <w:pPr>
        <w:sectPr>
          <w:pgSz w:w="11900" w:h="16838" w:orient="portrait"/>
          <w:cols w:equalWidth="0" w:num="2">
            <w:col w:w="3180" w:space="720"/>
            <w:col w:w="7340"/>
          </w:cols>
          <w:pgMar w:left="320" w:top="167" w:right="339" w:bottom="1440" w:gutter="0" w:footer="0" w:header="0"/>
          <w:type w:val="continuous"/>
        </w:sectPr>
      </w:pPr>
    </w:p>
    <w:p>
      <w:pPr>
        <w:spacing w:after="0" w:line="1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A3FD6"/>
        </w:rPr>
        <w:t>PRIMARY RESPONSIBILITIES:</w:t>
      </w:r>
    </w:p>
    <w:p>
      <w:pPr>
        <w:spacing w:after="0" w:line="54" w:lineRule="exact"/>
        <w:rPr>
          <w:sz w:val="20"/>
          <w:szCs w:val="20"/>
          <w:color w:val="auto"/>
        </w:rPr>
      </w:pPr>
    </w:p>
    <w:p>
      <w:pPr>
        <w:ind w:left="220" w:right="60" w:hanging="194"/>
        <w:spacing w:after="0" w:line="257" w:lineRule="auto"/>
        <w:tabs>
          <w:tab w:leader="none" w:pos="217" w:val="left"/>
        </w:tabs>
        <w:numPr>
          <w:ilvl w:val="0"/>
          <w:numId w:val="35"/>
        </w:numPr>
        <w:rPr>
          <w:rFonts w:ascii="Arial" w:cs="Arial" w:eastAsia="Arial" w:hAnsi="Arial"/>
          <w:sz w:val="16"/>
          <w:szCs w:val="16"/>
          <w:color w:val="1A3FD6"/>
        </w:rPr>
      </w:pPr>
      <w:r>
        <w:rPr>
          <w:rFonts w:ascii="Arial" w:cs="Arial" w:eastAsia="Arial" w:hAnsi="Arial"/>
          <w:sz w:val="16"/>
          <w:szCs w:val="16"/>
          <w:color w:val="auto"/>
        </w:rPr>
        <w:t>Reviews the Company’s compensation strategy and reviews and approves the Company’s compensation and benefits programs, including reviewing and approving any incentive compensation and equity-based plans of the Company that are subject to Board approval and the Company’s stock ownership guidelines for the Executive Committee, which includes senior leaders from across the Company who drive MSCI’s strategy and operations.</w:t>
      </w:r>
    </w:p>
    <w:p>
      <w:pPr>
        <w:spacing w:after="0" w:line="16" w:lineRule="exact"/>
        <w:rPr>
          <w:rFonts w:ascii="Arial" w:cs="Arial" w:eastAsia="Arial" w:hAnsi="Arial"/>
          <w:sz w:val="16"/>
          <w:szCs w:val="16"/>
          <w:color w:val="1A3FD6"/>
        </w:rPr>
      </w:pPr>
    </w:p>
    <w:p>
      <w:pPr>
        <w:ind w:left="220" w:right="620" w:hanging="194"/>
        <w:spacing w:after="0" w:line="266" w:lineRule="auto"/>
        <w:tabs>
          <w:tab w:leader="none" w:pos="217" w:val="left"/>
        </w:tabs>
        <w:numPr>
          <w:ilvl w:val="0"/>
          <w:numId w:val="35"/>
        </w:numPr>
        <w:rPr>
          <w:rFonts w:ascii="Arial" w:cs="Arial" w:eastAsia="Arial" w:hAnsi="Arial"/>
          <w:sz w:val="16"/>
          <w:szCs w:val="16"/>
          <w:color w:val="1A3FD6"/>
        </w:rPr>
      </w:pPr>
      <w:r>
        <w:rPr>
          <w:rFonts w:ascii="Arial" w:cs="Arial" w:eastAsia="Arial" w:hAnsi="Arial"/>
          <w:sz w:val="16"/>
          <w:szCs w:val="16"/>
          <w:color w:val="auto"/>
        </w:rPr>
        <w:t>Identifies, reviews and approves corporate goals and objectives relevant to the compensation of the Company’s executive officers and such other members of senior management as the Compensation Committee determines (the “Executives”), including pay-for-performance alignment; sets compensation for the Executives, and evaluates each Executive’s performance.</w:t>
      </w:r>
    </w:p>
    <w:p>
      <w:pPr>
        <w:spacing w:after="0" w:line="9" w:lineRule="exact"/>
        <w:rPr>
          <w:rFonts w:ascii="Arial" w:cs="Arial" w:eastAsia="Arial" w:hAnsi="Arial"/>
          <w:sz w:val="16"/>
          <w:szCs w:val="16"/>
          <w:color w:val="1A3FD6"/>
        </w:rPr>
      </w:pPr>
    </w:p>
    <w:p>
      <w:pPr>
        <w:ind w:left="220" w:right="120" w:hanging="194"/>
        <w:spacing w:after="0" w:line="257" w:lineRule="auto"/>
        <w:tabs>
          <w:tab w:leader="none" w:pos="217" w:val="left"/>
        </w:tabs>
        <w:numPr>
          <w:ilvl w:val="0"/>
          <w:numId w:val="35"/>
        </w:numPr>
        <w:rPr>
          <w:rFonts w:ascii="Arial" w:cs="Arial" w:eastAsia="Arial" w:hAnsi="Arial"/>
          <w:sz w:val="16"/>
          <w:szCs w:val="16"/>
          <w:color w:val="1A3FD6"/>
        </w:rPr>
      </w:pPr>
      <w:r>
        <w:rPr>
          <w:rFonts w:ascii="Arial" w:cs="Arial" w:eastAsia="Arial" w:hAnsi="Arial"/>
          <w:sz w:val="16"/>
          <w:szCs w:val="16"/>
          <w:color w:val="auto"/>
        </w:rPr>
        <w:t>Reviews and approves the compensation of the Company’s CEO and each of the Company’s other Executives, including: base salary; annual incentive compensation; long-term incentive compensation; employment, severance, termination and change in control agreements; and any other compensation, ongoing perquisites or special benefit items.</w:t>
      </w:r>
    </w:p>
    <w:p>
      <w:pPr>
        <w:spacing w:after="0" w:line="16" w:lineRule="exact"/>
        <w:rPr>
          <w:rFonts w:ascii="Arial" w:cs="Arial" w:eastAsia="Arial" w:hAnsi="Arial"/>
          <w:sz w:val="16"/>
          <w:szCs w:val="16"/>
          <w:color w:val="1A3FD6"/>
        </w:rPr>
      </w:pPr>
    </w:p>
    <w:p>
      <w:pPr>
        <w:ind w:left="220" w:hanging="194"/>
        <w:spacing w:after="0"/>
        <w:tabs>
          <w:tab w:leader="none" w:pos="220" w:val="left"/>
        </w:tabs>
        <w:numPr>
          <w:ilvl w:val="0"/>
          <w:numId w:val="35"/>
        </w:numPr>
        <w:rPr>
          <w:rFonts w:ascii="Arial" w:cs="Arial" w:eastAsia="Arial" w:hAnsi="Arial"/>
          <w:sz w:val="16"/>
          <w:szCs w:val="16"/>
          <w:color w:val="1A3FD6"/>
        </w:rPr>
      </w:pPr>
      <w:r>
        <w:rPr>
          <w:rFonts w:ascii="Arial" w:cs="Arial" w:eastAsia="Arial" w:hAnsi="Arial"/>
          <w:sz w:val="16"/>
          <w:szCs w:val="16"/>
          <w:color w:val="auto"/>
        </w:rPr>
        <w:t>Periodically reviews and administers the Company’s compensation recoupment policies.</w:t>
      </w:r>
    </w:p>
    <w:p>
      <w:pPr>
        <w:spacing w:after="0" w:line="59" w:lineRule="exact"/>
        <w:rPr>
          <w:rFonts w:ascii="Arial" w:cs="Arial" w:eastAsia="Arial" w:hAnsi="Arial"/>
          <w:sz w:val="16"/>
          <w:szCs w:val="16"/>
          <w:color w:val="1A3FD6"/>
        </w:rPr>
      </w:pPr>
    </w:p>
    <w:p>
      <w:pPr>
        <w:ind w:left="220" w:hanging="194"/>
        <w:spacing w:after="0"/>
        <w:tabs>
          <w:tab w:leader="none" w:pos="220" w:val="left"/>
        </w:tabs>
        <w:numPr>
          <w:ilvl w:val="0"/>
          <w:numId w:val="35"/>
        </w:numPr>
        <w:rPr>
          <w:rFonts w:ascii="Arial" w:cs="Arial" w:eastAsia="Arial" w:hAnsi="Arial"/>
          <w:sz w:val="16"/>
          <w:szCs w:val="16"/>
          <w:color w:val="1A3FD6"/>
        </w:rPr>
      </w:pPr>
      <w:r>
        <w:rPr>
          <w:rFonts w:ascii="Arial" w:cs="Arial" w:eastAsia="Arial" w:hAnsi="Arial"/>
          <w:sz w:val="16"/>
          <w:szCs w:val="16"/>
          <w:color w:val="auto"/>
        </w:rPr>
        <w:t>Reviews non-employee director compensation every two years and recommends changes to the Board, when appropriate.</w:t>
      </w:r>
    </w:p>
    <w:p>
      <w:pPr>
        <w:spacing w:after="0" w:line="45" w:lineRule="exact"/>
        <w:rPr>
          <w:rFonts w:ascii="Arial" w:cs="Arial" w:eastAsia="Arial" w:hAnsi="Arial"/>
          <w:sz w:val="16"/>
          <w:szCs w:val="16"/>
          <w:color w:val="1A3FD6"/>
        </w:rPr>
      </w:pPr>
    </w:p>
    <w:p>
      <w:pPr>
        <w:ind w:left="220" w:right="20" w:hanging="194"/>
        <w:spacing w:after="0" w:line="266" w:lineRule="auto"/>
        <w:tabs>
          <w:tab w:leader="none" w:pos="217" w:val="left"/>
        </w:tabs>
        <w:numPr>
          <w:ilvl w:val="0"/>
          <w:numId w:val="35"/>
        </w:numPr>
        <w:rPr>
          <w:rFonts w:ascii="Arial" w:cs="Arial" w:eastAsia="Arial" w:hAnsi="Arial"/>
          <w:sz w:val="16"/>
          <w:szCs w:val="16"/>
          <w:color w:val="1A3FD6"/>
        </w:rPr>
      </w:pPr>
      <w:r>
        <w:rPr>
          <w:rFonts w:ascii="Arial" w:cs="Arial" w:eastAsia="Arial" w:hAnsi="Arial"/>
          <w:sz w:val="16"/>
          <w:szCs w:val="16"/>
          <w:color w:val="auto"/>
        </w:rPr>
        <w:t>Periodically reviews, in consultation with the CEO, the Company’s management succession and progression planning and oversees the Company’s talent management, progression planning, career progression and retention strategies and programs, including the Company’s learning and leadership development and inclusion and belonging programs.</w:t>
      </w:r>
    </w:p>
    <w:p>
      <w:pPr>
        <w:spacing w:after="0" w:line="9" w:lineRule="exact"/>
        <w:rPr>
          <w:rFonts w:ascii="Arial" w:cs="Arial" w:eastAsia="Arial" w:hAnsi="Arial"/>
          <w:sz w:val="16"/>
          <w:szCs w:val="16"/>
          <w:color w:val="1A3FD6"/>
        </w:rPr>
      </w:pPr>
    </w:p>
    <w:p>
      <w:pPr>
        <w:ind w:left="220" w:hanging="194"/>
        <w:spacing w:after="0"/>
        <w:tabs>
          <w:tab w:leader="none" w:pos="220" w:val="left"/>
        </w:tabs>
        <w:numPr>
          <w:ilvl w:val="0"/>
          <w:numId w:val="35"/>
        </w:numPr>
        <w:rPr>
          <w:rFonts w:ascii="Arial" w:cs="Arial" w:eastAsia="Arial" w:hAnsi="Arial"/>
          <w:sz w:val="16"/>
          <w:szCs w:val="16"/>
          <w:color w:val="1A3FD6"/>
        </w:rPr>
      </w:pPr>
      <w:r>
        <w:rPr>
          <w:rFonts w:ascii="Arial" w:cs="Arial" w:eastAsia="Arial" w:hAnsi="Arial"/>
          <w:sz w:val="16"/>
          <w:szCs w:val="16"/>
          <w:color w:val="auto"/>
        </w:rPr>
        <w:t>At least annually, reviews each Executive’s progress on sustainability initiatives, including key performance metrics.</w:t>
      </w:r>
    </w:p>
    <w:p>
      <w:pPr>
        <w:spacing w:after="0" w:line="59" w:lineRule="exact"/>
        <w:rPr>
          <w:rFonts w:ascii="Arial" w:cs="Arial" w:eastAsia="Arial" w:hAnsi="Arial"/>
          <w:sz w:val="16"/>
          <w:szCs w:val="16"/>
          <w:color w:val="1A3FD6"/>
        </w:rPr>
      </w:pPr>
    </w:p>
    <w:p>
      <w:pPr>
        <w:ind w:left="220" w:right="620" w:hanging="194"/>
        <w:spacing w:after="0" w:line="257" w:lineRule="auto"/>
        <w:tabs>
          <w:tab w:leader="none" w:pos="217" w:val="left"/>
        </w:tabs>
        <w:numPr>
          <w:ilvl w:val="0"/>
          <w:numId w:val="35"/>
        </w:numPr>
        <w:rPr>
          <w:rFonts w:ascii="Arial" w:cs="Arial" w:eastAsia="Arial" w:hAnsi="Arial"/>
          <w:sz w:val="16"/>
          <w:szCs w:val="16"/>
          <w:color w:val="1A3FD6"/>
        </w:rPr>
      </w:pPr>
      <w:r>
        <w:rPr>
          <w:rFonts w:ascii="Arial" w:cs="Arial" w:eastAsia="Arial" w:hAnsi="Arial"/>
          <w:sz w:val="16"/>
          <w:szCs w:val="16"/>
          <w:color w:val="auto"/>
        </w:rPr>
        <w:t>Periodically reviews the Company’s initiatives and strategies relating to corporate culture, including considering the Company’s performance, engagement and pay-for-performance alignment when reviewing the workplace environment and culture and periodic reviews of the results of the Company’s employee engagement and external surveys.</w:t>
      </w:r>
    </w:p>
    <w:p>
      <w:pPr>
        <w:spacing w:after="0" w:line="16" w:lineRule="exact"/>
        <w:rPr>
          <w:rFonts w:ascii="Arial" w:cs="Arial" w:eastAsia="Arial" w:hAnsi="Arial"/>
          <w:sz w:val="16"/>
          <w:szCs w:val="16"/>
          <w:color w:val="1A3FD6"/>
        </w:rPr>
      </w:pPr>
    </w:p>
    <w:p>
      <w:pPr>
        <w:ind w:left="220" w:right="160" w:hanging="194"/>
        <w:spacing w:after="0" w:line="264" w:lineRule="auto"/>
        <w:tabs>
          <w:tab w:leader="none" w:pos="217" w:val="left"/>
        </w:tabs>
        <w:numPr>
          <w:ilvl w:val="0"/>
          <w:numId w:val="35"/>
        </w:numPr>
        <w:rPr>
          <w:rFonts w:ascii="Arial" w:cs="Arial" w:eastAsia="Arial" w:hAnsi="Arial"/>
          <w:sz w:val="16"/>
          <w:szCs w:val="16"/>
          <w:color w:val="1A3FD6"/>
        </w:rPr>
      </w:pPr>
      <w:r>
        <w:rPr>
          <w:rFonts w:ascii="Arial" w:cs="Arial" w:eastAsia="Arial" w:hAnsi="Arial"/>
          <w:sz w:val="16"/>
          <w:szCs w:val="16"/>
          <w:color w:val="auto"/>
        </w:rPr>
        <w:t>Reviews and discusses with management the “Compensation Discussion and Analysis” section of the Company’s annual proxy statement, prepares the Compensation, Talent and Culture Committee Report required by SEC rules and recommends to the Board the inclusion of each in the Company’s annual proxy statement (included on pages 58 and 83 of this Proxy Statement, respectively).</w:t>
      </w:r>
    </w:p>
    <w:p>
      <w:pPr>
        <w:ind w:left="220" w:right="200" w:hanging="194"/>
        <w:spacing w:after="0" w:line="281" w:lineRule="auto"/>
        <w:tabs>
          <w:tab w:leader="none" w:pos="217" w:val="left"/>
        </w:tabs>
        <w:numPr>
          <w:ilvl w:val="0"/>
          <w:numId w:val="35"/>
        </w:numPr>
        <w:rPr>
          <w:rFonts w:ascii="Arial" w:cs="Arial" w:eastAsia="Arial" w:hAnsi="Arial"/>
          <w:sz w:val="16"/>
          <w:szCs w:val="16"/>
          <w:color w:val="1A3FD6"/>
        </w:rPr>
      </w:pPr>
      <w:r>
        <w:rPr>
          <w:rFonts w:ascii="Arial" w:cs="Arial" w:eastAsia="Arial" w:hAnsi="Arial"/>
          <w:sz w:val="16"/>
          <w:szCs w:val="16"/>
          <w:color w:val="auto"/>
        </w:rPr>
        <w:t>Reviews and makes recommendations to the Board with respect to the frequency with which the Company will conduct “Say on Pay” votes and reviews and approves the proposals regarding the “Say on Pay” vote.</w:t>
      </w:r>
    </w:p>
    <w:p>
      <w:pPr>
        <w:spacing w:after="0" w:line="1" w:lineRule="exact"/>
        <w:rPr>
          <w:rFonts w:ascii="Arial" w:cs="Arial" w:eastAsia="Arial" w:hAnsi="Arial"/>
          <w:sz w:val="16"/>
          <w:szCs w:val="16"/>
          <w:color w:val="1A3FD6"/>
        </w:rPr>
      </w:pPr>
    </w:p>
    <w:p>
      <w:pPr>
        <w:ind w:left="220" w:right="300" w:hanging="194"/>
        <w:spacing w:after="0" w:line="281" w:lineRule="auto"/>
        <w:tabs>
          <w:tab w:leader="none" w:pos="217" w:val="left"/>
        </w:tabs>
        <w:numPr>
          <w:ilvl w:val="0"/>
          <w:numId w:val="35"/>
        </w:numPr>
        <w:rPr>
          <w:rFonts w:ascii="Arial" w:cs="Arial" w:eastAsia="Arial" w:hAnsi="Arial"/>
          <w:sz w:val="16"/>
          <w:szCs w:val="16"/>
          <w:color w:val="1A3FD6"/>
        </w:rPr>
      </w:pPr>
      <w:r>
        <w:rPr>
          <w:rFonts w:ascii="Arial" w:cs="Arial" w:eastAsia="Arial" w:hAnsi="Arial"/>
          <w:sz w:val="16"/>
          <w:szCs w:val="16"/>
          <w:color w:val="auto"/>
        </w:rPr>
        <w:t>Considers the independence requirements of the NYSE prior to selecting a compensation consultant, legal counsel or other advisor and evaluates the performance of such advisors and approves all related fees.</w:t>
      </w:r>
    </w:p>
    <w:p>
      <w:pPr>
        <w:spacing w:after="0" w:line="1" w:lineRule="exact"/>
        <w:rPr>
          <w:rFonts w:ascii="Arial" w:cs="Arial" w:eastAsia="Arial" w:hAnsi="Arial"/>
          <w:sz w:val="16"/>
          <w:szCs w:val="16"/>
          <w:color w:val="1A3FD6"/>
        </w:rPr>
      </w:pPr>
    </w:p>
    <w:p>
      <w:pPr>
        <w:ind w:left="220" w:right="20" w:hanging="194"/>
        <w:spacing w:after="0" w:line="268" w:lineRule="auto"/>
        <w:tabs>
          <w:tab w:leader="none" w:pos="217" w:val="left"/>
        </w:tabs>
        <w:numPr>
          <w:ilvl w:val="0"/>
          <w:numId w:val="35"/>
        </w:numPr>
        <w:rPr>
          <w:rFonts w:ascii="Arial" w:cs="Arial" w:eastAsia="Arial" w:hAnsi="Arial"/>
          <w:sz w:val="16"/>
          <w:szCs w:val="16"/>
          <w:color w:val="1A3FD6"/>
        </w:rPr>
      </w:pPr>
      <w:r>
        <w:rPr>
          <w:rFonts w:ascii="Arial" w:cs="Arial" w:eastAsia="Arial" w:hAnsi="Arial"/>
          <w:sz w:val="16"/>
          <w:szCs w:val="16"/>
          <w:color w:val="auto"/>
        </w:rPr>
        <w:t>At least annually, reviews and assesses the adequacy of the Company’s Global Human Rights Policy, including any related disclosures, and recommends proposed changes to the Board, if required.</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A3FD6"/>
        </w:rPr>
        <w:t>KEY AREAS OF FOCUS IN 2024:</w:t>
      </w:r>
    </w:p>
    <w:p>
      <w:pPr>
        <w:spacing w:after="0" w:line="68" w:lineRule="exact"/>
        <w:rPr>
          <w:sz w:val="20"/>
          <w:szCs w:val="20"/>
          <w:color w:val="auto"/>
        </w:rPr>
      </w:pPr>
    </w:p>
    <w:p>
      <w:pPr>
        <w:ind w:left="220" w:hanging="194"/>
        <w:spacing w:after="0"/>
        <w:tabs>
          <w:tab w:leader="none" w:pos="220" w:val="left"/>
        </w:tabs>
        <w:numPr>
          <w:ilvl w:val="0"/>
          <w:numId w:val="36"/>
        </w:numPr>
        <w:rPr>
          <w:rFonts w:ascii="Arial" w:cs="Arial" w:eastAsia="Arial" w:hAnsi="Arial"/>
          <w:sz w:val="16"/>
          <w:szCs w:val="16"/>
          <w:color w:val="1A3FD6"/>
        </w:rPr>
      </w:pPr>
      <w:r>
        <w:rPr>
          <w:rFonts w:ascii="Arial" w:cs="Arial" w:eastAsia="Arial" w:hAnsi="Arial"/>
          <w:sz w:val="16"/>
          <w:szCs w:val="16"/>
          <w:color w:val="auto"/>
        </w:rPr>
        <w:t>Oversight of executive compensation programs, including short-term and long-term incentive plans.</w:t>
      </w:r>
    </w:p>
    <w:p>
      <w:pPr>
        <w:spacing w:after="0" w:line="59" w:lineRule="exact"/>
        <w:rPr>
          <w:rFonts w:ascii="Arial" w:cs="Arial" w:eastAsia="Arial" w:hAnsi="Arial"/>
          <w:sz w:val="16"/>
          <w:szCs w:val="16"/>
          <w:color w:val="1A3FD6"/>
        </w:rPr>
      </w:pPr>
    </w:p>
    <w:p>
      <w:pPr>
        <w:ind w:left="220" w:hanging="194"/>
        <w:spacing w:after="0"/>
        <w:tabs>
          <w:tab w:leader="none" w:pos="220" w:val="left"/>
        </w:tabs>
        <w:numPr>
          <w:ilvl w:val="0"/>
          <w:numId w:val="36"/>
        </w:numPr>
        <w:rPr>
          <w:rFonts w:ascii="Arial" w:cs="Arial" w:eastAsia="Arial" w:hAnsi="Arial"/>
          <w:sz w:val="16"/>
          <w:szCs w:val="16"/>
          <w:color w:val="1A3FD6"/>
        </w:rPr>
      </w:pPr>
      <w:r>
        <w:rPr>
          <w:rFonts w:ascii="Arial" w:cs="Arial" w:eastAsia="Arial" w:hAnsi="Arial"/>
          <w:sz w:val="16"/>
          <w:szCs w:val="16"/>
          <w:color w:val="auto"/>
        </w:rPr>
        <w:t>Senior leader succession and progression planning.</w:t>
      </w:r>
    </w:p>
    <w:p>
      <w:pPr>
        <w:spacing w:after="0" w:line="45" w:lineRule="exact"/>
        <w:rPr>
          <w:rFonts w:ascii="Arial" w:cs="Arial" w:eastAsia="Arial" w:hAnsi="Arial"/>
          <w:sz w:val="16"/>
          <w:szCs w:val="16"/>
          <w:color w:val="1A3FD6"/>
        </w:rPr>
      </w:pPr>
    </w:p>
    <w:p>
      <w:pPr>
        <w:ind w:left="220" w:hanging="194"/>
        <w:spacing w:after="0"/>
        <w:tabs>
          <w:tab w:leader="none" w:pos="220" w:val="left"/>
        </w:tabs>
        <w:numPr>
          <w:ilvl w:val="0"/>
          <w:numId w:val="36"/>
        </w:numPr>
        <w:rPr>
          <w:rFonts w:ascii="Arial" w:cs="Arial" w:eastAsia="Arial" w:hAnsi="Arial"/>
          <w:sz w:val="16"/>
          <w:szCs w:val="16"/>
          <w:color w:val="1A3FD6"/>
        </w:rPr>
      </w:pPr>
      <w:r>
        <w:rPr>
          <w:rFonts w:ascii="Arial" w:cs="Arial" w:eastAsia="Arial" w:hAnsi="Arial"/>
          <w:sz w:val="16"/>
          <w:szCs w:val="16"/>
          <w:color w:val="auto"/>
        </w:rPr>
        <w:t>Oversight and implementation of compensation plans and practices, as well as designing the MSCI Inc. 2025 Omnibus Incentive Plan.</w:t>
      </w:r>
    </w:p>
    <w:p>
      <w:pPr>
        <w:spacing w:after="0" w:line="59" w:lineRule="exact"/>
        <w:rPr>
          <w:rFonts w:ascii="Arial" w:cs="Arial" w:eastAsia="Arial" w:hAnsi="Arial"/>
          <w:sz w:val="16"/>
          <w:szCs w:val="16"/>
          <w:color w:val="1A3FD6"/>
        </w:rPr>
      </w:pPr>
    </w:p>
    <w:p>
      <w:pPr>
        <w:ind w:left="220" w:hanging="194"/>
        <w:spacing w:after="0"/>
        <w:tabs>
          <w:tab w:leader="none" w:pos="220" w:val="left"/>
        </w:tabs>
        <w:numPr>
          <w:ilvl w:val="0"/>
          <w:numId w:val="36"/>
        </w:numPr>
        <w:rPr>
          <w:rFonts w:ascii="Arial" w:cs="Arial" w:eastAsia="Arial" w:hAnsi="Arial"/>
          <w:sz w:val="16"/>
          <w:szCs w:val="16"/>
          <w:color w:val="1A3FD6"/>
        </w:rPr>
      </w:pPr>
      <w:r>
        <w:rPr>
          <w:rFonts w:ascii="Arial" w:cs="Arial" w:eastAsia="Arial" w:hAnsi="Arial"/>
          <w:sz w:val="16"/>
          <w:szCs w:val="16"/>
          <w:color w:val="auto"/>
        </w:rPr>
        <w:t>Continued focus on the Company’s performance culture and monitoring of the Company’s employee engagement.</w:t>
      </w:r>
    </w:p>
    <w:p>
      <w:pPr>
        <w:spacing w:after="0" w:line="73" w:lineRule="exact"/>
        <w:rPr>
          <w:sz w:val="20"/>
          <w:szCs w:val="20"/>
          <w:color w:val="auto"/>
        </w:rPr>
      </w:pPr>
    </w:p>
    <w:p>
      <w:pPr>
        <w:ind w:left="20" w:right="540"/>
        <w:spacing w:after="0" w:line="259" w:lineRule="auto"/>
        <w:rPr>
          <w:sz w:val="20"/>
          <w:szCs w:val="20"/>
          <w:color w:val="auto"/>
        </w:rPr>
      </w:pPr>
      <w:r>
        <w:rPr>
          <w:rFonts w:ascii="Arial" w:cs="Arial" w:eastAsia="Arial" w:hAnsi="Arial"/>
          <w:sz w:val="16"/>
          <w:szCs w:val="16"/>
          <w:b w:val="1"/>
          <w:bCs w:val="1"/>
          <w:color w:val="auto"/>
        </w:rPr>
        <w:t xml:space="preserve">Compensation Committee Interlocks and Insider Participation: </w:t>
      </w:r>
      <w:r>
        <w:rPr>
          <w:rFonts w:ascii="Arial" w:cs="Arial" w:eastAsia="Arial" w:hAnsi="Arial"/>
          <w:sz w:val="16"/>
          <w:szCs w:val="16"/>
          <w:color w:val="auto"/>
        </w:rPr>
        <w:t>No member of the Compensation Committee is now, or has been, an officer or</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of the Company, or had any relationship with the Company since January 1, 2024 requiring disclosure under applicable SEC rules on the disclosure of transactions with related persons. None of our NEOs currently serves or served during 2024 on the board of directors or compensation committee of another company at any time during which an executive officer of such company served on MSCI’s Board or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Wayne Edmunds is not standing for re-election at the 2025 Annual Meeting but will remain on the Board through the date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685165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type w:val="continuous"/>
        </w:sectPr>
      </w:pPr>
    </w:p>
    <w:bookmarkStart w:id="39" w:name="page40"/>
    <w:bookmarkEnd w:id="39"/>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38</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Governance and Corporate Responsibility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0629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062990"/>
                    </a:xfrm>
                    <a:prstGeom prst="rect">
                      <a:avLst/>
                    </a:prstGeom>
                    <a:noFill/>
                  </pic:spPr>
                </pic:pic>
              </a:graphicData>
            </a:graphic>
          </wp:anchor>
        </w:drawing>
      </w:r>
    </w:p>
    <w:p>
      <w:pPr>
        <w:sectPr>
          <w:pgSz w:w="11900" w:h="16838" w:orient="portrait"/>
          <w:cols w:equalWidth="0" w:num="1">
            <w:col w:w="11160"/>
          </w:cols>
          <w:pgMar w:left="320" w:top="292" w:right="41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CURRENT MEMBERS:</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Linda H. Riefler (Chair)</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Robert G. Ashe</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Robin L. Matlock</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Sandy C. Rattray</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HELD IN 2024: 6</w:t>
      </w:r>
    </w:p>
    <w:p>
      <w:pPr>
        <w:spacing w:after="0" w:line="135" w:lineRule="exact"/>
        <w:rPr>
          <w:sz w:val="20"/>
          <w:szCs w:val="20"/>
          <w:color w:val="auto"/>
        </w:rPr>
      </w:pPr>
    </w:p>
    <w:p>
      <w:pPr>
        <w:ind w:left="200" w:right="380" w:hanging="191"/>
        <w:spacing w:after="0" w:line="304" w:lineRule="auto"/>
        <w:tabs>
          <w:tab w:leader="none" w:pos="197" w:val="left"/>
        </w:tabs>
        <w:numPr>
          <w:ilvl w:val="0"/>
          <w:numId w:val="37"/>
        </w:numPr>
        <w:rPr>
          <w:rFonts w:ascii="Arial" w:cs="Arial" w:eastAsia="Arial" w:hAnsi="Arial"/>
          <w:sz w:val="16"/>
          <w:szCs w:val="16"/>
          <w:color w:val="1A3FD6"/>
        </w:rPr>
      </w:pPr>
      <w:r>
        <w:rPr>
          <w:rFonts w:ascii="Arial" w:cs="Arial" w:eastAsia="Arial" w:hAnsi="Arial"/>
          <w:sz w:val="16"/>
          <w:szCs w:val="16"/>
          <w:color w:val="auto"/>
        </w:rPr>
        <w:t>All members are independent within the meaning of the NYSE standards of independence for directors.</w:t>
      </w:r>
    </w:p>
    <w:p>
      <w:pPr>
        <w:spacing w:after="0" w:line="673" w:lineRule="exact"/>
        <w:rPr>
          <w:sz w:val="20"/>
          <w:szCs w:val="20"/>
          <w:color w:val="auto"/>
        </w:rPr>
      </w:pPr>
    </w:p>
    <w:p>
      <w:pPr>
        <w:sectPr>
          <w:pgSz w:w="11900" w:h="16838" w:orient="portrait"/>
          <w:cols w:equalWidth="0" w:num="2">
            <w:col w:w="3180" w:space="720"/>
            <w:col w:w="7260"/>
          </w:cols>
          <w:pgMar w:left="320" w:top="292" w:right="419" w:bottom="1440" w:gutter="0" w:footer="0" w:header="0"/>
          <w:type w:val="continuous"/>
        </w:sect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A3FD6"/>
        </w:rPr>
        <w:t>PRIMARY RESPONSIBILITIES:</w:t>
      </w:r>
    </w:p>
    <w:p>
      <w:pPr>
        <w:spacing w:after="0" w:line="135" w:lineRule="exact"/>
        <w:rPr>
          <w:sz w:val="20"/>
          <w:szCs w:val="20"/>
          <w:color w:val="auto"/>
        </w:rPr>
      </w:pPr>
    </w:p>
    <w:p>
      <w:pPr>
        <w:ind w:left="220" w:right="100" w:hanging="194"/>
        <w:spacing w:after="0" w:line="292" w:lineRule="auto"/>
        <w:tabs>
          <w:tab w:leader="none" w:pos="217" w:val="left"/>
        </w:tabs>
        <w:numPr>
          <w:ilvl w:val="0"/>
          <w:numId w:val="38"/>
        </w:numPr>
        <w:rPr>
          <w:rFonts w:ascii="Arial" w:cs="Arial" w:eastAsia="Arial" w:hAnsi="Arial"/>
          <w:sz w:val="16"/>
          <w:szCs w:val="16"/>
          <w:color w:val="1A3FD6"/>
        </w:rPr>
      </w:pPr>
      <w:r>
        <w:rPr>
          <w:rFonts w:ascii="Arial" w:cs="Arial" w:eastAsia="Arial" w:hAnsi="Arial"/>
          <w:sz w:val="16"/>
          <w:szCs w:val="16"/>
          <w:color w:val="auto"/>
        </w:rPr>
        <w:t>Annually reviews the size and composition of the Board and its committees in light of the current needs of the Board, the Company and each committee and considers judgment, diversity, age, skills, background and business experience in doing so, including by considering succession planning for the Board and key leadership roles on the Board and its committees.</w:t>
      </w:r>
    </w:p>
    <w:p>
      <w:pPr>
        <w:spacing w:after="0" w:line="16" w:lineRule="exact"/>
        <w:rPr>
          <w:rFonts w:ascii="Arial" w:cs="Arial" w:eastAsia="Arial" w:hAnsi="Arial"/>
          <w:sz w:val="16"/>
          <w:szCs w:val="16"/>
          <w:color w:val="1A3FD6"/>
        </w:rPr>
      </w:pPr>
    </w:p>
    <w:p>
      <w:pPr>
        <w:ind w:left="220" w:hanging="194"/>
        <w:spacing w:after="0" w:line="304" w:lineRule="auto"/>
        <w:tabs>
          <w:tab w:leader="none" w:pos="217" w:val="left"/>
        </w:tabs>
        <w:numPr>
          <w:ilvl w:val="0"/>
          <w:numId w:val="38"/>
        </w:numPr>
        <w:rPr>
          <w:rFonts w:ascii="Arial" w:cs="Arial" w:eastAsia="Arial" w:hAnsi="Arial"/>
          <w:sz w:val="16"/>
          <w:szCs w:val="16"/>
          <w:color w:val="1A3FD6"/>
        </w:rPr>
      </w:pPr>
      <w:r>
        <w:rPr>
          <w:rFonts w:ascii="Arial" w:cs="Arial" w:eastAsia="Arial" w:hAnsi="Arial"/>
          <w:sz w:val="16"/>
          <w:szCs w:val="16"/>
          <w:color w:val="auto"/>
        </w:rPr>
        <w:t>Oversees searches for candidates for election to the Board and recommends criteria and individuals for appointment to the Board and its committees. As part of the search process for each new director, instructs any search firm to identify a diverse slate of candidates.</w:t>
      </w:r>
    </w:p>
    <w:p>
      <w:pPr>
        <w:spacing w:after="0" w:line="6" w:lineRule="exact"/>
        <w:rPr>
          <w:rFonts w:ascii="Arial" w:cs="Arial" w:eastAsia="Arial" w:hAnsi="Arial"/>
          <w:sz w:val="16"/>
          <w:szCs w:val="16"/>
          <w:color w:val="1A3FD6"/>
        </w:rPr>
      </w:pPr>
    </w:p>
    <w:p>
      <w:pPr>
        <w:ind w:left="220" w:right="160" w:hanging="194"/>
        <w:spacing w:after="0" w:line="304" w:lineRule="auto"/>
        <w:tabs>
          <w:tab w:leader="none" w:pos="217" w:val="left"/>
        </w:tabs>
        <w:numPr>
          <w:ilvl w:val="0"/>
          <w:numId w:val="38"/>
        </w:numPr>
        <w:rPr>
          <w:rFonts w:ascii="Arial" w:cs="Arial" w:eastAsia="Arial" w:hAnsi="Arial"/>
          <w:sz w:val="16"/>
          <w:szCs w:val="16"/>
          <w:color w:val="1A3FD6"/>
        </w:rPr>
      </w:pPr>
      <w:r>
        <w:rPr>
          <w:rFonts w:ascii="Arial" w:cs="Arial" w:eastAsia="Arial" w:hAnsi="Arial"/>
          <w:sz w:val="16"/>
          <w:szCs w:val="16"/>
          <w:color w:val="auto"/>
        </w:rPr>
        <w:t>Retains any search firm that assists the Governance Committee in identifying candidates and maintains sole authority to approve all such search firms’ fees and other retention terms.</w:t>
      </w:r>
    </w:p>
    <w:p>
      <w:pPr>
        <w:spacing w:after="0" w:line="6" w:lineRule="exact"/>
        <w:rPr>
          <w:rFonts w:ascii="Arial" w:cs="Arial" w:eastAsia="Arial" w:hAnsi="Arial"/>
          <w:sz w:val="16"/>
          <w:szCs w:val="16"/>
          <w:color w:val="1A3FD6"/>
        </w:rPr>
      </w:pPr>
    </w:p>
    <w:p>
      <w:pPr>
        <w:ind w:left="220" w:hanging="194"/>
        <w:spacing w:after="0"/>
        <w:tabs>
          <w:tab w:leader="none" w:pos="220" w:val="left"/>
        </w:tabs>
        <w:numPr>
          <w:ilvl w:val="0"/>
          <w:numId w:val="38"/>
        </w:numPr>
        <w:rPr>
          <w:rFonts w:ascii="Arial" w:cs="Arial" w:eastAsia="Arial" w:hAnsi="Arial"/>
          <w:sz w:val="16"/>
          <w:szCs w:val="16"/>
          <w:color w:val="1A3FD6"/>
        </w:rPr>
      </w:pPr>
      <w:r>
        <w:rPr>
          <w:rFonts w:ascii="Arial" w:cs="Arial" w:eastAsia="Arial" w:hAnsi="Arial"/>
          <w:sz w:val="16"/>
          <w:szCs w:val="16"/>
          <w:color w:val="auto"/>
        </w:rPr>
        <w:t>Makes recommendations to the Board as to determinations of director independence.</w:t>
      </w:r>
    </w:p>
    <w:p>
      <w:pPr>
        <w:spacing w:after="0" w:line="72" w:lineRule="exact"/>
        <w:rPr>
          <w:rFonts w:ascii="Arial" w:cs="Arial" w:eastAsia="Arial" w:hAnsi="Arial"/>
          <w:sz w:val="16"/>
          <w:szCs w:val="16"/>
          <w:color w:val="1A3FD6"/>
        </w:rPr>
      </w:pPr>
    </w:p>
    <w:p>
      <w:pPr>
        <w:ind w:left="220" w:right="220" w:hanging="194"/>
        <w:spacing w:after="0" w:line="316" w:lineRule="auto"/>
        <w:tabs>
          <w:tab w:leader="none" w:pos="217" w:val="left"/>
        </w:tabs>
        <w:numPr>
          <w:ilvl w:val="0"/>
          <w:numId w:val="38"/>
        </w:numPr>
        <w:rPr>
          <w:rFonts w:ascii="Arial" w:cs="Arial" w:eastAsia="Arial" w:hAnsi="Arial"/>
          <w:sz w:val="16"/>
          <w:szCs w:val="16"/>
          <w:color w:val="1A3FD6"/>
        </w:rPr>
      </w:pPr>
      <w:r>
        <w:rPr>
          <w:rFonts w:ascii="Arial" w:cs="Arial" w:eastAsia="Arial" w:hAnsi="Arial"/>
          <w:sz w:val="16"/>
          <w:szCs w:val="16"/>
          <w:color w:val="auto"/>
        </w:rPr>
        <w:t>Oversees and approves the process and guidelines for the annual evaluation of performance and effectiveness of the Lead Director, the Board and its committees, and individual directors.</w:t>
      </w:r>
    </w:p>
    <w:p>
      <w:pPr>
        <w:spacing w:after="0" w:line="1" w:lineRule="exact"/>
        <w:rPr>
          <w:rFonts w:ascii="Arial" w:cs="Arial" w:eastAsia="Arial" w:hAnsi="Arial"/>
          <w:sz w:val="16"/>
          <w:szCs w:val="16"/>
          <w:color w:val="1A3FD6"/>
        </w:rPr>
      </w:pPr>
    </w:p>
    <w:p>
      <w:pPr>
        <w:ind w:left="220" w:hanging="194"/>
        <w:spacing w:after="0" w:line="292" w:lineRule="auto"/>
        <w:tabs>
          <w:tab w:leader="none" w:pos="217" w:val="left"/>
        </w:tabs>
        <w:numPr>
          <w:ilvl w:val="0"/>
          <w:numId w:val="38"/>
        </w:numPr>
        <w:rPr>
          <w:rFonts w:ascii="Arial" w:cs="Arial" w:eastAsia="Arial" w:hAnsi="Arial"/>
          <w:sz w:val="16"/>
          <w:szCs w:val="16"/>
          <w:color w:val="1A3FD6"/>
        </w:rPr>
      </w:pPr>
      <w:r>
        <w:rPr>
          <w:rFonts w:ascii="Arial" w:cs="Arial" w:eastAsia="Arial" w:hAnsi="Arial"/>
          <w:sz w:val="16"/>
          <w:szCs w:val="16"/>
          <w:color w:val="auto"/>
        </w:rPr>
        <w:t>Oversees the Company’s policies and initiatives related to corporate responsibility matters, including with respect to environmental, supply chain and other sustainability matters. Reviews with the Company’s management, including the Chief Responsibility Officer, the Company’s corporate responsibility initiatives and priorities.</w:t>
      </w:r>
    </w:p>
    <w:p>
      <w:pPr>
        <w:spacing w:after="0" w:line="3" w:lineRule="exact"/>
        <w:rPr>
          <w:rFonts w:ascii="Arial" w:cs="Arial" w:eastAsia="Arial" w:hAnsi="Arial"/>
          <w:sz w:val="16"/>
          <w:szCs w:val="16"/>
          <w:color w:val="1A3FD6"/>
        </w:rPr>
      </w:pPr>
    </w:p>
    <w:p>
      <w:pPr>
        <w:ind w:left="220" w:hanging="194"/>
        <w:spacing w:after="0"/>
        <w:tabs>
          <w:tab w:leader="none" w:pos="220" w:val="left"/>
        </w:tabs>
        <w:numPr>
          <w:ilvl w:val="0"/>
          <w:numId w:val="38"/>
        </w:numPr>
        <w:rPr>
          <w:rFonts w:ascii="Arial" w:cs="Arial" w:eastAsia="Arial" w:hAnsi="Arial"/>
          <w:sz w:val="16"/>
          <w:szCs w:val="16"/>
          <w:color w:val="1A3FD6"/>
        </w:rPr>
      </w:pPr>
      <w:r>
        <w:rPr>
          <w:rFonts w:ascii="Arial" w:cs="Arial" w:eastAsia="Arial" w:hAnsi="Arial"/>
          <w:sz w:val="16"/>
          <w:szCs w:val="16"/>
          <w:color w:val="auto"/>
        </w:rPr>
        <w:t>Evaluates the Company’s shareholder engagement practices on corporate responsibility matters and considers feedback received from shareholders.</w:t>
      </w:r>
    </w:p>
    <w:p>
      <w:pPr>
        <w:spacing w:after="0" w:line="86" w:lineRule="exact"/>
        <w:rPr>
          <w:rFonts w:ascii="Arial" w:cs="Arial" w:eastAsia="Arial" w:hAnsi="Arial"/>
          <w:sz w:val="16"/>
          <w:szCs w:val="16"/>
          <w:color w:val="1A3FD6"/>
        </w:rPr>
      </w:pPr>
    </w:p>
    <w:p>
      <w:pPr>
        <w:ind w:left="220" w:right="340" w:hanging="194"/>
        <w:spacing w:after="0" w:line="292" w:lineRule="auto"/>
        <w:tabs>
          <w:tab w:leader="none" w:pos="217" w:val="left"/>
        </w:tabs>
        <w:numPr>
          <w:ilvl w:val="0"/>
          <w:numId w:val="38"/>
        </w:numPr>
        <w:rPr>
          <w:rFonts w:ascii="Arial" w:cs="Arial" w:eastAsia="Arial" w:hAnsi="Arial"/>
          <w:sz w:val="16"/>
          <w:szCs w:val="16"/>
          <w:color w:val="1A3FD6"/>
        </w:rPr>
      </w:pPr>
      <w:r>
        <w:rPr>
          <w:rFonts w:ascii="Arial" w:cs="Arial" w:eastAsia="Arial" w:hAnsi="Arial"/>
          <w:sz w:val="16"/>
          <w:szCs w:val="16"/>
          <w:color w:val="auto"/>
        </w:rPr>
        <w:t>At least annually, reviews and assesses the adequacy of the Company’s Corporate Governance Policies and Code of Ethics and Business Conduct. Reviews with the Company’s management, including the Head of Compliance, the Company’s Compliance program, priorities, initiatives, risks and mitigations.</w:t>
      </w:r>
    </w:p>
    <w:p>
      <w:pPr>
        <w:spacing w:after="0" w:line="16" w:lineRule="exact"/>
        <w:rPr>
          <w:rFonts w:ascii="Arial" w:cs="Arial" w:eastAsia="Arial" w:hAnsi="Arial"/>
          <w:sz w:val="16"/>
          <w:szCs w:val="16"/>
          <w:color w:val="1A3FD6"/>
        </w:rPr>
      </w:pPr>
    </w:p>
    <w:p>
      <w:pPr>
        <w:ind w:left="220" w:right="260" w:hanging="194"/>
        <w:spacing w:after="0" w:line="304" w:lineRule="auto"/>
        <w:tabs>
          <w:tab w:leader="none" w:pos="217" w:val="left"/>
        </w:tabs>
        <w:numPr>
          <w:ilvl w:val="0"/>
          <w:numId w:val="38"/>
        </w:numPr>
        <w:rPr>
          <w:rFonts w:ascii="Arial" w:cs="Arial" w:eastAsia="Arial" w:hAnsi="Arial"/>
          <w:sz w:val="16"/>
          <w:szCs w:val="16"/>
          <w:color w:val="1A3FD6"/>
        </w:rPr>
      </w:pPr>
      <w:r>
        <w:rPr>
          <w:rFonts w:ascii="Arial" w:cs="Arial" w:eastAsia="Arial" w:hAnsi="Arial"/>
          <w:sz w:val="16"/>
          <w:szCs w:val="16"/>
          <w:color w:val="auto"/>
        </w:rPr>
        <w:t>At least annually, reviews and assesses the adequacy of the Company’s Related Person Transactions Policy and reviews related person transactions pursuant to the Related Person Transactions Policy.</w:t>
      </w:r>
    </w:p>
    <w:p>
      <w:pPr>
        <w:spacing w:after="0" w:line="6" w:lineRule="exact"/>
        <w:rPr>
          <w:rFonts w:ascii="Arial" w:cs="Arial" w:eastAsia="Arial" w:hAnsi="Arial"/>
          <w:sz w:val="16"/>
          <w:szCs w:val="16"/>
          <w:color w:val="1A3FD6"/>
        </w:rPr>
      </w:pPr>
    </w:p>
    <w:p>
      <w:pPr>
        <w:ind w:left="220" w:right="460" w:hanging="194"/>
        <w:spacing w:after="0" w:line="308" w:lineRule="auto"/>
        <w:tabs>
          <w:tab w:leader="none" w:pos="217" w:val="left"/>
        </w:tabs>
        <w:numPr>
          <w:ilvl w:val="0"/>
          <w:numId w:val="38"/>
        </w:numPr>
        <w:rPr>
          <w:rFonts w:ascii="Arial" w:cs="Arial" w:eastAsia="Arial" w:hAnsi="Arial"/>
          <w:sz w:val="16"/>
          <w:szCs w:val="16"/>
          <w:color w:val="1A3FD6"/>
        </w:rPr>
      </w:pPr>
      <w:r>
        <w:rPr>
          <w:rFonts w:ascii="Arial" w:cs="Arial" w:eastAsia="Arial" w:hAnsi="Arial"/>
          <w:sz w:val="16"/>
          <w:szCs w:val="16"/>
          <w:color w:val="auto"/>
        </w:rPr>
        <w:t>At least annually, reviews and assesses the adequacy of the Company’s Corporate Political Activities Policy, including any related disclosures, and recommends any proposed changes to the Board, if required.</w:t>
      </w:r>
    </w:p>
    <w:p>
      <w:pPr>
        <w:ind w:left="220" w:hanging="194"/>
        <w:spacing w:after="0" w:line="321" w:lineRule="auto"/>
        <w:tabs>
          <w:tab w:leader="none" w:pos="217" w:val="left"/>
        </w:tabs>
        <w:numPr>
          <w:ilvl w:val="0"/>
          <w:numId w:val="38"/>
        </w:numPr>
        <w:rPr>
          <w:rFonts w:ascii="Arial" w:cs="Arial" w:eastAsia="Arial" w:hAnsi="Arial"/>
          <w:sz w:val="16"/>
          <w:szCs w:val="16"/>
          <w:color w:val="1A3FD6"/>
        </w:rPr>
      </w:pPr>
      <w:r>
        <w:rPr>
          <w:rFonts w:ascii="Arial" w:cs="Arial" w:eastAsia="Arial" w:hAnsi="Arial"/>
          <w:sz w:val="16"/>
          <w:szCs w:val="16"/>
          <w:color w:val="auto"/>
        </w:rPr>
        <w:t>Oversees risks related to corporate governance structures, policies and processes, including related to the effectiveness, structure and succession of the Board.</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A3FD6"/>
        </w:rPr>
        <w:t>KEY AREAS OF FOCUS IN 2024:</w:t>
      </w:r>
    </w:p>
    <w:p>
      <w:pPr>
        <w:spacing w:after="0" w:line="135" w:lineRule="exact"/>
        <w:rPr>
          <w:sz w:val="20"/>
          <w:szCs w:val="20"/>
          <w:color w:val="auto"/>
        </w:rPr>
      </w:pPr>
    </w:p>
    <w:p>
      <w:pPr>
        <w:ind w:left="220" w:hanging="194"/>
        <w:spacing w:after="0"/>
        <w:tabs>
          <w:tab w:leader="none" w:pos="220" w:val="left"/>
        </w:tabs>
        <w:numPr>
          <w:ilvl w:val="0"/>
          <w:numId w:val="39"/>
        </w:numPr>
        <w:rPr>
          <w:rFonts w:ascii="Arial" w:cs="Arial" w:eastAsia="Arial" w:hAnsi="Arial"/>
          <w:sz w:val="16"/>
          <w:szCs w:val="16"/>
          <w:color w:val="1A3FD6"/>
        </w:rPr>
      </w:pPr>
      <w:r>
        <w:rPr>
          <w:rFonts w:ascii="Arial" w:cs="Arial" w:eastAsia="Arial" w:hAnsi="Arial"/>
          <w:sz w:val="16"/>
          <w:szCs w:val="16"/>
          <w:color w:val="auto"/>
        </w:rPr>
        <w:t>Reviewed Board composition and Board skills and led director search process resulting in the appointments of Michelle Seitz and June Yang in 2024.</w:t>
      </w:r>
    </w:p>
    <w:p>
      <w:pPr>
        <w:spacing w:after="0" w:line="72" w:lineRule="exact"/>
        <w:rPr>
          <w:rFonts w:ascii="Arial" w:cs="Arial" w:eastAsia="Arial" w:hAnsi="Arial"/>
          <w:sz w:val="16"/>
          <w:szCs w:val="16"/>
          <w:color w:val="1A3FD6"/>
        </w:rPr>
      </w:pPr>
    </w:p>
    <w:p>
      <w:pPr>
        <w:ind w:left="220" w:right="160" w:hanging="194"/>
        <w:spacing w:after="0" w:line="308" w:lineRule="auto"/>
        <w:tabs>
          <w:tab w:leader="none" w:pos="217" w:val="left"/>
        </w:tabs>
        <w:numPr>
          <w:ilvl w:val="0"/>
          <w:numId w:val="39"/>
        </w:numPr>
        <w:rPr>
          <w:rFonts w:ascii="Arial" w:cs="Arial" w:eastAsia="Arial" w:hAnsi="Arial"/>
          <w:sz w:val="16"/>
          <w:szCs w:val="16"/>
          <w:color w:val="1A3FD6"/>
        </w:rPr>
      </w:pPr>
      <w:r>
        <w:rPr>
          <w:rFonts w:ascii="Arial" w:cs="Arial" w:eastAsia="Arial" w:hAnsi="Arial"/>
          <w:sz w:val="16"/>
          <w:szCs w:val="16"/>
          <w:color w:val="auto"/>
        </w:rPr>
        <w:t>Reviewed recent corporate governance developments and proposed relevant updates to Company practices, including amendments to the Company’s committee charters and Corporate Governance Policies.</w:t>
      </w:r>
    </w:p>
    <w:p>
      <w:pPr>
        <w:ind w:left="220" w:hanging="194"/>
        <w:spacing w:after="0"/>
        <w:tabs>
          <w:tab w:leader="none" w:pos="220" w:val="left"/>
        </w:tabs>
        <w:numPr>
          <w:ilvl w:val="0"/>
          <w:numId w:val="39"/>
        </w:numPr>
        <w:rPr>
          <w:rFonts w:ascii="Arial" w:cs="Arial" w:eastAsia="Arial" w:hAnsi="Arial"/>
          <w:sz w:val="16"/>
          <w:szCs w:val="16"/>
          <w:color w:val="1A3FD6"/>
        </w:rPr>
      </w:pPr>
      <w:r>
        <w:rPr>
          <w:rFonts w:ascii="Arial" w:cs="Arial" w:eastAsia="Arial" w:hAnsi="Arial"/>
          <w:sz w:val="16"/>
          <w:szCs w:val="16"/>
          <w:color w:val="auto"/>
        </w:rPr>
        <w:t>Reviewed the Company’s corporate responsibility initiatives, including related feedback from the Company’s investors.</w:t>
      </w:r>
    </w:p>
    <w:p>
      <w:pPr>
        <w:spacing w:after="0" w:line="86" w:lineRule="exact"/>
        <w:rPr>
          <w:rFonts w:ascii="Arial" w:cs="Arial" w:eastAsia="Arial" w:hAnsi="Arial"/>
          <w:sz w:val="16"/>
          <w:szCs w:val="16"/>
          <w:color w:val="1A3FD6"/>
        </w:rPr>
      </w:pPr>
    </w:p>
    <w:p>
      <w:pPr>
        <w:ind w:left="220" w:hanging="194"/>
        <w:spacing w:after="0"/>
        <w:tabs>
          <w:tab w:leader="none" w:pos="220" w:val="left"/>
        </w:tabs>
        <w:numPr>
          <w:ilvl w:val="0"/>
          <w:numId w:val="39"/>
        </w:numPr>
        <w:rPr>
          <w:rFonts w:ascii="Arial" w:cs="Arial" w:eastAsia="Arial" w:hAnsi="Arial"/>
          <w:sz w:val="16"/>
          <w:szCs w:val="16"/>
          <w:color w:val="1A3FD6"/>
        </w:rPr>
      </w:pPr>
      <w:r>
        <w:rPr>
          <w:rFonts w:ascii="Arial" w:cs="Arial" w:eastAsia="Arial" w:hAnsi="Arial"/>
          <w:sz w:val="16"/>
          <w:szCs w:val="16"/>
          <w:color w:val="auto"/>
        </w:rPr>
        <w:t>Engaged a third-party firm for Board evaluation and recommended enhancements based on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942340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292" w:right="41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8420"/>
              <w:spacing w:after="0"/>
              <w:rPr>
                <w:sz w:val="20"/>
                <w:szCs w:val="20"/>
                <w:color w:val="auto"/>
              </w:rPr>
            </w:pPr>
            <w:r>
              <w:rPr>
                <w:rFonts w:ascii="Arial" w:cs="Arial" w:eastAsia="Arial" w:hAnsi="Arial"/>
                <w:sz w:val="14"/>
                <w:szCs w:val="14"/>
                <w:b w:val="1"/>
                <w:bCs w:val="1"/>
                <w:color w:val="1A3FD6"/>
              </w:rPr>
              <w:t>Corporate Governance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39</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3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Strategy and Finance Committee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40" w:type="dxa"/>
            <w:vAlign w:val="bottom"/>
            <w:tcBorders>
              <w:top w:val="single" w:sz="8" w:color="1A3FD6"/>
            </w:tcBorders>
            <w:vMerge w:val="restart"/>
            <w:shd w:val="clear" w:color="auto" w:fill="EDF0FC"/>
          </w:tcPr>
          <w:p>
            <w:pPr>
              <w:ind w:left="160"/>
              <w:spacing w:after="0"/>
              <w:rPr>
                <w:sz w:val="20"/>
                <w:szCs w:val="20"/>
                <w:color w:val="auto"/>
              </w:rPr>
            </w:pPr>
            <w:r>
              <w:rPr>
                <w:rFonts w:ascii="Arial" w:cs="Arial" w:eastAsia="Arial" w:hAnsi="Arial"/>
                <w:sz w:val="18"/>
                <w:szCs w:val="18"/>
                <w:b w:val="1"/>
                <w:bCs w:val="1"/>
                <w:color w:val="auto"/>
              </w:rPr>
              <w:t>CURRENT MEMBERS:</w:t>
            </w:r>
          </w:p>
        </w:tc>
        <w:tc>
          <w:tcPr>
            <w:tcW w:w="20" w:type="dxa"/>
            <w:vAlign w:val="bottom"/>
            <w:tcBorders>
              <w:top w:val="single" w:sz="8" w:color="1A3FD6"/>
            </w:tcBorders>
            <w:shd w:val="clear" w:color="auto" w:fill="EDF0FC"/>
          </w:tcPr>
          <w:p>
            <w:pPr>
              <w:spacing w:after="0"/>
              <w:rPr>
                <w:sz w:val="15"/>
                <w:szCs w:val="15"/>
                <w:color w:val="auto"/>
              </w:rPr>
            </w:pPr>
          </w:p>
        </w:tc>
        <w:tc>
          <w:tcPr>
            <w:tcW w:w="7480" w:type="dxa"/>
            <w:vAlign w:val="bottom"/>
            <w:tcBorders>
              <w:top w:val="single" w:sz="8" w:color="1A3FD6"/>
            </w:tcBorders>
            <w:vMerge w:val="restart"/>
            <w:shd w:val="clear" w:color="auto" w:fill="EDF0FC"/>
          </w:tcPr>
          <w:p>
            <w:pPr>
              <w:ind w:left="140"/>
              <w:spacing w:after="0"/>
              <w:rPr>
                <w:sz w:val="20"/>
                <w:szCs w:val="20"/>
                <w:color w:val="auto"/>
              </w:rPr>
            </w:pPr>
            <w:r>
              <w:rPr>
                <w:rFonts w:ascii="Arial" w:cs="Arial" w:eastAsia="Arial" w:hAnsi="Arial"/>
                <w:sz w:val="18"/>
                <w:szCs w:val="18"/>
                <w:b w:val="1"/>
                <w:bCs w:val="1"/>
                <w:color w:val="auto"/>
              </w:rPr>
              <w:t>MEETINGS HELD IN 2024: 7</w:t>
            </w:r>
          </w:p>
        </w:tc>
        <w:tc>
          <w:tcPr>
            <w:tcW w:w="0" w:type="dxa"/>
            <w:vAlign w:val="bottom"/>
          </w:tcPr>
          <w:p>
            <w:pPr>
              <w:spacing w:after="0"/>
              <w:rPr>
                <w:sz w:val="1"/>
                <w:szCs w:val="1"/>
                <w:color w:val="auto"/>
              </w:rPr>
            </w:pPr>
          </w:p>
        </w:tc>
      </w:tr>
      <w:tr>
        <w:trPr>
          <w:trHeight w:val="377"/>
        </w:trPr>
        <w:tc>
          <w:tcPr>
            <w:tcW w:w="3740" w:type="dxa"/>
            <w:vAlign w:val="bottom"/>
            <w:vMerge w:val="continue"/>
            <w:shd w:val="clear" w:color="auto" w:fill="EDF0FC"/>
          </w:tcPr>
          <w:p>
            <w:pPr>
              <w:spacing w:after="0"/>
              <w:rPr>
                <w:sz w:val="24"/>
                <w:szCs w:val="24"/>
                <w:color w:val="auto"/>
              </w:rPr>
            </w:pPr>
          </w:p>
        </w:tc>
        <w:tc>
          <w:tcPr>
            <w:tcW w:w="20" w:type="dxa"/>
            <w:vAlign w:val="bottom"/>
            <w:shd w:val="clear" w:color="auto" w:fill="1A3FD6"/>
          </w:tcPr>
          <w:p>
            <w:pPr>
              <w:spacing w:after="0"/>
              <w:rPr>
                <w:sz w:val="24"/>
                <w:szCs w:val="24"/>
                <w:color w:val="auto"/>
              </w:rPr>
            </w:pPr>
          </w:p>
        </w:tc>
        <w:tc>
          <w:tcPr>
            <w:tcW w:w="7480" w:type="dxa"/>
            <w:vAlign w:val="bottom"/>
            <w:vMerge w:val="continue"/>
            <w:shd w:val="clear" w:color="auto" w:fill="EDF0FC"/>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740" w:type="dxa"/>
            <w:vAlign w:val="bottom"/>
            <w:shd w:val="clear" w:color="auto" w:fill="EDF0FC"/>
          </w:tcPr>
          <w:p>
            <w:pPr>
              <w:ind w:left="160"/>
              <w:spacing w:after="0"/>
              <w:rPr>
                <w:sz w:val="20"/>
                <w:szCs w:val="20"/>
                <w:color w:val="auto"/>
              </w:rPr>
            </w:pPr>
            <w:r>
              <w:rPr>
                <w:rFonts w:ascii="Arial" w:cs="Arial" w:eastAsia="Arial" w:hAnsi="Arial"/>
                <w:sz w:val="16"/>
                <w:szCs w:val="16"/>
                <w:color w:val="auto"/>
              </w:rPr>
              <w:t>Sandy C. Rattray (Chair)</w:t>
            </w:r>
          </w:p>
        </w:tc>
        <w:tc>
          <w:tcPr>
            <w:tcW w:w="20" w:type="dxa"/>
            <w:vAlign w:val="bottom"/>
            <w:shd w:val="clear" w:color="auto" w:fill="1A3FD6"/>
          </w:tcPr>
          <w:p>
            <w:pPr>
              <w:spacing w:after="0"/>
              <w:rPr>
                <w:sz w:val="24"/>
                <w:szCs w:val="24"/>
                <w:color w:val="auto"/>
              </w:rPr>
            </w:pPr>
          </w:p>
        </w:tc>
        <w:tc>
          <w:tcPr>
            <w:tcW w:w="7480" w:type="dxa"/>
            <w:vAlign w:val="bottom"/>
            <w:shd w:val="clear" w:color="auto" w:fill="EDF0FC"/>
          </w:tcPr>
          <w:p>
            <w:pPr>
              <w:ind w:left="14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All members are independent within the meaning of the NYSE standards of independence for</w:t>
            </w:r>
          </w:p>
        </w:tc>
        <w:tc>
          <w:tcPr>
            <w:tcW w:w="0" w:type="dxa"/>
            <w:vAlign w:val="bottom"/>
          </w:tcPr>
          <w:p>
            <w:pPr>
              <w:spacing w:after="0"/>
              <w:rPr>
                <w:sz w:val="1"/>
                <w:szCs w:val="1"/>
                <w:color w:val="auto"/>
              </w:rPr>
            </w:pPr>
          </w:p>
        </w:tc>
      </w:tr>
      <w:tr>
        <w:trPr>
          <w:trHeight w:val="215"/>
        </w:trPr>
        <w:tc>
          <w:tcPr>
            <w:tcW w:w="3740" w:type="dxa"/>
            <w:vAlign w:val="bottom"/>
            <w:shd w:val="clear" w:color="auto" w:fill="EDF0FC"/>
          </w:tcPr>
          <w:p>
            <w:pPr>
              <w:ind w:left="160"/>
              <w:spacing w:after="0"/>
              <w:rPr>
                <w:sz w:val="20"/>
                <w:szCs w:val="20"/>
                <w:color w:val="auto"/>
              </w:rPr>
            </w:pPr>
            <w:r>
              <w:rPr>
                <w:rFonts w:ascii="Arial" w:cs="Arial" w:eastAsia="Arial" w:hAnsi="Arial"/>
                <w:sz w:val="16"/>
                <w:szCs w:val="16"/>
                <w:color w:val="auto"/>
              </w:rPr>
              <w:t>Jacques P. Perold</w:t>
            </w:r>
          </w:p>
        </w:tc>
        <w:tc>
          <w:tcPr>
            <w:tcW w:w="20" w:type="dxa"/>
            <w:vAlign w:val="bottom"/>
            <w:shd w:val="clear" w:color="auto" w:fill="1A3FD6"/>
          </w:tcPr>
          <w:p>
            <w:pPr>
              <w:spacing w:after="0"/>
              <w:rPr>
                <w:sz w:val="18"/>
                <w:szCs w:val="18"/>
                <w:color w:val="auto"/>
              </w:rPr>
            </w:pPr>
          </w:p>
        </w:tc>
        <w:tc>
          <w:tcPr>
            <w:tcW w:w="7480" w:type="dxa"/>
            <w:vAlign w:val="bottom"/>
            <w:shd w:val="clear" w:color="auto" w:fill="EDF0FC"/>
          </w:tcPr>
          <w:p>
            <w:pPr>
              <w:ind w:left="340"/>
              <w:spacing w:after="0"/>
              <w:rPr>
                <w:sz w:val="20"/>
                <w:szCs w:val="20"/>
                <w:color w:val="auto"/>
              </w:rPr>
            </w:pPr>
            <w:r>
              <w:rPr>
                <w:rFonts w:ascii="Arial" w:cs="Arial" w:eastAsia="Arial" w:hAnsi="Arial"/>
                <w:sz w:val="16"/>
                <w:szCs w:val="16"/>
                <w:color w:val="auto"/>
              </w:rPr>
              <w:t>directors.</w:t>
            </w:r>
          </w:p>
        </w:tc>
        <w:tc>
          <w:tcPr>
            <w:tcW w:w="0" w:type="dxa"/>
            <w:vAlign w:val="bottom"/>
          </w:tcPr>
          <w:p>
            <w:pPr>
              <w:spacing w:after="0"/>
              <w:rPr>
                <w:sz w:val="1"/>
                <w:szCs w:val="1"/>
                <w:color w:val="auto"/>
              </w:rPr>
            </w:pPr>
          </w:p>
        </w:tc>
      </w:tr>
      <w:tr>
        <w:trPr>
          <w:trHeight w:val="216"/>
        </w:trPr>
        <w:tc>
          <w:tcPr>
            <w:tcW w:w="3740" w:type="dxa"/>
            <w:vAlign w:val="bottom"/>
            <w:shd w:val="clear" w:color="auto" w:fill="EDF0FC"/>
          </w:tcPr>
          <w:p>
            <w:pPr>
              <w:ind w:left="160"/>
              <w:spacing w:after="0"/>
              <w:rPr>
                <w:sz w:val="20"/>
                <w:szCs w:val="20"/>
                <w:color w:val="auto"/>
              </w:rPr>
            </w:pPr>
            <w:r>
              <w:rPr>
                <w:rFonts w:ascii="Arial" w:cs="Arial" w:eastAsia="Arial" w:hAnsi="Arial"/>
                <w:sz w:val="16"/>
                <w:szCs w:val="16"/>
                <w:color w:val="auto"/>
              </w:rPr>
              <w:t>Michelle Seitz</w:t>
            </w:r>
          </w:p>
        </w:tc>
        <w:tc>
          <w:tcPr>
            <w:tcW w:w="20" w:type="dxa"/>
            <w:vAlign w:val="bottom"/>
            <w:shd w:val="clear" w:color="auto" w:fill="1A3FD6"/>
          </w:tcPr>
          <w:p>
            <w:pPr>
              <w:spacing w:after="0"/>
              <w:rPr>
                <w:sz w:val="18"/>
                <w:szCs w:val="18"/>
                <w:color w:val="auto"/>
              </w:rPr>
            </w:pPr>
          </w:p>
        </w:tc>
        <w:tc>
          <w:tcPr>
            <w:tcW w:w="7480" w:type="dxa"/>
            <w:vAlign w:val="bottom"/>
            <w:shd w:val="clear" w:color="auto" w:fill="ED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740" w:type="dxa"/>
            <w:vAlign w:val="bottom"/>
            <w:shd w:val="clear" w:color="auto" w:fill="EDF0FC"/>
          </w:tcPr>
          <w:p>
            <w:pPr>
              <w:ind w:left="160"/>
              <w:spacing w:after="0"/>
              <w:rPr>
                <w:sz w:val="20"/>
                <w:szCs w:val="20"/>
                <w:color w:val="auto"/>
              </w:rPr>
            </w:pPr>
            <w:r>
              <w:rPr>
                <w:rFonts w:ascii="Arial" w:cs="Arial" w:eastAsia="Arial" w:hAnsi="Arial"/>
                <w:sz w:val="16"/>
                <w:szCs w:val="16"/>
                <w:color w:val="auto"/>
              </w:rPr>
              <w:t>Marcus L. Smith</w:t>
            </w:r>
          </w:p>
        </w:tc>
        <w:tc>
          <w:tcPr>
            <w:tcW w:w="20" w:type="dxa"/>
            <w:vAlign w:val="bottom"/>
            <w:shd w:val="clear" w:color="auto" w:fill="1A3FD6"/>
          </w:tcPr>
          <w:p>
            <w:pPr>
              <w:spacing w:after="0"/>
              <w:rPr>
                <w:sz w:val="17"/>
                <w:szCs w:val="17"/>
                <w:color w:val="auto"/>
              </w:rPr>
            </w:pPr>
          </w:p>
        </w:tc>
        <w:tc>
          <w:tcPr>
            <w:tcW w:w="7480" w:type="dxa"/>
            <w:vAlign w:val="bottom"/>
            <w:shd w:val="clear" w:color="auto" w:fill="ED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740" w:type="dxa"/>
            <w:vAlign w:val="bottom"/>
            <w:shd w:val="clear" w:color="auto" w:fill="EDF0FC"/>
          </w:tcPr>
          <w:p>
            <w:pPr>
              <w:ind w:left="160"/>
              <w:spacing w:after="0"/>
              <w:rPr>
                <w:sz w:val="20"/>
                <w:szCs w:val="20"/>
                <w:color w:val="auto"/>
              </w:rPr>
            </w:pPr>
            <w:r>
              <w:rPr>
                <w:rFonts w:ascii="Arial" w:cs="Arial" w:eastAsia="Arial" w:hAnsi="Arial"/>
                <w:sz w:val="16"/>
                <w:szCs w:val="16"/>
                <w:color w:val="auto"/>
              </w:rPr>
              <w:t>Paula Volent</w:t>
            </w:r>
          </w:p>
        </w:tc>
        <w:tc>
          <w:tcPr>
            <w:tcW w:w="20" w:type="dxa"/>
            <w:vAlign w:val="bottom"/>
            <w:shd w:val="clear" w:color="auto" w:fill="1A3FD6"/>
          </w:tcPr>
          <w:p>
            <w:pPr>
              <w:spacing w:after="0"/>
              <w:rPr>
                <w:sz w:val="18"/>
                <w:szCs w:val="18"/>
                <w:color w:val="auto"/>
              </w:rPr>
            </w:pPr>
          </w:p>
        </w:tc>
        <w:tc>
          <w:tcPr>
            <w:tcW w:w="7480" w:type="dxa"/>
            <w:vAlign w:val="bottom"/>
            <w:shd w:val="clear" w:color="auto" w:fill="EDF0FC"/>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740" w:type="dxa"/>
            <w:vAlign w:val="bottom"/>
            <w:shd w:val="clear" w:color="auto" w:fill="EDF0FC"/>
          </w:tcPr>
          <w:p>
            <w:pPr>
              <w:spacing w:after="0"/>
              <w:rPr>
                <w:sz w:val="15"/>
                <w:szCs w:val="15"/>
                <w:color w:val="auto"/>
              </w:rPr>
            </w:pPr>
          </w:p>
        </w:tc>
        <w:tc>
          <w:tcPr>
            <w:tcW w:w="20" w:type="dxa"/>
            <w:vAlign w:val="bottom"/>
            <w:shd w:val="clear" w:color="auto" w:fill="1A3FD6"/>
          </w:tcPr>
          <w:p>
            <w:pPr>
              <w:spacing w:after="0"/>
              <w:rPr>
                <w:sz w:val="15"/>
                <w:szCs w:val="15"/>
                <w:color w:val="auto"/>
              </w:rPr>
            </w:pPr>
          </w:p>
        </w:tc>
        <w:tc>
          <w:tcPr>
            <w:tcW w:w="7480" w:type="dxa"/>
            <w:vAlign w:val="bottom"/>
            <w:shd w:val="clear" w:color="auto" w:fill="EDF0FC"/>
          </w:tcPr>
          <w:p>
            <w:pPr>
              <w:spacing w:after="0"/>
              <w:rPr>
                <w:sz w:val="15"/>
                <w:szCs w:val="15"/>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A3FD6"/>
        </w:rPr>
        <w:t>PRIMARY RESPONSIBILITIES:</w:t>
      </w:r>
    </w:p>
    <w:p>
      <w:pPr>
        <w:spacing w:after="0" w:line="135" w:lineRule="exact"/>
        <w:rPr>
          <w:sz w:val="20"/>
          <w:szCs w:val="20"/>
          <w:color w:val="auto"/>
        </w:rPr>
      </w:pPr>
    </w:p>
    <w:p>
      <w:pPr>
        <w:ind w:left="220" w:right="40" w:hanging="194"/>
        <w:spacing w:after="0" w:line="304" w:lineRule="auto"/>
        <w:tabs>
          <w:tab w:leader="none" w:pos="217" w:val="left"/>
        </w:tabs>
        <w:numPr>
          <w:ilvl w:val="0"/>
          <w:numId w:val="40"/>
        </w:numPr>
        <w:rPr>
          <w:rFonts w:ascii="Arial" w:cs="Arial" w:eastAsia="Arial" w:hAnsi="Arial"/>
          <w:sz w:val="16"/>
          <w:szCs w:val="16"/>
          <w:color w:val="1A3FD6"/>
        </w:rPr>
      </w:pPr>
      <w:r>
        <w:rPr>
          <w:rFonts w:ascii="Arial" w:cs="Arial" w:eastAsia="Arial" w:hAnsi="Arial"/>
          <w:sz w:val="16"/>
          <w:szCs w:val="16"/>
          <w:color w:val="auto"/>
        </w:rPr>
        <w:t>Evaluates management’s recommendations with respect to the strategic direction of the Company and regularly consults with the Board on the objectives of the Company’s strategic plans and management’s implementation of such plans.</w:t>
      </w:r>
    </w:p>
    <w:p>
      <w:pPr>
        <w:spacing w:after="0" w:line="6" w:lineRule="exact"/>
        <w:rPr>
          <w:rFonts w:ascii="Arial" w:cs="Arial" w:eastAsia="Arial" w:hAnsi="Arial"/>
          <w:sz w:val="16"/>
          <w:szCs w:val="16"/>
          <w:color w:val="1A3FD6"/>
        </w:rPr>
      </w:pPr>
    </w:p>
    <w:p>
      <w:pPr>
        <w:ind w:left="220" w:right="100" w:hanging="194"/>
        <w:spacing w:after="0" w:line="308" w:lineRule="auto"/>
        <w:tabs>
          <w:tab w:leader="none" w:pos="217" w:val="left"/>
        </w:tabs>
        <w:numPr>
          <w:ilvl w:val="0"/>
          <w:numId w:val="40"/>
        </w:numPr>
        <w:rPr>
          <w:rFonts w:ascii="Arial" w:cs="Arial" w:eastAsia="Arial" w:hAnsi="Arial"/>
          <w:sz w:val="16"/>
          <w:szCs w:val="16"/>
          <w:color w:val="1A3FD6"/>
        </w:rPr>
      </w:pPr>
      <w:r>
        <w:rPr>
          <w:rFonts w:ascii="Arial" w:cs="Arial" w:eastAsia="Arial" w:hAnsi="Arial"/>
          <w:sz w:val="16"/>
          <w:szCs w:val="16"/>
          <w:color w:val="auto"/>
        </w:rPr>
        <w:t>Reviews and makes recommendations with respect to the agenda for Board strategy meetings with management, taking into account issues important to the full Board.</w:t>
      </w:r>
    </w:p>
    <w:p>
      <w:pPr>
        <w:ind w:left="220" w:right="540" w:hanging="194"/>
        <w:spacing w:after="0" w:line="292" w:lineRule="auto"/>
        <w:tabs>
          <w:tab w:leader="none" w:pos="217" w:val="left"/>
        </w:tabs>
        <w:numPr>
          <w:ilvl w:val="0"/>
          <w:numId w:val="40"/>
        </w:numPr>
        <w:rPr>
          <w:rFonts w:ascii="Arial" w:cs="Arial" w:eastAsia="Arial" w:hAnsi="Arial"/>
          <w:sz w:val="16"/>
          <w:szCs w:val="16"/>
          <w:color w:val="1A3FD6"/>
        </w:rPr>
      </w:pPr>
      <w:r>
        <w:rPr>
          <w:rFonts w:ascii="Arial" w:cs="Arial" w:eastAsia="Arial" w:hAnsi="Arial"/>
          <w:sz w:val="16"/>
          <w:szCs w:val="16"/>
          <w:color w:val="auto"/>
        </w:rPr>
        <w:t>Reviews and makes recommendations to the Board with respect to any mergers, combinations, acquisitions, divestitures, joint ventures, minority investments and other strategic transactions, and any financings for mergers, acquisitions and other significant financial transactions, in each case requiring the Board’s approval.</w:t>
      </w:r>
    </w:p>
    <w:p>
      <w:pPr>
        <w:spacing w:after="0" w:line="16" w:lineRule="exact"/>
        <w:rPr>
          <w:rFonts w:ascii="Arial" w:cs="Arial" w:eastAsia="Arial" w:hAnsi="Arial"/>
          <w:sz w:val="16"/>
          <w:szCs w:val="16"/>
          <w:color w:val="1A3FD6"/>
        </w:rPr>
      </w:pPr>
    </w:p>
    <w:p>
      <w:pPr>
        <w:ind w:left="220" w:right="80" w:hanging="194"/>
        <w:spacing w:after="0" w:line="292" w:lineRule="auto"/>
        <w:tabs>
          <w:tab w:leader="none" w:pos="217" w:val="left"/>
        </w:tabs>
        <w:numPr>
          <w:ilvl w:val="0"/>
          <w:numId w:val="40"/>
        </w:numPr>
        <w:rPr>
          <w:rFonts w:ascii="Arial" w:cs="Arial" w:eastAsia="Arial" w:hAnsi="Arial"/>
          <w:sz w:val="16"/>
          <w:szCs w:val="16"/>
          <w:color w:val="1A3FD6"/>
        </w:rPr>
      </w:pPr>
      <w:r>
        <w:rPr>
          <w:rFonts w:ascii="Arial" w:cs="Arial" w:eastAsia="Arial" w:hAnsi="Arial"/>
          <w:sz w:val="16"/>
          <w:szCs w:val="16"/>
          <w:color w:val="auto"/>
        </w:rPr>
        <w:t>Reviews and oversees management’s plans and objectives for the capital structure of the Company, including target short- and long-term leverage levels and the structure and amount of debt and equity required to meet the Company’s financing needs, and make recommendations to the Board as appropriate.</w:t>
      </w:r>
    </w:p>
    <w:p>
      <w:pPr>
        <w:spacing w:after="0" w:line="16" w:lineRule="exact"/>
        <w:rPr>
          <w:rFonts w:ascii="Arial" w:cs="Arial" w:eastAsia="Arial" w:hAnsi="Arial"/>
          <w:sz w:val="16"/>
          <w:szCs w:val="16"/>
          <w:color w:val="1A3FD6"/>
        </w:rPr>
      </w:pPr>
    </w:p>
    <w:p>
      <w:pPr>
        <w:ind w:left="220" w:hanging="194"/>
        <w:spacing w:after="0"/>
        <w:tabs>
          <w:tab w:leader="none" w:pos="220" w:val="left"/>
        </w:tabs>
        <w:numPr>
          <w:ilvl w:val="0"/>
          <w:numId w:val="40"/>
        </w:numPr>
        <w:rPr>
          <w:rFonts w:ascii="Arial" w:cs="Arial" w:eastAsia="Arial" w:hAnsi="Arial"/>
          <w:sz w:val="16"/>
          <w:szCs w:val="16"/>
          <w:color w:val="1A3FD6"/>
        </w:rPr>
      </w:pPr>
      <w:r>
        <w:rPr>
          <w:rFonts w:ascii="Arial" w:cs="Arial" w:eastAsia="Arial" w:hAnsi="Arial"/>
          <w:sz w:val="16"/>
          <w:szCs w:val="16"/>
          <w:color w:val="auto"/>
        </w:rPr>
        <w:t>Oversees the Company’s share repurchase programs, subject to Board-approved policies.</w:t>
      </w:r>
    </w:p>
    <w:p>
      <w:pPr>
        <w:spacing w:after="0" w:line="72" w:lineRule="exact"/>
        <w:rPr>
          <w:rFonts w:ascii="Arial" w:cs="Arial" w:eastAsia="Arial" w:hAnsi="Arial"/>
          <w:sz w:val="16"/>
          <w:szCs w:val="16"/>
          <w:color w:val="1A3FD6"/>
        </w:rPr>
      </w:pPr>
    </w:p>
    <w:p>
      <w:pPr>
        <w:ind w:left="220" w:hanging="194"/>
        <w:spacing w:after="0"/>
        <w:tabs>
          <w:tab w:leader="none" w:pos="220" w:val="left"/>
        </w:tabs>
        <w:numPr>
          <w:ilvl w:val="0"/>
          <w:numId w:val="40"/>
        </w:numPr>
        <w:rPr>
          <w:rFonts w:ascii="Arial" w:cs="Arial" w:eastAsia="Arial" w:hAnsi="Arial"/>
          <w:sz w:val="16"/>
          <w:szCs w:val="16"/>
          <w:color w:val="1A3FD6"/>
        </w:rPr>
      </w:pPr>
      <w:r>
        <w:rPr>
          <w:rFonts w:ascii="Arial" w:cs="Arial" w:eastAsia="Arial" w:hAnsi="Arial"/>
          <w:sz w:val="16"/>
          <w:szCs w:val="16"/>
          <w:color w:val="auto"/>
        </w:rPr>
        <w:t>Reviews the Company’s capital levels and recommends for approval by the Board changes to the Company’s dividend policy.</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1A3FD6"/>
        </w:rPr>
        <w:t>KEY AREAS OF FOCUS IN 2024:</w:t>
      </w:r>
    </w:p>
    <w:p>
      <w:pPr>
        <w:spacing w:after="0" w:line="122" w:lineRule="exact"/>
        <w:rPr>
          <w:sz w:val="20"/>
          <w:szCs w:val="20"/>
          <w:color w:val="auto"/>
        </w:rPr>
      </w:pPr>
    </w:p>
    <w:p>
      <w:pPr>
        <w:ind w:left="220" w:right="40" w:hanging="194"/>
        <w:spacing w:after="0" w:line="308" w:lineRule="auto"/>
        <w:tabs>
          <w:tab w:leader="none" w:pos="217" w:val="left"/>
        </w:tabs>
        <w:numPr>
          <w:ilvl w:val="0"/>
          <w:numId w:val="41"/>
        </w:numPr>
        <w:rPr>
          <w:rFonts w:ascii="Arial" w:cs="Arial" w:eastAsia="Arial" w:hAnsi="Arial"/>
          <w:sz w:val="16"/>
          <w:szCs w:val="16"/>
          <w:color w:val="1A3FD6"/>
        </w:rPr>
      </w:pPr>
      <w:r>
        <w:rPr>
          <w:rFonts w:ascii="Arial" w:cs="Arial" w:eastAsia="Arial" w:hAnsi="Arial"/>
          <w:sz w:val="16"/>
          <w:szCs w:val="16"/>
          <w:color w:val="auto"/>
        </w:rPr>
        <w:t>Provided oversight of the Company’s capital allocation program, including with respect to its approach to share repurchases, financing considerations and increasing the Company’s quarterly dividend.</w:t>
      </w:r>
    </w:p>
    <w:p>
      <w:pPr>
        <w:ind w:left="220" w:right="280" w:hanging="194"/>
        <w:spacing w:after="0" w:line="316" w:lineRule="auto"/>
        <w:tabs>
          <w:tab w:leader="none" w:pos="217" w:val="left"/>
        </w:tabs>
        <w:numPr>
          <w:ilvl w:val="0"/>
          <w:numId w:val="41"/>
        </w:numPr>
        <w:rPr>
          <w:rFonts w:ascii="Arial" w:cs="Arial" w:eastAsia="Arial" w:hAnsi="Arial"/>
          <w:sz w:val="16"/>
          <w:szCs w:val="16"/>
          <w:color w:val="1A3FD6"/>
        </w:rPr>
      </w:pPr>
      <w:r>
        <w:rPr>
          <w:rFonts w:ascii="Arial" w:cs="Arial" w:eastAsia="Arial" w:hAnsi="Arial"/>
          <w:sz w:val="16"/>
          <w:szCs w:val="16"/>
          <w:color w:val="auto"/>
        </w:rPr>
        <w:t>Focused on the competitive landscape and reviewed merger, partnership and acquisition opportunities, including several recent strategically important acquisitions in wealth and front-office index technology.</w:t>
      </w:r>
    </w:p>
    <w:p>
      <w:pPr>
        <w:spacing w:after="0" w:line="1" w:lineRule="exact"/>
        <w:rPr>
          <w:rFonts w:ascii="Arial" w:cs="Arial" w:eastAsia="Arial" w:hAnsi="Arial"/>
          <w:sz w:val="16"/>
          <w:szCs w:val="16"/>
          <w:color w:val="1A3FD6"/>
        </w:rPr>
      </w:pPr>
    </w:p>
    <w:p>
      <w:pPr>
        <w:ind w:left="220" w:right="600" w:hanging="194"/>
        <w:spacing w:after="0" w:line="304" w:lineRule="auto"/>
        <w:tabs>
          <w:tab w:leader="none" w:pos="217" w:val="left"/>
        </w:tabs>
        <w:numPr>
          <w:ilvl w:val="0"/>
          <w:numId w:val="41"/>
        </w:numPr>
        <w:rPr>
          <w:rFonts w:ascii="Arial" w:cs="Arial" w:eastAsia="Arial" w:hAnsi="Arial"/>
          <w:sz w:val="16"/>
          <w:szCs w:val="16"/>
          <w:color w:val="1A3FD6"/>
        </w:rPr>
      </w:pPr>
      <w:r>
        <w:rPr>
          <w:rFonts w:ascii="Arial" w:cs="Arial" w:eastAsia="Arial" w:hAnsi="Arial"/>
          <w:sz w:val="16"/>
          <w:szCs w:val="16"/>
          <w:color w:val="auto"/>
        </w:rPr>
        <w:t>Collaborated with management on the agenda for the Board’s two-day strategy session, to ensure alignment with internal investments and growth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41" w:name="page42"/>
    <w:bookmarkEnd w:id="41"/>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40</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Engagement and Evaluation of our Board</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Attendance at Board Meetings and Annual Meeting of Shareholders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Borders>
              <w:right w:val="single" w:sz="8" w:color="EDF0FC"/>
            </w:tcBorders>
            <w:shd w:val="clear" w:color="auto" w:fill="EDF0FC"/>
          </w:tcPr>
          <w:p>
            <w:pPr>
              <w:spacing w:after="0"/>
              <w:rPr>
                <w:sz w:val="14"/>
                <w:szCs w:val="14"/>
                <w:color w:val="auto"/>
              </w:rPr>
            </w:pPr>
          </w:p>
        </w:tc>
        <w:tc>
          <w:tcPr>
            <w:tcW w:w="2320" w:type="dxa"/>
            <w:vAlign w:val="bottom"/>
            <w:tcBorders>
              <w:right w:val="single" w:sz="8" w:color="EDF0FC"/>
            </w:tcBorders>
            <w:shd w:val="clear" w:color="auto" w:fill="EDF0FC"/>
          </w:tcPr>
          <w:p>
            <w:pPr>
              <w:spacing w:after="0"/>
              <w:rPr>
                <w:sz w:val="14"/>
                <w:szCs w:val="14"/>
                <w:color w:val="auto"/>
              </w:rPr>
            </w:pPr>
          </w:p>
        </w:tc>
        <w:tc>
          <w:tcPr>
            <w:tcW w:w="2800" w:type="dxa"/>
            <w:vAlign w:val="bottom"/>
            <w:tcBorders>
              <w:right w:val="single" w:sz="8" w:color="EDF0FC"/>
            </w:tcBorders>
            <w:shd w:val="clear" w:color="auto" w:fill="EDF0FC"/>
          </w:tcPr>
          <w:p>
            <w:pPr>
              <w:spacing w:after="0"/>
              <w:rPr>
                <w:sz w:val="14"/>
                <w:szCs w:val="14"/>
                <w:color w:val="auto"/>
              </w:rPr>
            </w:pPr>
          </w:p>
        </w:tc>
        <w:tc>
          <w:tcPr>
            <w:tcW w:w="4420" w:type="dxa"/>
            <w:vAlign w:val="bottom"/>
            <w:vMerge w:val="restart"/>
            <w:shd w:val="clear" w:color="auto" w:fill="EDF0FC"/>
          </w:tcPr>
          <w:p>
            <w:pPr>
              <w:jc w:val="center"/>
              <w:spacing w:after="0"/>
              <w:rPr>
                <w:sz w:val="20"/>
                <w:szCs w:val="20"/>
                <w:color w:val="auto"/>
              </w:rPr>
            </w:pPr>
            <w:r>
              <w:rPr>
                <w:rFonts w:ascii="Arial" w:cs="Arial" w:eastAsia="Arial" w:hAnsi="Arial"/>
                <w:sz w:val="16"/>
                <w:szCs w:val="16"/>
                <w:b w:val="1"/>
                <w:bCs w:val="1"/>
                <w:color w:val="auto"/>
              </w:rPr>
              <w:t>EACH DIRECTOR ATTENDED AT LEAST</w:t>
            </w:r>
          </w:p>
        </w:tc>
        <w:tc>
          <w:tcPr>
            <w:tcW w:w="0" w:type="dxa"/>
            <w:vAlign w:val="bottom"/>
          </w:tcPr>
          <w:p>
            <w:pPr>
              <w:spacing w:after="0"/>
              <w:rPr>
                <w:sz w:val="1"/>
                <w:szCs w:val="1"/>
                <w:color w:val="auto"/>
              </w:rPr>
            </w:pPr>
          </w:p>
        </w:tc>
      </w:tr>
      <w:tr>
        <w:trPr>
          <w:trHeight w:val="343"/>
        </w:trPr>
        <w:tc>
          <w:tcPr>
            <w:tcW w:w="1700" w:type="dxa"/>
            <w:vAlign w:val="bottom"/>
            <w:tcBorders>
              <w:right w:val="single" w:sz="8" w:color="1A3FD6"/>
            </w:tcBorders>
            <w:shd w:val="clear" w:color="auto" w:fill="EDF0FC"/>
          </w:tcPr>
          <w:p>
            <w:pPr>
              <w:spacing w:after="0"/>
              <w:rPr>
                <w:sz w:val="24"/>
                <w:szCs w:val="24"/>
                <w:color w:val="auto"/>
              </w:rPr>
            </w:pPr>
          </w:p>
        </w:tc>
        <w:tc>
          <w:tcPr>
            <w:tcW w:w="2320" w:type="dxa"/>
            <w:vAlign w:val="bottom"/>
            <w:tcBorders>
              <w:right w:val="single" w:sz="8" w:color="1A3FD6"/>
            </w:tcBorders>
            <w:shd w:val="clear" w:color="auto" w:fill="EDF0FC"/>
          </w:tcPr>
          <w:p>
            <w:pPr>
              <w:spacing w:after="0"/>
              <w:rPr>
                <w:sz w:val="24"/>
                <w:szCs w:val="24"/>
                <w:color w:val="auto"/>
              </w:rPr>
            </w:pPr>
          </w:p>
        </w:tc>
        <w:tc>
          <w:tcPr>
            <w:tcW w:w="2800" w:type="dxa"/>
            <w:vAlign w:val="bottom"/>
            <w:tcBorders>
              <w:right w:val="single" w:sz="8" w:color="1A3FD6"/>
            </w:tcBorders>
            <w:shd w:val="clear" w:color="auto" w:fill="EDF0FC"/>
          </w:tcPr>
          <w:p>
            <w:pPr>
              <w:spacing w:after="0"/>
              <w:rPr>
                <w:sz w:val="24"/>
                <w:szCs w:val="24"/>
                <w:color w:val="auto"/>
              </w:rPr>
            </w:pPr>
          </w:p>
        </w:tc>
        <w:tc>
          <w:tcPr>
            <w:tcW w:w="4420" w:type="dxa"/>
            <w:vAlign w:val="bottom"/>
            <w:vMerge w:val="continue"/>
            <w:shd w:val="clear" w:color="auto" w:fill="EDF0FC"/>
          </w:tcPr>
          <w:p>
            <w:pPr>
              <w:spacing w:after="0"/>
              <w:rPr>
                <w:sz w:val="24"/>
                <w:szCs w:val="24"/>
                <w:color w:val="auto"/>
              </w:rPr>
            </w:pPr>
          </w:p>
        </w:tc>
        <w:tc>
          <w:tcPr>
            <w:tcW w:w="0" w:type="dxa"/>
            <w:vAlign w:val="bottom"/>
          </w:tcPr>
          <w:p>
            <w:pPr>
              <w:spacing w:after="0"/>
              <w:rPr>
                <w:sz w:val="1"/>
                <w:szCs w:val="1"/>
                <w:color w:val="auto"/>
              </w:rPr>
            </w:pPr>
          </w:p>
        </w:tc>
      </w:tr>
      <w:tr>
        <w:trPr>
          <w:trHeight w:val="803"/>
        </w:trPr>
        <w:tc>
          <w:tcPr>
            <w:tcW w:w="1700" w:type="dxa"/>
            <w:vAlign w:val="bottom"/>
            <w:tcBorders>
              <w:right w:val="single" w:sz="8" w:color="1A3FD6"/>
            </w:tcBorders>
            <w:shd w:val="clear" w:color="auto" w:fill="EDF0FC"/>
          </w:tcPr>
          <w:p>
            <w:pPr>
              <w:jc w:val="center"/>
              <w:spacing w:after="0"/>
              <w:rPr>
                <w:sz w:val="20"/>
                <w:szCs w:val="20"/>
                <w:color w:val="auto"/>
              </w:rPr>
            </w:pPr>
            <w:r>
              <w:rPr>
                <w:rFonts w:ascii="Arial" w:cs="Arial" w:eastAsia="Arial" w:hAnsi="Arial"/>
                <w:sz w:val="54"/>
                <w:szCs w:val="54"/>
                <w:b w:val="1"/>
                <w:bCs w:val="1"/>
                <w:color w:val="3051F2"/>
                <w:w w:val="99"/>
              </w:rPr>
              <w:t>8</w:t>
            </w:r>
          </w:p>
        </w:tc>
        <w:tc>
          <w:tcPr>
            <w:tcW w:w="2320" w:type="dxa"/>
            <w:vAlign w:val="bottom"/>
            <w:tcBorders>
              <w:right w:val="single" w:sz="8" w:color="1A3FD6"/>
            </w:tcBorders>
            <w:shd w:val="clear" w:color="auto" w:fill="EDF0FC"/>
          </w:tcPr>
          <w:p>
            <w:pPr>
              <w:jc w:val="center"/>
              <w:spacing w:after="0"/>
              <w:rPr>
                <w:sz w:val="20"/>
                <w:szCs w:val="20"/>
                <w:color w:val="auto"/>
              </w:rPr>
            </w:pPr>
            <w:r>
              <w:rPr>
                <w:rFonts w:ascii="Arial" w:cs="Arial" w:eastAsia="Arial" w:hAnsi="Arial"/>
                <w:sz w:val="54"/>
                <w:szCs w:val="54"/>
                <w:b w:val="1"/>
                <w:bCs w:val="1"/>
                <w:color w:val="3051F2"/>
                <w:w w:val="99"/>
              </w:rPr>
              <w:t>8</w:t>
            </w:r>
          </w:p>
        </w:tc>
        <w:tc>
          <w:tcPr>
            <w:tcW w:w="2800" w:type="dxa"/>
            <w:vAlign w:val="bottom"/>
            <w:tcBorders>
              <w:right w:val="single" w:sz="8" w:color="1A3FD6"/>
            </w:tcBorders>
            <w:shd w:val="clear" w:color="auto" w:fill="EDF0FC"/>
          </w:tcPr>
          <w:p>
            <w:pPr>
              <w:jc w:val="center"/>
              <w:spacing w:after="0"/>
              <w:rPr>
                <w:sz w:val="20"/>
                <w:szCs w:val="20"/>
                <w:color w:val="auto"/>
              </w:rPr>
            </w:pPr>
            <w:r>
              <w:rPr>
                <w:rFonts w:ascii="Arial" w:cs="Arial" w:eastAsia="Arial" w:hAnsi="Arial"/>
                <w:sz w:val="54"/>
                <w:szCs w:val="54"/>
                <w:b w:val="1"/>
                <w:bCs w:val="1"/>
                <w:color w:val="3051F2"/>
                <w:w w:val="99"/>
              </w:rPr>
              <w:t>4</w:t>
            </w:r>
          </w:p>
        </w:tc>
        <w:tc>
          <w:tcPr>
            <w:tcW w:w="4420" w:type="dxa"/>
            <w:vAlign w:val="bottom"/>
            <w:shd w:val="clear" w:color="auto" w:fill="EDF0FC"/>
          </w:tcPr>
          <w:p>
            <w:pPr>
              <w:jc w:val="center"/>
              <w:spacing w:after="0"/>
              <w:rPr>
                <w:sz w:val="20"/>
                <w:szCs w:val="20"/>
                <w:color w:val="auto"/>
              </w:rPr>
            </w:pPr>
            <w:r>
              <w:rPr>
                <w:rFonts w:ascii="Arial" w:cs="Arial" w:eastAsia="Arial" w:hAnsi="Arial"/>
                <w:sz w:val="54"/>
                <w:szCs w:val="54"/>
                <w:b w:val="1"/>
                <w:bCs w:val="1"/>
                <w:color w:val="1A3FD6"/>
              </w:rPr>
              <w:t>75</w:t>
            </w:r>
            <w:r>
              <w:rPr>
                <w:rFonts w:ascii="Arial" w:cs="Arial" w:eastAsia="Arial" w:hAnsi="Arial"/>
                <w:sz w:val="16"/>
                <w:szCs w:val="16"/>
                <w:b w:val="1"/>
                <w:bCs w:val="1"/>
                <w:color w:val="1A3FD6"/>
              </w:rPr>
              <w:t>percent</w:t>
            </w:r>
          </w:p>
        </w:tc>
        <w:tc>
          <w:tcPr>
            <w:tcW w:w="0" w:type="dxa"/>
            <w:vAlign w:val="bottom"/>
          </w:tcPr>
          <w:p>
            <w:pPr>
              <w:spacing w:after="0"/>
              <w:rPr>
                <w:sz w:val="1"/>
                <w:szCs w:val="1"/>
                <w:color w:val="auto"/>
              </w:rPr>
            </w:pPr>
          </w:p>
        </w:tc>
      </w:tr>
      <w:tr>
        <w:trPr>
          <w:trHeight w:val="203"/>
        </w:trPr>
        <w:tc>
          <w:tcPr>
            <w:tcW w:w="1700" w:type="dxa"/>
            <w:vAlign w:val="bottom"/>
            <w:tcBorders>
              <w:right w:val="single" w:sz="8" w:color="1A3FD6"/>
            </w:tcBorders>
            <w:shd w:val="clear" w:color="auto" w:fill="EDF0FC"/>
          </w:tcPr>
          <w:p>
            <w:pPr>
              <w:jc w:val="center"/>
              <w:spacing w:after="0"/>
              <w:rPr>
                <w:sz w:val="20"/>
                <w:szCs w:val="20"/>
                <w:color w:val="auto"/>
              </w:rPr>
            </w:pPr>
            <w:r>
              <w:rPr>
                <w:rFonts w:ascii="Arial" w:cs="Arial" w:eastAsia="Arial" w:hAnsi="Arial"/>
                <w:sz w:val="16"/>
                <w:szCs w:val="16"/>
                <w:b w:val="1"/>
                <w:bCs w:val="1"/>
                <w:color w:val="auto"/>
              </w:rPr>
              <w:t>BOARD</w:t>
            </w:r>
          </w:p>
        </w:tc>
        <w:tc>
          <w:tcPr>
            <w:tcW w:w="2320" w:type="dxa"/>
            <w:vAlign w:val="bottom"/>
            <w:tcBorders>
              <w:right w:val="single" w:sz="8" w:color="1A3FD6"/>
            </w:tcBorders>
            <w:shd w:val="clear" w:color="auto" w:fill="EDF0FC"/>
          </w:tcPr>
          <w:p>
            <w:pPr>
              <w:jc w:val="center"/>
              <w:spacing w:after="0"/>
              <w:rPr>
                <w:sz w:val="20"/>
                <w:szCs w:val="20"/>
                <w:color w:val="auto"/>
              </w:rPr>
            </w:pPr>
            <w:r>
              <w:rPr>
                <w:rFonts w:ascii="Arial" w:cs="Arial" w:eastAsia="Arial" w:hAnsi="Arial"/>
                <w:sz w:val="16"/>
                <w:szCs w:val="16"/>
                <w:b w:val="1"/>
                <w:bCs w:val="1"/>
                <w:color w:val="auto"/>
              </w:rPr>
              <w:t>EXECUTIVE SESSIONS,</w:t>
            </w:r>
          </w:p>
        </w:tc>
        <w:tc>
          <w:tcPr>
            <w:tcW w:w="2800" w:type="dxa"/>
            <w:vAlign w:val="bottom"/>
            <w:tcBorders>
              <w:right w:val="single" w:sz="8" w:color="1A3FD6"/>
            </w:tcBorders>
            <w:shd w:val="clear" w:color="auto" w:fill="EDF0FC"/>
          </w:tcPr>
          <w:p>
            <w:pPr>
              <w:jc w:val="center"/>
              <w:spacing w:after="0"/>
              <w:rPr>
                <w:sz w:val="20"/>
                <w:szCs w:val="20"/>
                <w:color w:val="auto"/>
              </w:rPr>
            </w:pPr>
            <w:r>
              <w:rPr>
                <w:rFonts w:ascii="Arial" w:cs="Arial" w:eastAsia="Arial" w:hAnsi="Arial"/>
                <w:sz w:val="16"/>
                <w:szCs w:val="16"/>
                <w:b w:val="1"/>
                <w:bCs w:val="1"/>
                <w:color w:val="auto"/>
              </w:rPr>
              <w:t>OCCASIONS WHERE</w:t>
            </w:r>
          </w:p>
        </w:tc>
        <w:tc>
          <w:tcPr>
            <w:tcW w:w="4420" w:type="dxa"/>
            <w:vAlign w:val="bottom"/>
            <w:shd w:val="clear" w:color="auto" w:fill="EDF0FC"/>
          </w:tcPr>
          <w:p>
            <w:pPr>
              <w:jc w:val="center"/>
              <w:spacing w:after="0"/>
              <w:rPr>
                <w:sz w:val="20"/>
                <w:szCs w:val="20"/>
                <w:color w:val="auto"/>
              </w:rPr>
            </w:pPr>
            <w:r>
              <w:rPr>
                <w:rFonts w:ascii="Arial" w:cs="Arial" w:eastAsia="Arial" w:hAnsi="Arial"/>
                <w:sz w:val="16"/>
                <w:szCs w:val="16"/>
                <w:b w:val="1"/>
                <w:bCs w:val="1"/>
                <w:color w:val="auto"/>
              </w:rPr>
              <w:t>OF THE TOTAL BOARD MEETINGS AND COMMITTEE</w:t>
            </w:r>
          </w:p>
        </w:tc>
        <w:tc>
          <w:tcPr>
            <w:tcW w:w="0" w:type="dxa"/>
            <w:vAlign w:val="bottom"/>
          </w:tcPr>
          <w:p>
            <w:pPr>
              <w:spacing w:after="0"/>
              <w:rPr>
                <w:sz w:val="1"/>
                <w:szCs w:val="1"/>
                <w:color w:val="auto"/>
              </w:rPr>
            </w:pPr>
          </w:p>
        </w:tc>
      </w:tr>
      <w:tr>
        <w:trPr>
          <w:trHeight w:val="216"/>
        </w:trPr>
        <w:tc>
          <w:tcPr>
            <w:tcW w:w="1700" w:type="dxa"/>
            <w:vAlign w:val="bottom"/>
            <w:tcBorders>
              <w:right w:val="single" w:sz="8" w:color="1A3FD6"/>
            </w:tcBorders>
            <w:shd w:val="clear" w:color="auto" w:fill="EDF0FC"/>
          </w:tcPr>
          <w:p>
            <w:pPr>
              <w:jc w:val="center"/>
              <w:spacing w:after="0"/>
              <w:rPr>
                <w:sz w:val="20"/>
                <w:szCs w:val="20"/>
                <w:color w:val="auto"/>
              </w:rPr>
            </w:pPr>
            <w:r>
              <w:rPr>
                <w:rFonts w:ascii="Arial" w:cs="Arial" w:eastAsia="Arial" w:hAnsi="Arial"/>
                <w:sz w:val="16"/>
                <w:szCs w:val="16"/>
                <w:b w:val="1"/>
                <w:bCs w:val="1"/>
                <w:color w:val="auto"/>
              </w:rPr>
              <w:t>MEETINGS</w:t>
            </w:r>
          </w:p>
        </w:tc>
        <w:tc>
          <w:tcPr>
            <w:tcW w:w="2320" w:type="dxa"/>
            <w:vAlign w:val="bottom"/>
            <w:tcBorders>
              <w:right w:val="single" w:sz="8" w:color="1A3FD6"/>
            </w:tcBorders>
            <w:shd w:val="clear" w:color="auto" w:fill="EDF0FC"/>
          </w:tcPr>
          <w:p>
            <w:pPr>
              <w:jc w:val="center"/>
              <w:spacing w:after="0"/>
              <w:rPr>
                <w:sz w:val="20"/>
                <w:szCs w:val="20"/>
                <w:color w:val="auto"/>
              </w:rPr>
            </w:pPr>
            <w:r>
              <w:rPr>
                <w:rFonts w:ascii="Arial" w:cs="Arial" w:eastAsia="Arial" w:hAnsi="Arial"/>
                <w:sz w:val="16"/>
                <w:szCs w:val="16"/>
                <w:b w:val="1"/>
                <w:bCs w:val="1"/>
                <w:color w:val="auto"/>
              </w:rPr>
              <w:t>WHICH FOLLOWED THE</w:t>
            </w:r>
          </w:p>
        </w:tc>
        <w:tc>
          <w:tcPr>
            <w:tcW w:w="2800" w:type="dxa"/>
            <w:vAlign w:val="bottom"/>
            <w:tcBorders>
              <w:right w:val="single" w:sz="8" w:color="1A3FD6"/>
            </w:tcBorders>
            <w:shd w:val="clear" w:color="auto" w:fill="EDF0FC"/>
          </w:tcPr>
          <w:p>
            <w:pPr>
              <w:jc w:val="center"/>
              <w:spacing w:after="0"/>
              <w:rPr>
                <w:sz w:val="20"/>
                <w:szCs w:val="20"/>
                <w:color w:val="auto"/>
              </w:rPr>
            </w:pPr>
            <w:r>
              <w:rPr>
                <w:rFonts w:ascii="Arial" w:cs="Arial" w:eastAsia="Arial" w:hAnsi="Arial"/>
                <w:sz w:val="16"/>
                <w:szCs w:val="16"/>
                <w:b w:val="1"/>
                <w:bCs w:val="1"/>
                <w:color w:val="auto"/>
              </w:rPr>
              <w:t>THE BOARD TOOK ACTION BY</w:t>
            </w:r>
          </w:p>
        </w:tc>
        <w:tc>
          <w:tcPr>
            <w:tcW w:w="4420" w:type="dxa"/>
            <w:vAlign w:val="bottom"/>
            <w:shd w:val="clear" w:color="auto" w:fill="EDF0FC"/>
          </w:tcPr>
          <w:p>
            <w:pPr>
              <w:jc w:val="center"/>
              <w:spacing w:after="0"/>
              <w:rPr>
                <w:sz w:val="20"/>
                <w:szCs w:val="20"/>
                <w:color w:val="auto"/>
              </w:rPr>
            </w:pPr>
            <w:r>
              <w:rPr>
                <w:rFonts w:ascii="Arial" w:cs="Arial" w:eastAsia="Arial" w:hAnsi="Arial"/>
                <w:sz w:val="16"/>
                <w:szCs w:val="16"/>
                <w:b w:val="1"/>
                <w:bCs w:val="1"/>
                <w:color w:val="auto"/>
              </w:rPr>
              <w:t>MEETINGS ON WHICH THE DIRECTOR SERVED THAT</w:t>
            </w:r>
          </w:p>
        </w:tc>
        <w:tc>
          <w:tcPr>
            <w:tcW w:w="0" w:type="dxa"/>
            <w:vAlign w:val="bottom"/>
          </w:tcPr>
          <w:p>
            <w:pPr>
              <w:spacing w:after="0"/>
              <w:rPr>
                <w:sz w:val="1"/>
                <w:szCs w:val="1"/>
                <w:color w:val="auto"/>
              </w:rPr>
            </w:pPr>
          </w:p>
        </w:tc>
      </w:tr>
      <w:tr>
        <w:trPr>
          <w:trHeight w:val="216"/>
        </w:trPr>
        <w:tc>
          <w:tcPr>
            <w:tcW w:w="1700" w:type="dxa"/>
            <w:vAlign w:val="bottom"/>
            <w:tcBorders>
              <w:right w:val="single" w:sz="8" w:color="1A3FD6"/>
            </w:tcBorders>
            <w:shd w:val="clear" w:color="auto" w:fill="EDF0FC"/>
          </w:tcPr>
          <w:p>
            <w:pPr>
              <w:spacing w:after="0"/>
              <w:rPr>
                <w:sz w:val="18"/>
                <w:szCs w:val="18"/>
                <w:color w:val="auto"/>
              </w:rPr>
            </w:pPr>
          </w:p>
        </w:tc>
        <w:tc>
          <w:tcPr>
            <w:tcW w:w="2320" w:type="dxa"/>
            <w:vAlign w:val="bottom"/>
            <w:tcBorders>
              <w:right w:val="single" w:sz="8" w:color="1A3FD6"/>
            </w:tcBorders>
            <w:shd w:val="clear" w:color="auto" w:fill="EDF0FC"/>
          </w:tcPr>
          <w:p>
            <w:pPr>
              <w:jc w:val="center"/>
              <w:spacing w:after="0"/>
              <w:rPr>
                <w:sz w:val="20"/>
                <w:szCs w:val="20"/>
                <w:color w:val="auto"/>
              </w:rPr>
            </w:pPr>
            <w:r>
              <w:rPr>
                <w:rFonts w:ascii="Arial" w:cs="Arial" w:eastAsia="Arial" w:hAnsi="Arial"/>
                <w:sz w:val="16"/>
                <w:szCs w:val="16"/>
                <w:b w:val="1"/>
                <w:bCs w:val="1"/>
                <w:color w:val="auto"/>
              </w:rPr>
              <w:t>BOARD MEETINGS</w:t>
            </w:r>
          </w:p>
        </w:tc>
        <w:tc>
          <w:tcPr>
            <w:tcW w:w="2800" w:type="dxa"/>
            <w:vAlign w:val="bottom"/>
            <w:tcBorders>
              <w:right w:val="single" w:sz="8" w:color="1A3FD6"/>
            </w:tcBorders>
            <w:shd w:val="clear" w:color="auto" w:fill="EDF0FC"/>
          </w:tcPr>
          <w:p>
            <w:pPr>
              <w:jc w:val="center"/>
              <w:spacing w:after="0"/>
              <w:rPr>
                <w:sz w:val="20"/>
                <w:szCs w:val="20"/>
                <w:color w:val="auto"/>
              </w:rPr>
            </w:pPr>
            <w:r>
              <w:rPr>
                <w:rFonts w:ascii="Arial" w:cs="Arial" w:eastAsia="Arial" w:hAnsi="Arial"/>
                <w:sz w:val="16"/>
                <w:szCs w:val="16"/>
                <w:b w:val="1"/>
                <w:bCs w:val="1"/>
                <w:color w:val="auto"/>
              </w:rPr>
              <w:t>UNANIMOUS</w:t>
            </w:r>
          </w:p>
        </w:tc>
        <w:tc>
          <w:tcPr>
            <w:tcW w:w="4420" w:type="dxa"/>
            <w:vAlign w:val="bottom"/>
            <w:shd w:val="clear" w:color="auto" w:fill="EDF0FC"/>
          </w:tcPr>
          <w:p>
            <w:pPr>
              <w:jc w:val="center"/>
              <w:spacing w:after="0"/>
              <w:rPr>
                <w:sz w:val="20"/>
                <w:szCs w:val="20"/>
                <w:color w:val="auto"/>
              </w:rPr>
            </w:pPr>
            <w:r>
              <w:rPr>
                <w:rFonts w:ascii="Arial" w:cs="Arial" w:eastAsia="Arial" w:hAnsi="Arial"/>
                <w:sz w:val="16"/>
                <w:szCs w:val="16"/>
                <w:b w:val="1"/>
                <w:bCs w:val="1"/>
                <w:color w:val="auto"/>
              </w:rPr>
              <w:t>WERE HELD WHILE THE DIRECTOR WAS A MEMBER</w:t>
            </w:r>
          </w:p>
        </w:tc>
        <w:tc>
          <w:tcPr>
            <w:tcW w:w="0" w:type="dxa"/>
            <w:vAlign w:val="bottom"/>
          </w:tcPr>
          <w:p>
            <w:pPr>
              <w:spacing w:after="0"/>
              <w:rPr>
                <w:sz w:val="1"/>
                <w:szCs w:val="1"/>
                <w:color w:val="auto"/>
              </w:rPr>
            </w:pPr>
          </w:p>
        </w:tc>
      </w:tr>
      <w:tr>
        <w:trPr>
          <w:trHeight w:val="224"/>
        </w:trPr>
        <w:tc>
          <w:tcPr>
            <w:tcW w:w="1700" w:type="dxa"/>
            <w:vAlign w:val="bottom"/>
            <w:tcBorders>
              <w:bottom w:val="single" w:sz="8" w:color="EDF0FC"/>
              <w:right w:val="single" w:sz="8" w:color="1A3FD6"/>
            </w:tcBorders>
            <w:shd w:val="clear" w:color="auto" w:fill="EDF0FC"/>
          </w:tcPr>
          <w:p>
            <w:pPr>
              <w:spacing w:after="0"/>
              <w:rPr>
                <w:sz w:val="19"/>
                <w:szCs w:val="19"/>
                <w:color w:val="auto"/>
              </w:rPr>
            </w:pPr>
          </w:p>
        </w:tc>
        <w:tc>
          <w:tcPr>
            <w:tcW w:w="2320" w:type="dxa"/>
            <w:vAlign w:val="bottom"/>
            <w:tcBorders>
              <w:bottom w:val="single" w:sz="8" w:color="EDF0FC"/>
              <w:right w:val="single" w:sz="8" w:color="1A3FD6"/>
            </w:tcBorders>
            <w:shd w:val="clear" w:color="auto" w:fill="EDF0FC"/>
          </w:tcPr>
          <w:p>
            <w:pPr>
              <w:spacing w:after="0"/>
              <w:rPr>
                <w:sz w:val="19"/>
                <w:szCs w:val="19"/>
                <w:color w:val="auto"/>
              </w:rPr>
            </w:pPr>
          </w:p>
        </w:tc>
        <w:tc>
          <w:tcPr>
            <w:tcW w:w="2800" w:type="dxa"/>
            <w:vAlign w:val="bottom"/>
            <w:tcBorders>
              <w:bottom w:val="single" w:sz="8" w:color="EDF0FC"/>
              <w:right w:val="single" w:sz="8" w:color="1A3FD6"/>
            </w:tcBorders>
            <w:shd w:val="clear" w:color="auto" w:fill="EDF0FC"/>
          </w:tcPr>
          <w:p>
            <w:pPr>
              <w:jc w:val="center"/>
              <w:spacing w:after="0"/>
              <w:rPr>
                <w:sz w:val="20"/>
                <w:szCs w:val="20"/>
                <w:color w:val="auto"/>
              </w:rPr>
            </w:pPr>
            <w:r>
              <w:rPr>
                <w:rFonts w:ascii="Arial" w:cs="Arial" w:eastAsia="Arial" w:hAnsi="Arial"/>
                <w:sz w:val="16"/>
                <w:szCs w:val="16"/>
                <w:b w:val="1"/>
                <w:bCs w:val="1"/>
                <w:color w:val="auto"/>
              </w:rPr>
              <w:t>WRITTEN CONSENT</w:t>
            </w:r>
          </w:p>
        </w:tc>
        <w:tc>
          <w:tcPr>
            <w:tcW w:w="4420" w:type="dxa"/>
            <w:vAlign w:val="bottom"/>
            <w:tcBorders>
              <w:bottom w:val="single" w:sz="8" w:color="EDF0FC"/>
            </w:tcBorders>
            <w:shd w:val="clear" w:color="auto" w:fill="EDF0F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700" w:type="dxa"/>
            <w:vAlign w:val="bottom"/>
            <w:tcBorders>
              <w:right w:val="single" w:sz="8" w:color="EDF0FC"/>
            </w:tcBorders>
            <w:shd w:val="clear" w:color="auto" w:fill="EDF0FC"/>
          </w:tcPr>
          <w:p>
            <w:pPr>
              <w:spacing w:after="0"/>
              <w:rPr>
                <w:sz w:val="14"/>
                <w:szCs w:val="14"/>
                <w:color w:val="auto"/>
              </w:rPr>
            </w:pPr>
          </w:p>
        </w:tc>
        <w:tc>
          <w:tcPr>
            <w:tcW w:w="2320" w:type="dxa"/>
            <w:vAlign w:val="bottom"/>
            <w:tcBorders>
              <w:right w:val="single" w:sz="8" w:color="EDF0FC"/>
            </w:tcBorders>
            <w:shd w:val="clear" w:color="auto" w:fill="EDF0FC"/>
          </w:tcPr>
          <w:p>
            <w:pPr>
              <w:spacing w:after="0"/>
              <w:rPr>
                <w:sz w:val="14"/>
                <w:szCs w:val="14"/>
                <w:color w:val="auto"/>
              </w:rPr>
            </w:pPr>
          </w:p>
        </w:tc>
        <w:tc>
          <w:tcPr>
            <w:tcW w:w="2800" w:type="dxa"/>
            <w:vAlign w:val="bottom"/>
            <w:tcBorders>
              <w:right w:val="single" w:sz="8" w:color="EDF0FC"/>
            </w:tcBorders>
            <w:shd w:val="clear" w:color="auto" w:fill="EDF0FC"/>
          </w:tcPr>
          <w:p>
            <w:pPr>
              <w:spacing w:after="0"/>
              <w:rPr>
                <w:sz w:val="14"/>
                <w:szCs w:val="14"/>
                <w:color w:val="auto"/>
              </w:rPr>
            </w:pPr>
          </w:p>
        </w:tc>
        <w:tc>
          <w:tcPr>
            <w:tcW w:w="4420" w:type="dxa"/>
            <w:vAlign w:val="bottom"/>
            <w:shd w:val="clear" w:color="auto" w:fill="EDF0FC"/>
          </w:tcPr>
          <w:p>
            <w:pPr>
              <w:spacing w:after="0"/>
              <w:rPr>
                <w:sz w:val="14"/>
                <w:szCs w:val="1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Board met eight times, held independent director executive sessions following all eight of those meetings and took action by unanimous written consent on four occasions during 2024. Each director attended at least 75% of the total meetings of the Board and committees on which the director served that were held while the director was a member.</w:t>
      </w:r>
    </w:p>
    <w:p>
      <w:pPr>
        <w:spacing w:after="0" w:line="50"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Discussions between the Board and management on strategic direction, new business opportunities and the scope and mix of the Company’s products were held at each quarterly Board meeting. In addition to formal meetings, members of our Board informally interact with senior management on a periodic basis and participate in director education sessions.</w:t>
      </w:r>
    </w:p>
    <w:p>
      <w:pPr>
        <w:spacing w:after="0" w:line="71"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Our Corporate Governance Policies state that directors are expected to attend the annual meetings of shareholders. In 2024, all of our directors who were on the Board at the time attended our annual meeting of shareholders. Ms. Seitz joined the Board in August 2024 and Ms. Yang joined the Board in December 2024, and, therefore, they did not attend the annual meeting of shareholders in 2024.</w:t>
      </w:r>
    </w:p>
    <w:p>
      <w:pPr>
        <w:spacing w:after="0" w:line="51"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Independent Director Meetings</w:t>
      </w:r>
    </w:p>
    <w:p>
      <w:pPr>
        <w:spacing w:after="0" w:line="186"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Our Corporate Governance Policies provide that our Lead Director will preside over non-employee director sessions. Mr. Ashe presided over independent director sessions following all Board meetings during 2024. The Board’s standing committees also have a practice of holding executive sessions after their quarterly meetings. Our Corporate Governance Policies further provide that if any non-employee directors are not independent, then the independent directors will meet at least once a year in an independent director session and the Lead Director will preside over each such independent director session. During 2024, all non-employee directors were independent.</w:t>
      </w:r>
    </w:p>
    <w:p>
      <w:pPr>
        <w:spacing w:after="0" w:line="41"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Director Education and Orientation Program</w:t>
      </w:r>
    </w:p>
    <w:p>
      <w:pPr>
        <w:spacing w:after="0" w:line="20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Directors are encouraged and provided with opportunities to attend educational sessions on subjects that can assist them in performing their duties. Pursuant to the Director Education Policy, the Company will reimburse directors for reasonable costs incurred from attending these sessions. Directors also participate in an annual review of leading corporate governance practices by corporate governance experts, briefing sessions on topics that present special risks and opportunities and regular updates on accounting topics.</w:t>
      </w:r>
    </w:p>
    <w:p>
      <w:pPr>
        <w:spacing w:after="0" w:line="59"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The Company is also part of a peer-engaged program designed to enhance director performance, and we leverage virtual platforms to provide deep-dive sessions on certain aspects of MSCI’s business outside of quarterly meetings including on emerging topics. In 2024, we conducted board education sessions to strengthen the Board’s expertise on cybersecurity and climate developments and trends.</w:t>
      </w:r>
    </w:p>
    <w:p>
      <w:pPr>
        <w:spacing w:after="0" w:line="50"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All new directors participate in a director orientation program that includes briefings by senior management representing the heads of product lines and key functional areas on topics that include, among others, the Company’s strategic plans, capital structure, product overviews, historical financial performance and key policies and practices, including compliance and trading policies. We leverage MSCI’s hybrid work environment to hold orientation sessions virtually to provide for participation by senior management around the world. In addition, new directors are encouraged to attend all committee meetings during their first year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8420"/>
              <w:spacing w:after="0"/>
              <w:rPr>
                <w:sz w:val="20"/>
                <w:szCs w:val="20"/>
                <w:color w:val="auto"/>
              </w:rPr>
            </w:pPr>
            <w:r>
              <w:rPr>
                <w:rFonts w:ascii="Arial" w:cs="Arial" w:eastAsia="Arial" w:hAnsi="Arial"/>
                <w:sz w:val="14"/>
                <w:szCs w:val="14"/>
                <w:b w:val="1"/>
                <w:bCs w:val="1"/>
                <w:color w:val="1A3FD6"/>
              </w:rPr>
              <w:t>Corporate Governance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41</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384"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Board Evaluations</w:t>
      </w:r>
    </w:p>
    <w:p>
      <w:pPr>
        <w:spacing w:after="0" w:line="200"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The Board conducts a rigorous annual evaluation to support its effectiveness. Directors assess areas such as Board culture, leadership, committee performance, skills and continuing education, either through a self-assessment or by engaging an independent third party. The feedback, along with insights from one-on-one meetings with the Lead Director, is discussed during executive sessions, with follow-up actions taken as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7063740" cy="1054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063740" cy="1054100"/>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p>
      <w:pPr>
        <w:spacing w:after="0" w:line="364" w:lineRule="exact"/>
        <w:rPr>
          <w:sz w:val="20"/>
          <w:szCs w:val="20"/>
          <w:color w:val="auto"/>
        </w:rPr>
      </w:pPr>
    </w:p>
    <w:p>
      <w:pPr>
        <w:ind w:left="760"/>
        <w:spacing w:after="0"/>
        <w:rPr>
          <w:sz w:val="20"/>
          <w:szCs w:val="20"/>
          <w:color w:val="auto"/>
        </w:rPr>
      </w:pPr>
      <w:r>
        <w:rPr>
          <w:rFonts w:ascii="Arial" w:cs="Arial" w:eastAsia="Arial" w:hAnsi="Arial"/>
          <w:sz w:val="54"/>
          <w:szCs w:val="54"/>
          <w:b w:val="1"/>
          <w:bCs w:val="1"/>
          <w:color w:val="1A3FD6"/>
        </w:rPr>
        <w:t>1</w:t>
      </w:r>
    </w:p>
    <w:p>
      <w:pPr>
        <w:spacing w:after="0" w:line="11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INITIATION OF</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PROCESS</w:t>
      </w:r>
    </w:p>
    <w:p>
      <w:pPr>
        <w:spacing w:after="0" w:line="200" w:lineRule="exact"/>
        <w:rPr>
          <w:sz w:val="20"/>
          <w:szCs w:val="20"/>
          <w:color w:val="auto"/>
        </w:rPr>
      </w:pPr>
    </w:p>
    <w:p>
      <w:pPr>
        <w:spacing w:after="0" w:line="213" w:lineRule="exact"/>
        <w:rPr>
          <w:sz w:val="20"/>
          <w:szCs w:val="20"/>
          <w:color w:val="auto"/>
        </w:rPr>
      </w:pPr>
    </w:p>
    <w:p>
      <w:pPr>
        <w:ind w:left="760"/>
        <w:spacing w:after="0"/>
        <w:rPr>
          <w:sz w:val="20"/>
          <w:szCs w:val="20"/>
          <w:color w:val="auto"/>
        </w:rPr>
      </w:pPr>
      <w:r>
        <w:rPr>
          <w:rFonts w:ascii="Arial" w:cs="Arial" w:eastAsia="Arial" w:hAnsi="Arial"/>
          <w:sz w:val="54"/>
          <w:szCs w:val="54"/>
          <w:b w:val="1"/>
          <w:bCs w:val="1"/>
          <w:color w:val="1A3FD6"/>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-390525</wp:posOffset>
            </wp:positionV>
            <wp:extent cx="205740" cy="8140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05740" cy="814070"/>
                    </a:xfrm>
                    <a:prstGeom prst="rect">
                      <a:avLst/>
                    </a:prstGeom>
                    <a:noFill/>
                  </pic:spPr>
                </pic:pic>
              </a:graphicData>
            </a:graphic>
          </wp:anchor>
        </w:drawing>
      </w:r>
    </w:p>
    <w:p>
      <w:pPr>
        <w:spacing w:after="0" w:line="9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53340</wp:posOffset>
            </wp:positionV>
            <wp:extent cx="300355" cy="342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00355" cy="342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760"/>
        <w:spacing w:after="0"/>
        <w:rPr>
          <w:sz w:val="20"/>
          <w:szCs w:val="20"/>
          <w:color w:val="auto"/>
        </w:rPr>
      </w:pPr>
      <w:r>
        <w:rPr>
          <w:rFonts w:ascii="Arial" w:cs="Arial" w:eastAsia="Arial" w:hAnsi="Arial"/>
          <w:sz w:val="54"/>
          <w:szCs w:val="54"/>
          <w:b w:val="1"/>
          <w:bCs w:val="1"/>
          <w:color w:val="1A3FD6"/>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-390525</wp:posOffset>
            </wp:positionV>
            <wp:extent cx="205740" cy="7886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05740" cy="788670"/>
                    </a:xfrm>
                    <a:prstGeom prst="rect">
                      <a:avLst/>
                    </a:prstGeom>
                    <a:noFill/>
                  </pic:spPr>
                </pic:pic>
              </a:graphicData>
            </a:graphic>
          </wp:anchor>
        </w:drawing>
      </w:r>
    </w:p>
    <w:p>
      <w:pPr>
        <w:spacing w:after="0" w:line="9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53340</wp:posOffset>
            </wp:positionV>
            <wp:extent cx="300355"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00355" cy="3429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760"/>
        <w:spacing w:after="0"/>
        <w:rPr>
          <w:sz w:val="20"/>
          <w:szCs w:val="20"/>
          <w:color w:val="auto"/>
        </w:rPr>
      </w:pPr>
      <w:r>
        <w:rPr>
          <w:rFonts w:ascii="Arial" w:cs="Arial" w:eastAsia="Arial" w:hAnsi="Arial"/>
          <w:sz w:val="54"/>
          <w:szCs w:val="54"/>
          <w:b w:val="1"/>
          <w:bCs w:val="1"/>
          <w:color w:val="1A3FD6"/>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-390525</wp:posOffset>
            </wp:positionV>
            <wp:extent cx="34290" cy="6858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685800"/>
                    </a:xfrm>
                    <a:prstGeom prst="rect">
                      <a:avLst/>
                    </a:prstGeom>
                    <a:noFill/>
                  </pic:spPr>
                </pic:pic>
              </a:graphicData>
            </a:graphic>
          </wp:anchor>
        </w:drawing>
      </w:r>
    </w:p>
    <w:p>
      <w:pPr>
        <w:spacing w:after="0" w:line="9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FOLLOW-UP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53340</wp:posOffset>
            </wp:positionV>
            <wp:extent cx="300355" cy="342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00355" cy="342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121920</wp:posOffset>
            </wp:positionV>
            <wp:extent cx="205740" cy="1028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0574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jc w:val="both"/>
        <w:ind w:right="680"/>
        <w:spacing w:after="0" w:line="301" w:lineRule="auto"/>
        <w:rPr>
          <w:sz w:val="20"/>
          <w:szCs w:val="20"/>
          <w:color w:val="auto"/>
        </w:rPr>
      </w:pPr>
      <w:r>
        <w:rPr>
          <w:rFonts w:ascii="Arial" w:cs="Arial" w:eastAsia="Arial" w:hAnsi="Arial"/>
          <w:sz w:val="16"/>
          <w:szCs w:val="16"/>
          <w:color w:val="auto"/>
        </w:rPr>
        <w:t>Members of the Governance Committee provide thoughts on the factors to be used in evaluating the Board, its committees and individual directors. The Governance Committee also oversees and approves the process and guidelines for the annual evaluation of the performance and effectiveness of the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443865</wp:posOffset>
            </wp:positionV>
            <wp:extent cx="5469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469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Each director completes an anonymous self-assessment questionnaire covering a range of topics, including Board structure, Board culture, composition, refreshment priorities, oversight of risk and the roles of the Board and its committees. On an annual basis, the Lead Director also conducts individual director evaluations through interviews with each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252095</wp:posOffset>
            </wp:positionV>
            <wp:extent cx="5469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46925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Corporate Secretary compiles the quantitative and qualitative data from this evaluation and consults with the Lead Director and the Chair of the Governance Committee on the results. The Lead Director and Chair of the Governance Committee review the results with the full Board in executive 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349250</wp:posOffset>
            </wp:positionV>
            <wp:extent cx="546925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469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580"/>
        <w:spacing w:after="0" w:line="321" w:lineRule="auto"/>
        <w:rPr>
          <w:sz w:val="20"/>
          <w:szCs w:val="20"/>
          <w:color w:val="auto"/>
        </w:rPr>
      </w:pPr>
      <w:r>
        <w:rPr>
          <w:rFonts w:ascii="Arial" w:cs="Arial" w:eastAsia="Arial" w:hAnsi="Arial"/>
          <w:sz w:val="16"/>
          <w:szCs w:val="16"/>
          <w:color w:val="auto"/>
        </w:rPr>
        <w:t>The Lead Director and Chair of the Governance Committee facilitate discussions during Governance Committee meetings on Board feedback and potential enhancements to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502285</wp:posOffset>
            </wp:positionV>
            <wp:extent cx="6789420" cy="24860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789420" cy="2486025"/>
                    </a:xfrm>
                    <a:prstGeom prst="rect">
                      <a:avLst/>
                    </a:prstGeom>
                    <a:noFill/>
                  </pic:spPr>
                </pic:pic>
              </a:graphicData>
            </a:graphic>
          </wp:anchor>
        </w:drawing>
      </w:r>
    </w:p>
    <w:p>
      <w:pPr>
        <w:spacing w:after="0" w:line="609" w:lineRule="exact"/>
        <w:rPr>
          <w:sz w:val="20"/>
          <w:szCs w:val="20"/>
          <w:color w:val="auto"/>
        </w:rPr>
      </w:pPr>
    </w:p>
    <w:p>
      <w:pPr>
        <w:sectPr>
          <w:pgSz w:w="11900" w:h="16838" w:orient="portrait"/>
          <w:cols w:equalWidth="0" w:num="2">
            <w:col w:w="1920" w:space="720"/>
            <w:col w:w="8600"/>
          </w:cols>
          <w:pgMar w:left="320" w:top="167" w:right="339" w:bottom="1440" w:gutter="0" w:footer="0" w:header="0"/>
          <w:type w:val="continuous"/>
        </w:sectPr>
      </w:pPr>
    </w:p>
    <w:p>
      <w:pPr>
        <w:spacing w:after="0" w:line="230" w:lineRule="exact"/>
        <w:rPr>
          <w:sz w:val="20"/>
          <w:szCs w:val="20"/>
          <w:color w:val="auto"/>
        </w:rPr>
      </w:pPr>
    </w:p>
    <w:p>
      <w:pPr>
        <w:ind w:left="760"/>
        <w:spacing w:after="0"/>
        <w:rPr>
          <w:sz w:val="20"/>
          <w:szCs w:val="20"/>
          <w:color w:val="auto"/>
        </w:rPr>
      </w:pPr>
      <w:r>
        <w:rPr>
          <w:rFonts w:ascii="Arial" w:cs="Arial" w:eastAsia="Arial" w:hAnsi="Arial"/>
          <w:sz w:val="54"/>
          <w:szCs w:val="54"/>
          <w:b w:val="1"/>
          <w:bCs w:val="1"/>
          <w:color w:val="1A3FD6"/>
        </w:rPr>
        <w:t>5</w:t>
      </w:r>
    </w:p>
    <w:p>
      <w:pPr>
        <w:spacing w:after="0" w:line="6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RECENT</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ENHANCEMENTS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STRATEGIC GOALS:</w:t>
      </w:r>
    </w:p>
    <w:p>
      <w:pPr>
        <w:spacing w:after="0" w:line="140" w:lineRule="exact"/>
        <w:rPr>
          <w:sz w:val="20"/>
          <w:szCs w:val="20"/>
          <w:color w:val="auto"/>
        </w:rPr>
      </w:pPr>
    </w:p>
    <w:p>
      <w:pPr>
        <w:ind w:left="200" w:hanging="195"/>
        <w:spacing w:after="0" w:line="299" w:lineRule="auto"/>
        <w:tabs>
          <w:tab w:leader="none" w:pos="197" w:val="left"/>
        </w:tabs>
        <w:numPr>
          <w:ilvl w:val="0"/>
          <w:numId w:val="42"/>
        </w:numPr>
        <w:rPr>
          <w:rFonts w:ascii="Arial" w:cs="Arial" w:eastAsia="Arial" w:hAnsi="Arial"/>
          <w:sz w:val="16"/>
          <w:szCs w:val="16"/>
          <w:color w:val="1A3FD6"/>
        </w:rPr>
      </w:pPr>
      <w:r>
        <w:rPr>
          <w:rFonts w:ascii="Arial" w:cs="Arial" w:eastAsia="Arial" w:hAnsi="Arial"/>
          <w:sz w:val="16"/>
          <w:szCs w:val="16"/>
          <w:color w:val="auto"/>
        </w:rPr>
        <w:t>Board and committee agendas increasingly focus on strategic and forward-looking topics</w:t>
      </w:r>
    </w:p>
    <w:p>
      <w:pPr>
        <w:ind w:left="200" w:right="160" w:hanging="195"/>
        <w:spacing w:after="0" w:line="304" w:lineRule="auto"/>
        <w:tabs>
          <w:tab w:leader="none" w:pos="197" w:val="left"/>
        </w:tabs>
        <w:numPr>
          <w:ilvl w:val="0"/>
          <w:numId w:val="42"/>
        </w:numPr>
        <w:rPr>
          <w:rFonts w:ascii="Arial" w:cs="Arial" w:eastAsia="Arial" w:hAnsi="Arial"/>
          <w:sz w:val="16"/>
          <w:szCs w:val="16"/>
          <w:color w:val="1A3FD6"/>
        </w:rPr>
      </w:pPr>
      <w:r>
        <w:rPr>
          <w:rFonts w:ascii="Arial" w:cs="Arial" w:eastAsia="Arial" w:hAnsi="Arial"/>
          <w:sz w:val="16"/>
          <w:szCs w:val="16"/>
          <w:color w:val="auto"/>
        </w:rPr>
        <w:t>Increasing use of scorecards to measure progress against strategic objectives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CYBERSECURITY AND BUSINESS RESILIENCY:</w:t>
      </w:r>
    </w:p>
    <w:p>
      <w:pPr>
        <w:spacing w:after="0" w:line="127" w:lineRule="exact"/>
        <w:rPr>
          <w:sz w:val="20"/>
          <w:szCs w:val="20"/>
          <w:color w:val="auto"/>
        </w:rPr>
      </w:pPr>
    </w:p>
    <w:p>
      <w:pPr>
        <w:ind w:left="200" w:right="620" w:hanging="195"/>
        <w:spacing w:after="0" w:line="304" w:lineRule="auto"/>
        <w:tabs>
          <w:tab w:leader="none" w:pos="197" w:val="left"/>
        </w:tabs>
        <w:numPr>
          <w:ilvl w:val="0"/>
          <w:numId w:val="43"/>
        </w:numPr>
        <w:rPr>
          <w:rFonts w:ascii="Arial" w:cs="Arial" w:eastAsia="Arial" w:hAnsi="Arial"/>
          <w:sz w:val="16"/>
          <w:szCs w:val="16"/>
          <w:color w:val="1A3FD6"/>
        </w:rPr>
      </w:pPr>
      <w:r>
        <w:rPr>
          <w:rFonts w:ascii="Arial" w:cs="Arial" w:eastAsia="Arial" w:hAnsi="Arial"/>
          <w:sz w:val="16"/>
          <w:szCs w:val="16"/>
          <w:color w:val="auto"/>
        </w:rPr>
        <w:t>Emphasis on cyber preparedness and crisis management capabilities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EDUCATION:</w:t>
      </w:r>
    </w:p>
    <w:p>
      <w:pPr>
        <w:spacing w:after="0" w:line="127" w:lineRule="exact"/>
        <w:rPr>
          <w:sz w:val="20"/>
          <w:szCs w:val="20"/>
          <w:color w:val="auto"/>
        </w:rPr>
      </w:pPr>
    </w:p>
    <w:p>
      <w:pPr>
        <w:ind w:left="200" w:right="460" w:hanging="195"/>
        <w:spacing w:after="0" w:line="321" w:lineRule="auto"/>
        <w:tabs>
          <w:tab w:leader="none" w:pos="197" w:val="left"/>
        </w:tabs>
        <w:numPr>
          <w:ilvl w:val="0"/>
          <w:numId w:val="44"/>
        </w:numPr>
        <w:rPr>
          <w:rFonts w:ascii="Arial" w:cs="Arial" w:eastAsia="Arial" w:hAnsi="Arial"/>
          <w:sz w:val="16"/>
          <w:szCs w:val="16"/>
          <w:color w:val="1A3FD6"/>
        </w:rPr>
      </w:pPr>
      <w:r>
        <w:rPr>
          <w:rFonts w:ascii="Arial" w:cs="Arial" w:eastAsia="Arial" w:hAnsi="Arial"/>
          <w:sz w:val="16"/>
          <w:szCs w:val="16"/>
          <w:color w:val="auto"/>
        </w:rPr>
        <w:t>Virtual deep-dive sessions outside of quarterly meetings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BOARD REFRESHMENT:</w:t>
      </w:r>
    </w:p>
    <w:p>
      <w:pPr>
        <w:spacing w:after="0" w:line="140" w:lineRule="exact"/>
        <w:rPr>
          <w:sz w:val="20"/>
          <w:szCs w:val="20"/>
          <w:color w:val="auto"/>
        </w:rPr>
      </w:pPr>
    </w:p>
    <w:p>
      <w:pPr>
        <w:ind w:left="187" w:right="160" w:hanging="187"/>
        <w:spacing w:after="0" w:line="284" w:lineRule="auto"/>
        <w:tabs>
          <w:tab w:leader="none" w:pos="184" w:val="left"/>
        </w:tabs>
        <w:numPr>
          <w:ilvl w:val="0"/>
          <w:numId w:val="45"/>
        </w:numPr>
        <w:rPr>
          <w:rFonts w:ascii="Arial" w:cs="Arial" w:eastAsia="Arial" w:hAnsi="Arial"/>
          <w:sz w:val="16"/>
          <w:szCs w:val="16"/>
          <w:color w:val="1A3FD6"/>
        </w:rPr>
      </w:pPr>
      <w:r>
        <w:rPr>
          <w:rFonts w:ascii="Arial" w:cs="Arial" w:eastAsia="Arial" w:hAnsi="Arial"/>
          <w:sz w:val="16"/>
          <w:szCs w:val="16"/>
          <w:color w:val="auto"/>
        </w:rPr>
        <w:t>Increased refreshment to ensure proper mix of skill sets for the Board and directors to align with strategic priorities</w:t>
      </w:r>
    </w:p>
    <w:p>
      <w:pPr>
        <w:spacing w:after="0" w:line="6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SUCCESSION PLANNING:</w:t>
      </w:r>
    </w:p>
    <w:p>
      <w:pPr>
        <w:spacing w:after="0" w:line="140" w:lineRule="exact"/>
        <w:rPr>
          <w:sz w:val="20"/>
          <w:szCs w:val="20"/>
          <w:color w:val="auto"/>
        </w:rPr>
      </w:pPr>
    </w:p>
    <w:p>
      <w:pPr>
        <w:ind w:left="187" w:right="560" w:hanging="187"/>
        <w:spacing w:after="0" w:line="304" w:lineRule="auto"/>
        <w:tabs>
          <w:tab w:leader="none" w:pos="184" w:val="left"/>
        </w:tabs>
        <w:numPr>
          <w:ilvl w:val="0"/>
          <w:numId w:val="46"/>
        </w:numPr>
        <w:rPr>
          <w:rFonts w:ascii="Arial" w:cs="Arial" w:eastAsia="Arial" w:hAnsi="Arial"/>
          <w:sz w:val="16"/>
          <w:szCs w:val="16"/>
          <w:color w:val="1A3FD6"/>
        </w:rPr>
      </w:pPr>
      <w:r>
        <w:rPr>
          <w:rFonts w:ascii="Arial" w:cs="Arial" w:eastAsia="Arial" w:hAnsi="Arial"/>
          <w:sz w:val="16"/>
          <w:szCs w:val="16"/>
          <w:color w:val="auto"/>
        </w:rPr>
        <w:t>Increased focus on succession and progression planning for senior management</w:t>
      </w:r>
    </w:p>
    <w:p>
      <w:pPr>
        <w:spacing w:after="0" w:line="6" w:lineRule="exact"/>
        <w:rPr>
          <w:rFonts w:ascii="Arial" w:cs="Arial" w:eastAsia="Arial" w:hAnsi="Arial"/>
          <w:sz w:val="16"/>
          <w:szCs w:val="16"/>
          <w:color w:val="1A3FD6"/>
        </w:rPr>
      </w:pPr>
    </w:p>
    <w:p>
      <w:pPr>
        <w:jc w:val="both"/>
        <w:ind w:left="187" w:right="460" w:hanging="187"/>
        <w:spacing w:after="0" w:line="304" w:lineRule="auto"/>
        <w:tabs>
          <w:tab w:leader="none" w:pos="184" w:val="left"/>
        </w:tabs>
        <w:numPr>
          <w:ilvl w:val="0"/>
          <w:numId w:val="46"/>
        </w:numPr>
        <w:rPr>
          <w:rFonts w:ascii="Arial" w:cs="Arial" w:eastAsia="Arial" w:hAnsi="Arial"/>
          <w:sz w:val="16"/>
          <w:szCs w:val="16"/>
          <w:color w:val="1A3FD6"/>
        </w:rPr>
      </w:pPr>
      <w:r>
        <w:rPr>
          <w:rFonts w:ascii="Arial" w:cs="Arial" w:eastAsia="Arial" w:hAnsi="Arial"/>
          <w:sz w:val="16"/>
          <w:szCs w:val="16"/>
          <w:color w:val="auto"/>
        </w:rPr>
        <w:t>Progression candidates invited to speak at Board and Committee meetings for additional exposure</w:t>
      </w:r>
    </w:p>
    <w:p>
      <w:pPr>
        <w:spacing w:after="0" w:line="6" w:lineRule="exact"/>
        <w:rPr>
          <w:rFonts w:ascii="Arial" w:cs="Arial" w:eastAsia="Arial" w:hAnsi="Arial"/>
          <w:sz w:val="16"/>
          <w:szCs w:val="16"/>
          <w:color w:val="1A3FD6"/>
        </w:rPr>
      </w:pPr>
    </w:p>
    <w:p>
      <w:pPr>
        <w:ind w:left="187" w:right="640" w:hanging="187"/>
        <w:spacing w:after="0" w:line="321" w:lineRule="auto"/>
        <w:tabs>
          <w:tab w:leader="none" w:pos="184" w:val="left"/>
        </w:tabs>
        <w:numPr>
          <w:ilvl w:val="0"/>
          <w:numId w:val="46"/>
        </w:numPr>
        <w:rPr>
          <w:rFonts w:ascii="Arial" w:cs="Arial" w:eastAsia="Arial" w:hAnsi="Arial"/>
          <w:sz w:val="16"/>
          <w:szCs w:val="16"/>
          <w:color w:val="1A3FD6"/>
        </w:rPr>
      </w:pPr>
      <w:r>
        <w:rPr>
          <w:rFonts w:ascii="Arial" w:cs="Arial" w:eastAsia="Arial" w:hAnsi="Arial"/>
          <w:sz w:val="16"/>
          <w:szCs w:val="16"/>
          <w:color w:val="auto"/>
        </w:rPr>
        <w:t>Succession and progression planning at levels beyond the Management Committee</w:t>
      </w:r>
    </w:p>
    <w:p>
      <w:pPr>
        <w:spacing w:after="0" w:line="335" w:lineRule="exact"/>
        <w:rPr>
          <w:sz w:val="20"/>
          <w:szCs w:val="20"/>
          <w:color w:val="auto"/>
        </w:rPr>
      </w:pPr>
    </w:p>
    <w:p>
      <w:pPr>
        <w:sectPr>
          <w:pgSz w:w="11900" w:h="16838" w:orient="portrait"/>
          <w:cols w:equalWidth="0" w:num="3">
            <w:col w:w="2140" w:space="500"/>
            <w:col w:w="3960" w:space="473"/>
            <w:col w:w="4167"/>
          </w:cols>
          <w:pgMar w:left="320" w:top="16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Board may periodically engage a third party to provide an external perspective as part of its evaluation process. In 2024, the Board retained a third-party firm to review its practices and effectiveness. The firm conducted interviews with the full Board and collected feedback from select members of senior management, gathering insights on areas such as skills, governance, culture and effectiveness. The feedback was discussed by the Board during executive sessions, and recommendations were identified to enhance the Board’s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719455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type w:val="continuous"/>
        </w:sectPr>
      </w:pPr>
    </w:p>
    <w:bookmarkStart w:id="43" w:name="page44"/>
    <w:bookmarkEnd w:id="43"/>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42</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Shareholder Engagement</w:t>
      </w:r>
    </w:p>
    <w:p>
      <w:pPr>
        <w:spacing w:after="0" w:line="200"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We believe that engaging with our shareholders, prospective shareholders and sell-side analysts is the best way to address the issues that matter most to them. Dialogue with these constituencies helps us understand their perspectives on the Company, and helps us identify issues that might affect our long-term strategy, corporate governance and compensation practices. We offer several opportunities to provide feedback to our Board and senior management, including from time to time inviting certain shareholders to address the Board to present their views on the Company.</w:t>
      </w:r>
    </w:p>
    <w:p>
      <w:pPr>
        <w:spacing w:after="0" w:line="7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Our Investor Relations team leads year-round outreach efforts with our investors and the investment community. During these engagements, we typically discuss topics such as market trends affecting our industry, the competitive environment, our go-to-market strategy, our financial performance and our overall outlook for the Company.</w:t>
      </w:r>
    </w:p>
    <w:p>
      <w:pPr>
        <w:spacing w:after="0" w:line="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2024 Shareholder Engagement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3500" w:type="dxa"/>
            <w:vAlign w:val="bottom"/>
            <w:shd w:val="clear" w:color="auto" w:fill="EDF0FC"/>
          </w:tcPr>
          <w:p>
            <w:pPr>
              <w:ind w:left="220"/>
              <w:spacing w:after="0"/>
              <w:rPr>
                <w:sz w:val="20"/>
                <w:szCs w:val="20"/>
                <w:color w:val="auto"/>
              </w:rPr>
            </w:pPr>
            <w:r>
              <w:rPr>
                <w:rFonts w:ascii="Arial" w:cs="Arial" w:eastAsia="Arial" w:hAnsi="Arial"/>
                <w:sz w:val="16"/>
                <w:szCs w:val="16"/>
                <w:color w:val="auto"/>
              </w:rPr>
              <w:t>Held over</w:t>
            </w:r>
          </w:p>
        </w:tc>
        <w:tc>
          <w:tcPr>
            <w:tcW w:w="340" w:type="dxa"/>
            <w:vAlign w:val="bottom"/>
          </w:tcPr>
          <w:p>
            <w:pPr>
              <w:spacing w:after="0"/>
              <w:rPr>
                <w:sz w:val="24"/>
                <w:szCs w:val="24"/>
                <w:color w:val="auto"/>
              </w:rPr>
            </w:pPr>
          </w:p>
        </w:tc>
        <w:tc>
          <w:tcPr>
            <w:tcW w:w="3500" w:type="dxa"/>
            <w:vAlign w:val="bottom"/>
            <w:shd w:val="clear" w:color="auto" w:fill="EDF0FC"/>
          </w:tcPr>
          <w:p>
            <w:pPr>
              <w:ind w:left="220"/>
              <w:spacing w:after="0"/>
              <w:rPr>
                <w:sz w:val="20"/>
                <w:szCs w:val="20"/>
                <w:color w:val="auto"/>
              </w:rPr>
            </w:pPr>
            <w:r>
              <w:rPr>
                <w:rFonts w:ascii="Arial" w:cs="Arial" w:eastAsia="Arial" w:hAnsi="Arial"/>
                <w:sz w:val="16"/>
                <w:szCs w:val="16"/>
                <w:color w:val="auto"/>
              </w:rPr>
              <w:t>Engaged with shareholders representing</w:t>
            </w:r>
          </w:p>
        </w:tc>
        <w:tc>
          <w:tcPr>
            <w:tcW w:w="340" w:type="dxa"/>
            <w:vAlign w:val="bottom"/>
          </w:tcPr>
          <w:p>
            <w:pPr>
              <w:spacing w:after="0"/>
              <w:rPr>
                <w:sz w:val="24"/>
                <w:szCs w:val="24"/>
                <w:color w:val="auto"/>
              </w:rPr>
            </w:pPr>
          </w:p>
        </w:tc>
        <w:tc>
          <w:tcPr>
            <w:tcW w:w="3520" w:type="dxa"/>
            <w:vAlign w:val="bottom"/>
            <w:shd w:val="clear" w:color="auto" w:fill="EDF0FC"/>
          </w:tcPr>
          <w:p>
            <w:pPr>
              <w:ind w:left="220"/>
              <w:spacing w:after="0"/>
              <w:rPr>
                <w:sz w:val="20"/>
                <w:szCs w:val="20"/>
                <w:color w:val="auto"/>
              </w:rPr>
            </w:pPr>
            <w:r>
              <w:rPr>
                <w:rFonts w:ascii="Arial" w:cs="Arial" w:eastAsia="Arial" w:hAnsi="Arial"/>
                <w:sz w:val="16"/>
                <w:szCs w:val="16"/>
                <w:color w:val="auto"/>
              </w:rPr>
              <w:t>Engaged with shareholders representing</w:t>
            </w:r>
          </w:p>
        </w:tc>
        <w:tc>
          <w:tcPr>
            <w:tcW w:w="0" w:type="dxa"/>
            <w:vAlign w:val="bottom"/>
          </w:tcPr>
          <w:p>
            <w:pPr>
              <w:spacing w:after="0"/>
              <w:rPr>
                <w:sz w:val="1"/>
                <w:szCs w:val="1"/>
                <w:color w:val="auto"/>
              </w:rPr>
            </w:pPr>
          </w:p>
        </w:tc>
      </w:tr>
      <w:tr>
        <w:trPr>
          <w:trHeight w:val="216"/>
        </w:trPr>
        <w:tc>
          <w:tcPr>
            <w:tcW w:w="3500" w:type="dxa"/>
            <w:vAlign w:val="bottom"/>
            <w:vMerge w:val="restart"/>
            <w:shd w:val="clear" w:color="auto" w:fill="EDF0FC"/>
          </w:tcPr>
          <w:p>
            <w:pPr>
              <w:ind w:left="220"/>
              <w:spacing w:after="0" w:line="539" w:lineRule="exact"/>
              <w:rPr>
                <w:sz w:val="20"/>
                <w:szCs w:val="20"/>
                <w:color w:val="auto"/>
              </w:rPr>
            </w:pPr>
            <w:r>
              <w:rPr>
                <w:rFonts w:ascii="Arial" w:cs="Arial" w:eastAsia="Arial" w:hAnsi="Arial"/>
                <w:sz w:val="54"/>
                <w:szCs w:val="54"/>
                <w:b w:val="1"/>
                <w:bCs w:val="1"/>
                <w:color w:val="1A3FD6"/>
              </w:rPr>
              <w:t xml:space="preserve">350 </w:t>
            </w:r>
            <w:r>
              <w:rPr>
                <w:rFonts w:ascii="Arial" w:cs="Arial" w:eastAsia="Arial" w:hAnsi="Arial"/>
                <w:sz w:val="16"/>
                <w:szCs w:val="16"/>
                <w:color w:val="000000"/>
              </w:rPr>
              <w:t>meetings with</w:t>
            </w:r>
          </w:p>
        </w:tc>
        <w:tc>
          <w:tcPr>
            <w:tcW w:w="340" w:type="dxa"/>
            <w:vAlign w:val="bottom"/>
          </w:tcPr>
          <w:p>
            <w:pPr>
              <w:spacing w:after="0"/>
              <w:rPr>
                <w:sz w:val="18"/>
                <w:szCs w:val="18"/>
                <w:color w:val="auto"/>
              </w:rPr>
            </w:pPr>
          </w:p>
        </w:tc>
        <w:tc>
          <w:tcPr>
            <w:tcW w:w="3500" w:type="dxa"/>
            <w:vAlign w:val="bottom"/>
            <w:shd w:val="clear" w:color="auto" w:fill="EDF0FC"/>
          </w:tcPr>
          <w:p>
            <w:pPr>
              <w:ind w:left="220"/>
              <w:spacing w:after="0"/>
              <w:rPr>
                <w:sz w:val="20"/>
                <w:szCs w:val="20"/>
                <w:color w:val="auto"/>
              </w:rPr>
            </w:pPr>
            <w:r>
              <w:rPr>
                <w:rFonts w:ascii="Arial" w:cs="Arial" w:eastAsia="Arial" w:hAnsi="Arial"/>
                <w:sz w:val="16"/>
                <w:szCs w:val="16"/>
                <w:color w:val="auto"/>
              </w:rPr>
              <w:t>approximately</w:t>
            </w:r>
          </w:p>
        </w:tc>
        <w:tc>
          <w:tcPr>
            <w:tcW w:w="340" w:type="dxa"/>
            <w:vAlign w:val="bottom"/>
          </w:tcPr>
          <w:p>
            <w:pPr>
              <w:spacing w:after="0"/>
              <w:rPr>
                <w:sz w:val="18"/>
                <w:szCs w:val="18"/>
                <w:color w:val="auto"/>
              </w:rPr>
            </w:pPr>
          </w:p>
        </w:tc>
        <w:tc>
          <w:tcPr>
            <w:tcW w:w="3520" w:type="dxa"/>
            <w:vAlign w:val="bottom"/>
            <w:shd w:val="clear" w:color="auto" w:fill="EDF0FC"/>
          </w:tcPr>
          <w:p>
            <w:pPr>
              <w:ind w:left="220"/>
              <w:spacing w:after="0"/>
              <w:rPr>
                <w:sz w:val="20"/>
                <w:szCs w:val="20"/>
                <w:color w:val="auto"/>
              </w:rPr>
            </w:pPr>
            <w:r>
              <w:rPr>
                <w:rFonts w:ascii="Arial" w:cs="Arial" w:eastAsia="Arial" w:hAnsi="Arial"/>
                <w:sz w:val="16"/>
                <w:szCs w:val="16"/>
                <w:color w:val="auto"/>
              </w:rPr>
              <w:t>approximately</w:t>
            </w:r>
          </w:p>
        </w:tc>
        <w:tc>
          <w:tcPr>
            <w:tcW w:w="0" w:type="dxa"/>
            <w:vAlign w:val="bottom"/>
          </w:tcPr>
          <w:p>
            <w:pPr>
              <w:spacing w:after="0"/>
              <w:rPr>
                <w:sz w:val="1"/>
                <w:szCs w:val="1"/>
                <w:color w:val="auto"/>
              </w:rPr>
            </w:pPr>
          </w:p>
        </w:tc>
      </w:tr>
      <w:tr>
        <w:trPr>
          <w:trHeight w:val="323"/>
        </w:trPr>
        <w:tc>
          <w:tcPr>
            <w:tcW w:w="3500" w:type="dxa"/>
            <w:vAlign w:val="bottom"/>
            <w:vMerge w:val="continue"/>
            <w:shd w:val="clear" w:color="auto" w:fill="EDF0FC"/>
          </w:tcPr>
          <w:p>
            <w:pPr>
              <w:spacing w:after="0"/>
              <w:rPr>
                <w:sz w:val="24"/>
                <w:szCs w:val="24"/>
                <w:color w:val="auto"/>
              </w:rPr>
            </w:pPr>
          </w:p>
        </w:tc>
        <w:tc>
          <w:tcPr>
            <w:tcW w:w="340" w:type="dxa"/>
            <w:vAlign w:val="bottom"/>
          </w:tcPr>
          <w:p>
            <w:pPr>
              <w:spacing w:after="0"/>
              <w:rPr>
                <w:sz w:val="24"/>
                <w:szCs w:val="24"/>
                <w:color w:val="auto"/>
              </w:rPr>
            </w:pPr>
          </w:p>
        </w:tc>
        <w:tc>
          <w:tcPr>
            <w:tcW w:w="3500" w:type="dxa"/>
            <w:vAlign w:val="bottom"/>
            <w:vMerge w:val="restart"/>
            <w:shd w:val="clear" w:color="auto" w:fill="EDF0FC"/>
          </w:tcPr>
          <w:p>
            <w:pPr>
              <w:ind w:left="220"/>
              <w:spacing w:after="0" w:line="526" w:lineRule="exact"/>
              <w:rPr>
                <w:sz w:val="20"/>
                <w:szCs w:val="20"/>
                <w:color w:val="auto"/>
              </w:rPr>
            </w:pPr>
            <w:r>
              <w:rPr>
                <w:rFonts w:ascii="Arial" w:cs="Arial" w:eastAsia="Arial" w:hAnsi="Arial"/>
                <w:sz w:val="54"/>
                <w:szCs w:val="54"/>
                <w:b w:val="1"/>
                <w:bCs w:val="1"/>
                <w:color w:val="1A3FD6"/>
              </w:rPr>
              <w:t xml:space="preserve">50% </w:t>
            </w:r>
            <w:r>
              <w:rPr>
                <w:rFonts w:ascii="Arial" w:cs="Arial" w:eastAsia="Arial" w:hAnsi="Arial"/>
                <w:sz w:val="16"/>
                <w:szCs w:val="16"/>
                <w:color w:val="000000"/>
              </w:rPr>
              <w:t>of our shares</w:t>
            </w:r>
          </w:p>
        </w:tc>
        <w:tc>
          <w:tcPr>
            <w:tcW w:w="340" w:type="dxa"/>
            <w:vAlign w:val="bottom"/>
          </w:tcPr>
          <w:p>
            <w:pPr>
              <w:spacing w:after="0"/>
              <w:rPr>
                <w:sz w:val="24"/>
                <w:szCs w:val="24"/>
                <w:color w:val="auto"/>
              </w:rPr>
            </w:pPr>
          </w:p>
        </w:tc>
        <w:tc>
          <w:tcPr>
            <w:tcW w:w="3520" w:type="dxa"/>
            <w:vAlign w:val="bottom"/>
            <w:vMerge w:val="restart"/>
            <w:shd w:val="clear" w:color="auto" w:fill="EDF0FC"/>
          </w:tcPr>
          <w:p>
            <w:pPr>
              <w:ind w:left="220"/>
              <w:spacing w:after="0" w:line="526" w:lineRule="exact"/>
              <w:rPr>
                <w:sz w:val="20"/>
                <w:szCs w:val="20"/>
                <w:color w:val="auto"/>
              </w:rPr>
            </w:pPr>
            <w:r>
              <w:rPr>
                <w:rFonts w:ascii="Arial" w:cs="Arial" w:eastAsia="Arial" w:hAnsi="Arial"/>
                <w:sz w:val="54"/>
                <w:szCs w:val="54"/>
                <w:b w:val="1"/>
                <w:bCs w:val="1"/>
                <w:color w:val="1A3FD6"/>
              </w:rPr>
              <w:t xml:space="preserve">28% </w:t>
            </w:r>
            <w:r>
              <w:rPr>
                <w:rFonts w:ascii="Arial" w:cs="Arial" w:eastAsia="Arial" w:hAnsi="Arial"/>
                <w:sz w:val="16"/>
                <w:szCs w:val="16"/>
                <w:color w:val="000000"/>
              </w:rPr>
              <w:t>of our shares</w:t>
            </w:r>
          </w:p>
        </w:tc>
        <w:tc>
          <w:tcPr>
            <w:tcW w:w="0" w:type="dxa"/>
            <w:vAlign w:val="bottom"/>
          </w:tcPr>
          <w:p>
            <w:pPr>
              <w:spacing w:after="0"/>
              <w:rPr>
                <w:sz w:val="1"/>
                <w:szCs w:val="1"/>
                <w:color w:val="auto"/>
              </w:rPr>
            </w:pPr>
          </w:p>
        </w:tc>
      </w:tr>
      <w:tr>
        <w:trPr>
          <w:trHeight w:val="203"/>
        </w:trPr>
        <w:tc>
          <w:tcPr>
            <w:tcW w:w="3500" w:type="dxa"/>
            <w:vAlign w:val="bottom"/>
            <w:shd w:val="clear" w:color="auto" w:fill="EDF0FC"/>
          </w:tcPr>
          <w:p>
            <w:pPr>
              <w:ind w:left="220"/>
              <w:spacing w:after="0"/>
              <w:rPr>
                <w:sz w:val="20"/>
                <w:szCs w:val="20"/>
                <w:color w:val="auto"/>
              </w:rPr>
            </w:pPr>
            <w:r>
              <w:rPr>
                <w:rFonts w:ascii="Arial" w:cs="Arial" w:eastAsia="Arial" w:hAnsi="Arial"/>
                <w:sz w:val="16"/>
                <w:szCs w:val="16"/>
                <w:color w:val="auto"/>
              </w:rPr>
              <w:t>our shareholders, prospective</w:t>
            </w:r>
          </w:p>
        </w:tc>
        <w:tc>
          <w:tcPr>
            <w:tcW w:w="340" w:type="dxa"/>
            <w:vAlign w:val="bottom"/>
          </w:tcPr>
          <w:p>
            <w:pPr>
              <w:spacing w:after="0"/>
              <w:rPr>
                <w:sz w:val="17"/>
                <w:szCs w:val="17"/>
                <w:color w:val="auto"/>
              </w:rPr>
            </w:pPr>
          </w:p>
        </w:tc>
        <w:tc>
          <w:tcPr>
            <w:tcW w:w="3500" w:type="dxa"/>
            <w:vAlign w:val="bottom"/>
            <w:vMerge w:val="continue"/>
            <w:shd w:val="clear" w:color="auto" w:fill="EDF0FC"/>
          </w:tcPr>
          <w:p>
            <w:pPr>
              <w:spacing w:after="0"/>
              <w:rPr>
                <w:sz w:val="17"/>
                <w:szCs w:val="17"/>
                <w:color w:val="auto"/>
              </w:rPr>
            </w:pPr>
          </w:p>
        </w:tc>
        <w:tc>
          <w:tcPr>
            <w:tcW w:w="340" w:type="dxa"/>
            <w:vAlign w:val="bottom"/>
          </w:tcPr>
          <w:p>
            <w:pPr>
              <w:spacing w:after="0"/>
              <w:rPr>
                <w:sz w:val="17"/>
                <w:szCs w:val="17"/>
                <w:color w:val="auto"/>
              </w:rPr>
            </w:pPr>
          </w:p>
        </w:tc>
        <w:tc>
          <w:tcPr>
            <w:tcW w:w="3520" w:type="dxa"/>
            <w:vAlign w:val="bottom"/>
            <w:vMerge w:val="continue"/>
            <w:shd w:val="clear" w:color="auto" w:fill="ED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500" w:type="dxa"/>
            <w:vAlign w:val="bottom"/>
            <w:shd w:val="clear" w:color="auto" w:fill="EDF0FC"/>
          </w:tcPr>
          <w:p>
            <w:pPr>
              <w:ind w:left="220"/>
              <w:spacing w:after="0"/>
              <w:rPr>
                <w:sz w:val="20"/>
                <w:szCs w:val="20"/>
                <w:color w:val="auto"/>
              </w:rPr>
            </w:pPr>
            <w:r>
              <w:rPr>
                <w:rFonts w:ascii="Arial" w:cs="Arial" w:eastAsia="Arial" w:hAnsi="Arial"/>
                <w:sz w:val="16"/>
                <w:szCs w:val="16"/>
                <w:color w:val="auto"/>
              </w:rPr>
              <w:t>shareholders and sell-side analysts</w:t>
            </w:r>
          </w:p>
        </w:tc>
        <w:tc>
          <w:tcPr>
            <w:tcW w:w="340" w:type="dxa"/>
            <w:vAlign w:val="bottom"/>
          </w:tcPr>
          <w:p>
            <w:pPr>
              <w:spacing w:after="0"/>
              <w:rPr>
                <w:sz w:val="18"/>
                <w:szCs w:val="18"/>
                <w:color w:val="auto"/>
              </w:rPr>
            </w:pPr>
          </w:p>
        </w:tc>
        <w:tc>
          <w:tcPr>
            <w:tcW w:w="3500" w:type="dxa"/>
            <w:vAlign w:val="bottom"/>
            <w:shd w:val="clear" w:color="auto" w:fill="EDF0FC"/>
          </w:tcPr>
          <w:p>
            <w:pPr>
              <w:ind w:left="220"/>
              <w:spacing w:after="0"/>
              <w:rPr>
                <w:sz w:val="20"/>
                <w:szCs w:val="20"/>
                <w:color w:val="auto"/>
              </w:rPr>
            </w:pPr>
            <w:r>
              <w:rPr>
                <w:rFonts w:ascii="Arial" w:cs="Arial" w:eastAsia="Arial" w:hAnsi="Arial"/>
                <w:sz w:val="16"/>
                <w:szCs w:val="16"/>
                <w:color w:val="auto"/>
              </w:rPr>
              <w:t>outstanding across all meetings</w:t>
            </w:r>
          </w:p>
        </w:tc>
        <w:tc>
          <w:tcPr>
            <w:tcW w:w="340" w:type="dxa"/>
            <w:vAlign w:val="bottom"/>
          </w:tcPr>
          <w:p>
            <w:pPr>
              <w:spacing w:after="0"/>
              <w:rPr>
                <w:sz w:val="18"/>
                <w:szCs w:val="18"/>
                <w:color w:val="auto"/>
              </w:rPr>
            </w:pPr>
          </w:p>
        </w:tc>
        <w:tc>
          <w:tcPr>
            <w:tcW w:w="3520" w:type="dxa"/>
            <w:vAlign w:val="bottom"/>
            <w:shd w:val="clear" w:color="auto" w:fill="EDF0FC"/>
          </w:tcPr>
          <w:p>
            <w:pPr>
              <w:ind w:left="220"/>
              <w:spacing w:after="0"/>
              <w:rPr>
                <w:sz w:val="20"/>
                <w:szCs w:val="20"/>
                <w:color w:val="auto"/>
              </w:rPr>
            </w:pPr>
            <w:r>
              <w:rPr>
                <w:rFonts w:ascii="Arial" w:cs="Arial" w:eastAsia="Arial" w:hAnsi="Arial"/>
                <w:sz w:val="16"/>
                <w:szCs w:val="16"/>
                <w:color w:val="auto"/>
              </w:rPr>
              <w:t>outstanding during Corporate</w:t>
            </w:r>
          </w:p>
        </w:tc>
        <w:tc>
          <w:tcPr>
            <w:tcW w:w="0" w:type="dxa"/>
            <w:vAlign w:val="bottom"/>
          </w:tcPr>
          <w:p>
            <w:pPr>
              <w:spacing w:after="0"/>
              <w:rPr>
                <w:sz w:val="1"/>
                <w:szCs w:val="1"/>
                <w:color w:val="auto"/>
              </w:rPr>
            </w:pPr>
          </w:p>
        </w:tc>
      </w:tr>
      <w:tr>
        <w:trPr>
          <w:trHeight w:val="216"/>
        </w:trPr>
        <w:tc>
          <w:tcPr>
            <w:tcW w:w="3500" w:type="dxa"/>
            <w:vAlign w:val="bottom"/>
            <w:shd w:val="clear" w:color="auto" w:fill="EDF0FC"/>
          </w:tcPr>
          <w:p>
            <w:pPr>
              <w:spacing w:after="0"/>
              <w:rPr>
                <w:sz w:val="18"/>
                <w:szCs w:val="18"/>
                <w:color w:val="auto"/>
              </w:rPr>
            </w:pPr>
          </w:p>
        </w:tc>
        <w:tc>
          <w:tcPr>
            <w:tcW w:w="340" w:type="dxa"/>
            <w:vAlign w:val="bottom"/>
          </w:tcPr>
          <w:p>
            <w:pPr>
              <w:spacing w:after="0"/>
              <w:rPr>
                <w:sz w:val="18"/>
                <w:szCs w:val="18"/>
                <w:color w:val="auto"/>
              </w:rPr>
            </w:pPr>
          </w:p>
        </w:tc>
        <w:tc>
          <w:tcPr>
            <w:tcW w:w="3500" w:type="dxa"/>
            <w:vAlign w:val="bottom"/>
            <w:shd w:val="clear" w:color="auto" w:fill="EDF0FC"/>
          </w:tcPr>
          <w:p>
            <w:pPr>
              <w:ind w:left="220"/>
              <w:spacing w:after="0"/>
              <w:rPr>
                <w:sz w:val="20"/>
                <w:szCs w:val="20"/>
                <w:color w:val="auto"/>
              </w:rPr>
            </w:pPr>
            <w:r>
              <w:rPr>
                <w:rFonts w:ascii="Arial" w:cs="Arial" w:eastAsia="Arial" w:hAnsi="Arial"/>
                <w:sz w:val="16"/>
                <w:szCs w:val="16"/>
                <w:color w:val="auto"/>
              </w:rPr>
              <w:t>throughout the year</w:t>
            </w:r>
          </w:p>
        </w:tc>
        <w:tc>
          <w:tcPr>
            <w:tcW w:w="340" w:type="dxa"/>
            <w:vAlign w:val="bottom"/>
          </w:tcPr>
          <w:p>
            <w:pPr>
              <w:spacing w:after="0"/>
              <w:rPr>
                <w:sz w:val="18"/>
                <w:szCs w:val="18"/>
                <w:color w:val="auto"/>
              </w:rPr>
            </w:pPr>
          </w:p>
        </w:tc>
        <w:tc>
          <w:tcPr>
            <w:tcW w:w="3520" w:type="dxa"/>
            <w:vAlign w:val="bottom"/>
            <w:shd w:val="clear" w:color="auto" w:fill="EDF0FC"/>
          </w:tcPr>
          <w:p>
            <w:pPr>
              <w:ind w:left="220"/>
              <w:spacing w:after="0"/>
              <w:rPr>
                <w:sz w:val="20"/>
                <w:szCs w:val="20"/>
                <w:color w:val="auto"/>
              </w:rPr>
            </w:pPr>
            <w:r>
              <w:rPr>
                <w:rFonts w:ascii="Arial" w:cs="Arial" w:eastAsia="Arial" w:hAnsi="Arial"/>
                <w:sz w:val="16"/>
                <w:szCs w:val="16"/>
                <w:color w:val="auto"/>
              </w:rPr>
              <w:t>Responsibility Roadshow</w:t>
            </w:r>
          </w:p>
        </w:tc>
        <w:tc>
          <w:tcPr>
            <w:tcW w:w="0" w:type="dxa"/>
            <w:vAlign w:val="bottom"/>
          </w:tcPr>
          <w:p>
            <w:pPr>
              <w:spacing w:after="0"/>
              <w:rPr>
                <w:sz w:val="1"/>
                <w:szCs w:val="1"/>
                <w:color w:val="auto"/>
              </w:rPr>
            </w:pPr>
          </w:p>
        </w:tc>
      </w:tr>
      <w:tr>
        <w:trPr>
          <w:trHeight w:val="191"/>
        </w:trPr>
        <w:tc>
          <w:tcPr>
            <w:tcW w:w="3500" w:type="dxa"/>
            <w:vAlign w:val="bottom"/>
            <w:shd w:val="clear" w:color="auto" w:fill="EDF0FC"/>
          </w:tcPr>
          <w:p>
            <w:pPr>
              <w:spacing w:after="0"/>
              <w:rPr>
                <w:sz w:val="16"/>
                <w:szCs w:val="16"/>
                <w:color w:val="auto"/>
              </w:rPr>
            </w:pPr>
          </w:p>
        </w:tc>
        <w:tc>
          <w:tcPr>
            <w:tcW w:w="340" w:type="dxa"/>
            <w:vAlign w:val="bottom"/>
          </w:tcPr>
          <w:p>
            <w:pPr>
              <w:spacing w:after="0"/>
              <w:rPr>
                <w:sz w:val="16"/>
                <w:szCs w:val="16"/>
                <w:color w:val="auto"/>
              </w:rPr>
            </w:pPr>
          </w:p>
        </w:tc>
        <w:tc>
          <w:tcPr>
            <w:tcW w:w="3500" w:type="dxa"/>
            <w:vAlign w:val="bottom"/>
            <w:shd w:val="clear" w:color="auto" w:fill="EDF0FC"/>
          </w:tcPr>
          <w:p>
            <w:pPr>
              <w:spacing w:after="0"/>
              <w:rPr>
                <w:sz w:val="16"/>
                <w:szCs w:val="16"/>
                <w:color w:val="auto"/>
              </w:rPr>
            </w:pPr>
          </w:p>
        </w:tc>
        <w:tc>
          <w:tcPr>
            <w:tcW w:w="340" w:type="dxa"/>
            <w:vAlign w:val="bottom"/>
          </w:tcPr>
          <w:p>
            <w:pPr>
              <w:spacing w:after="0"/>
              <w:rPr>
                <w:sz w:val="16"/>
                <w:szCs w:val="16"/>
                <w:color w:val="auto"/>
              </w:rPr>
            </w:pPr>
          </w:p>
        </w:tc>
        <w:tc>
          <w:tcPr>
            <w:tcW w:w="3520" w:type="dxa"/>
            <w:vAlign w:val="bottom"/>
            <w:shd w:val="clear" w:color="auto" w:fill="EDF0FC"/>
          </w:tcPr>
          <w:p>
            <w:pPr>
              <w:spacing w:after="0"/>
              <w:rPr>
                <w:sz w:val="16"/>
                <w:szCs w:val="16"/>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In 2024, we held over 350 meetings with our shareholders, prospective shareholders and analysts, during which we met with shareholders representing approximately 50% of our shares outstanding to gain valuable insights on the issues that matter most to our shareholders, with participation at certain meetings by our CEO, President and COO, CFO, Head of Investor Relations, Chief Responsibility Officer, Head of Compensation and Benefits and other members of senior management and the Board. In 2024, our team also attended 30 investor conferences and 8 non-deal roadshows and analyst-sponsored events to discuss topics including long-term growth opportunities, financial performance, capital allocation, corporate responsibility and our technology and data initiatives and opportunities, including from generative AI.</w:t>
      </w:r>
    </w:p>
    <w:p>
      <w:pPr>
        <w:spacing w:after="0" w:line="5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Our Year-Round Shareholder Engagement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3266440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81280</wp:posOffset>
            </wp:positionV>
            <wp:extent cx="5554980" cy="23914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554980" cy="2391410"/>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8420"/>
              <w:spacing w:after="0"/>
              <w:rPr>
                <w:sz w:val="20"/>
                <w:szCs w:val="20"/>
                <w:color w:val="auto"/>
              </w:rPr>
            </w:pPr>
            <w:r>
              <w:rPr>
                <w:rFonts w:ascii="Arial" w:cs="Arial" w:eastAsia="Arial" w:hAnsi="Arial"/>
                <w:sz w:val="14"/>
                <w:szCs w:val="14"/>
                <w:b w:val="1"/>
                <w:bCs w:val="1"/>
                <w:color w:val="1A3FD6"/>
              </w:rPr>
              <w:t>Corporate Governance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43</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3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Annual Corporate Responsibility Roadshow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2674620" cy="18434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674620" cy="1843405"/>
                    </a:xfrm>
                    <a:prstGeom prst="rect">
                      <a:avLst/>
                    </a:prstGeom>
                    <a:noFill/>
                  </pic:spPr>
                </pic:pic>
              </a:graphicData>
            </a:graphic>
          </wp:anchor>
        </w:drawing>
      </w:r>
    </w:p>
    <w:p>
      <w:pPr>
        <w:spacing w:after="0" w:line="378" w:lineRule="exact"/>
        <w:rPr>
          <w:sz w:val="20"/>
          <w:szCs w:val="20"/>
          <w:color w:val="auto"/>
        </w:rPr>
      </w:pPr>
    </w:p>
    <w:p>
      <w:pPr>
        <w:ind w:left="5720" w:right="180"/>
        <w:spacing w:after="0" w:line="279" w:lineRule="auto"/>
        <w:rPr>
          <w:sz w:val="20"/>
          <w:szCs w:val="20"/>
          <w:color w:val="auto"/>
        </w:rPr>
      </w:pPr>
      <w:r>
        <w:rPr>
          <w:rFonts w:ascii="Arial" w:cs="Arial" w:eastAsia="Arial" w:hAnsi="Arial"/>
          <w:sz w:val="16"/>
          <w:szCs w:val="16"/>
          <w:color w:val="auto"/>
        </w:rPr>
        <w:t>We engage with shareholders before, during and after the proxy season, including by hosting an annual off-season Corporate Responsibility Roadshow each fall, to review and receive feedback on our governance practices, sustainability considerations, workforce and talent strategies, and the design of our executive compensation program. The feedback we receive from these discussions, as well as from third-party rating agencies, is carefully considered by the Board and relevant Board committees.</w:t>
      </w:r>
    </w:p>
    <w:p>
      <w:pPr>
        <w:spacing w:after="0" w:line="82" w:lineRule="exact"/>
        <w:rPr>
          <w:sz w:val="20"/>
          <w:szCs w:val="20"/>
          <w:color w:val="auto"/>
        </w:rPr>
      </w:pPr>
    </w:p>
    <w:p>
      <w:pPr>
        <w:ind w:left="5720" w:right="140"/>
        <w:spacing w:after="0" w:line="279" w:lineRule="auto"/>
        <w:rPr>
          <w:sz w:val="20"/>
          <w:szCs w:val="20"/>
          <w:color w:val="auto"/>
        </w:rPr>
      </w:pPr>
      <w:r>
        <w:rPr>
          <w:rFonts w:ascii="Arial" w:cs="Arial" w:eastAsia="Arial" w:hAnsi="Arial"/>
          <w:sz w:val="16"/>
          <w:szCs w:val="16"/>
          <w:color w:val="auto"/>
        </w:rPr>
        <w:t>Our engagement team, which included members of our Corporate Responsibility, Legal, Investor Relations, Executive Compensation and Talent teams, met with shareholders representing approximately 27.8% of our outstanding shares in 2024. Our Lead Director and the chairs of all four of our standing committees participated in the 2024 Corporate Responsibility Roadshow as well, with a director present at each meeting with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Key Corporate Responsibility Topics Discussed in 2024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20" w:type="dxa"/>
            <w:vAlign w:val="bottom"/>
            <w:tcBorders>
              <w:top w:val="single" w:sz="8" w:color="1A3FD6"/>
            </w:tcBorders>
            <w:gridSpan w:val="2"/>
            <w:vMerge w:val="restart"/>
            <w:shd w:val="clear" w:color="auto" w:fill="EDF0FC"/>
          </w:tcPr>
          <w:p>
            <w:pPr>
              <w:ind w:left="160"/>
              <w:spacing w:after="0"/>
              <w:rPr>
                <w:sz w:val="20"/>
                <w:szCs w:val="20"/>
                <w:color w:val="auto"/>
              </w:rPr>
            </w:pPr>
            <w:r>
              <w:rPr>
                <w:rFonts w:ascii="Arial" w:cs="Arial" w:eastAsia="Arial" w:hAnsi="Arial"/>
                <w:sz w:val="18"/>
                <w:szCs w:val="18"/>
                <w:b w:val="1"/>
                <w:bCs w:val="1"/>
                <w:color w:val="auto"/>
              </w:rPr>
              <w:t>WORKFORCE AND TALENT</w:t>
            </w:r>
          </w:p>
        </w:tc>
        <w:tc>
          <w:tcPr>
            <w:tcW w:w="20" w:type="dxa"/>
            <w:vAlign w:val="bottom"/>
            <w:tcBorders>
              <w:top w:val="single" w:sz="8" w:color="1A3FD6"/>
            </w:tcBorders>
            <w:shd w:val="clear" w:color="auto" w:fill="EDF0FC"/>
          </w:tcPr>
          <w:p>
            <w:pPr>
              <w:spacing w:after="0"/>
              <w:rPr>
                <w:sz w:val="17"/>
                <w:szCs w:val="17"/>
                <w:color w:val="auto"/>
              </w:rPr>
            </w:pPr>
          </w:p>
        </w:tc>
        <w:tc>
          <w:tcPr>
            <w:tcW w:w="2880" w:type="dxa"/>
            <w:vAlign w:val="bottom"/>
            <w:tcBorders>
              <w:top w:val="single" w:sz="8" w:color="1A3FD6"/>
            </w:tcBorders>
            <w:gridSpan w:val="2"/>
            <w:vMerge w:val="restart"/>
            <w:shd w:val="clear" w:color="auto" w:fill="EDF0FC"/>
          </w:tcPr>
          <w:p>
            <w:pPr>
              <w:ind w:left="140"/>
              <w:spacing w:after="0"/>
              <w:rPr>
                <w:sz w:val="20"/>
                <w:szCs w:val="20"/>
                <w:color w:val="auto"/>
              </w:rPr>
            </w:pPr>
            <w:r>
              <w:rPr>
                <w:rFonts w:ascii="Arial" w:cs="Arial" w:eastAsia="Arial" w:hAnsi="Arial"/>
                <w:sz w:val="18"/>
                <w:szCs w:val="18"/>
                <w:b w:val="1"/>
                <w:bCs w:val="1"/>
                <w:color w:val="auto"/>
              </w:rPr>
              <w:t>EXECUTIVE COMPENSATION</w:t>
            </w:r>
          </w:p>
        </w:tc>
        <w:tc>
          <w:tcPr>
            <w:tcW w:w="20" w:type="dxa"/>
            <w:vAlign w:val="bottom"/>
            <w:tcBorders>
              <w:top w:val="single" w:sz="8" w:color="1A3FD6"/>
            </w:tcBorders>
            <w:shd w:val="clear" w:color="auto" w:fill="EDF0FC"/>
          </w:tcPr>
          <w:p>
            <w:pPr>
              <w:spacing w:after="0"/>
              <w:rPr>
                <w:sz w:val="17"/>
                <w:szCs w:val="17"/>
                <w:color w:val="auto"/>
              </w:rPr>
            </w:pPr>
          </w:p>
        </w:tc>
        <w:tc>
          <w:tcPr>
            <w:tcW w:w="2800" w:type="dxa"/>
            <w:vAlign w:val="bottom"/>
            <w:tcBorders>
              <w:top w:val="single" w:sz="8" w:color="1A3FD6"/>
            </w:tcBorders>
            <w:gridSpan w:val="2"/>
            <w:vMerge w:val="restart"/>
            <w:shd w:val="clear" w:color="auto" w:fill="EDF0FC"/>
          </w:tcPr>
          <w:p>
            <w:pPr>
              <w:ind w:left="140"/>
              <w:spacing w:after="0"/>
              <w:rPr>
                <w:sz w:val="20"/>
                <w:szCs w:val="20"/>
                <w:color w:val="auto"/>
              </w:rPr>
            </w:pPr>
            <w:r>
              <w:rPr>
                <w:rFonts w:ascii="Arial" w:cs="Arial" w:eastAsia="Arial" w:hAnsi="Arial"/>
                <w:sz w:val="18"/>
                <w:szCs w:val="18"/>
                <w:b w:val="1"/>
                <w:bCs w:val="1"/>
                <w:color w:val="auto"/>
              </w:rPr>
              <w:t>CORPORATE GOVERNANCE</w:t>
            </w:r>
          </w:p>
        </w:tc>
        <w:tc>
          <w:tcPr>
            <w:tcW w:w="20" w:type="dxa"/>
            <w:vAlign w:val="bottom"/>
            <w:tcBorders>
              <w:top w:val="single" w:sz="8" w:color="1A3FD6"/>
            </w:tcBorders>
            <w:shd w:val="clear" w:color="auto" w:fill="EDF0FC"/>
          </w:tcPr>
          <w:p>
            <w:pPr>
              <w:spacing w:after="0"/>
              <w:rPr>
                <w:sz w:val="17"/>
                <w:szCs w:val="17"/>
                <w:color w:val="auto"/>
              </w:rPr>
            </w:pPr>
          </w:p>
        </w:tc>
        <w:tc>
          <w:tcPr>
            <w:tcW w:w="2780" w:type="dxa"/>
            <w:vAlign w:val="bottom"/>
            <w:tcBorders>
              <w:top w:val="single" w:sz="8" w:color="1A3FD6"/>
            </w:tcBorders>
            <w:vMerge w:val="restart"/>
            <w:shd w:val="clear" w:color="auto" w:fill="EDF0FC"/>
          </w:tcPr>
          <w:p>
            <w:pPr>
              <w:ind w:left="140"/>
              <w:spacing w:after="0"/>
              <w:rPr>
                <w:sz w:val="20"/>
                <w:szCs w:val="20"/>
                <w:color w:val="auto"/>
              </w:rPr>
            </w:pPr>
            <w:r>
              <w:rPr>
                <w:rFonts w:ascii="Arial" w:cs="Arial" w:eastAsia="Arial" w:hAnsi="Arial"/>
                <w:sz w:val="18"/>
                <w:szCs w:val="18"/>
                <w:b w:val="1"/>
                <w:bCs w:val="1"/>
                <w:color w:val="auto"/>
              </w:rPr>
              <w:t>BUSINESS STRATEGY</w:t>
            </w:r>
          </w:p>
        </w:tc>
        <w:tc>
          <w:tcPr>
            <w:tcW w:w="0" w:type="dxa"/>
            <w:vAlign w:val="bottom"/>
          </w:tcPr>
          <w:p>
            <w:pPr>
              <w:spacing w:after="0"/>
              <w:rPr>
                <w:sz w:val="1"/>
                <w:szCs w:val="1"/>
                <w:color w:val="auto"/>
              </w:rPr>
            </w:pPr>
          </w:p>
        </w:tc>
      </w:tr>
      <w:tr>
        <w:trPr>
          <w:trHeight w:val="251"/>
        </w:trPr>
        <w:tc>
          <w:tcPr>
            <w:tcW w:w="2720" w:type="dxa"/>
            <w:vAlign w:val="bottom"/>
            <w:gridSpan w:val="2"/>
            <w:vMerge w:val="continue"/>
            <w:shd w:val="clear" w:color="auto" w:fill="EDF0FC"/>
          </w:tcPr>
          <w:p>
            <w:pPr>
              <w:spacing w:after="0"/>
              <w:rPr>
                <w:sz w:val="21"/>
                <w:szCs w:val="21"/>
                <w:color w:val="auto"/>
              </w:rPr>
            </w:pPr>
          </w:p>
        </w:tc>
        <w:tc>
          <w:tcPr>
            <w:tcW w:w="20" w:type="dxa"/>
            <w:vAlign w:val="bottom"/>
            <w:shd w:val="clear" w:color="auto" w:fill="1A3FD6"/>
          </w:tcPr>
          <w:p>
            <w:pPr>
              <w:spacing w:after="0"/>
              <w:rPr>
                <w:sz w:val="21"/>
                <w:szCs w:val="21"/>
                <w:color w:val="auto"/>
              </w:rPr>
            </w:pPr>
          </w:p>
        </w:tc>
        <w:tc>
          <w:tcPr>
            <w:tcW w:w="2880" w:type="dxa"/>
            <w:vAlign w:val="bottom"/>
            <w:gridSpan w:val="2"/>
            <w:vMerge w:val="continue"/>
            <w:shd w:val="clear" w:color="auto" w:fill="EDF0FC"/>
          </w:tcPr>
          <w:p>
            <w:pPr>
              <w:spacing w:after="0"/>
              <w:rPr>
                <w:sz w:val="21"/>
                <w:szCs w:val="21"/>
                <w:color w:val="auto"/>
              </w:rPr>
            </w:pPr>
          </w:p>
        </w:tc>
        <w:tc>
          <w:tcPr>
            <w:tcW w:w="20" w:type="dxa"/>
            <w:vAlign w:val="bottom"/>
            <w:shd w:val="clear" w:color="auto" w:fill="1A3FD6"/>
          </w:tcPr>
          <w:p>
            <w:pPr>
              <w:spacing w:after="0"/>
              <w:rPr>
                <w:sz w:val="21"/>
                <w:szCs w:val="21"/>
                <w:color w:val="auto"/>
              </w:rPr>
            </w:pPr>
          </w:p>
        </w:tc>
        <w:tc>
          <w:tcPr>
            <w:tcW w:w="2800" w:type="dxa"/>
            <w:vAlign w:val="bottom"/>
            <w:gridSpan w:val="2"/>
            <w:vMerge w:val="continue"/>
            <w:shd w:val="clear" w:color="auto" w:fill="EDF0FC"/>
          </w:tcPr>
          <w:p>
            <w:pPr>
              <w:spacing w:after="0"/>
              <w:rPr>
                <w:sz w:val="21"/>
                <w:szCs w:val="21"/>
                <w:color w:val="auto"/>
              </w:rPr>
            </w:pPr>
          </w:p>
        </w:tc>
        <w:tc>
          <w:tcPr>
            <w:tcW w:w="20" w:type="dxa"/>
            <w:vAlign w:val="bottom"/>
            <w:shd w:val="clear" w:color="auto" w:fill="1A3FD6"/>
          </w:tcPr>
          <w:p>
            <w:pPr>
              <w:spacing w:after="0"/>
              <w:rPr>
                <w:sz w:val="21"/>
                <w:szCs w:val="21"/>
                <w:color w:val="auto"/>
              </w:rPr>
            </w:pPr>
          </w:p>
        </w:tc>
        <w:tc>
          <w:tcPr>
            <w:tcW w:w="2780" w:type="dxa"/>
            <w:vAlign w:val="bottom"/>
            <w:vMerge w:val="continue"/>
            <w:shd w:val="clear" w:color="auto" w:fill="EDF0FC"/>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2720" w:type="dxa"/>
            <w:vAlign w:val="bottom"/>
            <w:gridSpan w:val="2"/>
            <w:shd w:val="clear" w:color="auto" w:fill="EDF0FC"/>
          </w:tcPr>
          <w:p>
            <w:pPr>
              <w:ind w:left="160"/>
              <w:spacing w:after="0"/>
              <w:rPr>
                <w:sz w:val="20"/>
                <w:szCs w:val="20"/>
                <w:color w:val="auto"/>
              </w:rPr>
            </w:pPr>
            <w:r>
              <w:rPr>
                <w:rFonts w:ascii="Arial" w:cs="Arial" w:eastAsia="Arial" w:hAnsi="Arial"/>
                <w:sz w:val="18"/>
                <w:szCs w:val="18"/>
                <w:b w:val="1"/>
                <w:bCs w:val="1"/>
                <w:color w:val="auto"/>
              </w:rPr>
              <w:t>STRATEGY</w:t>
            </w:r>
          </w:p>
        </w:tc>
        <w:tc>
          <w:tcPr>
            <w:tcW w:w="20" w:type="dxa"/>
            <w:vAlign w:val="bottom"/>
            <w:shd w:val="clear" w:color="auto" w:fill="1A3FD6"/>
          </w:tcPr>
          <w:p>
            <w:pPr>
              <w:spacing w:after="0"/>
              <w:rPr>
                <w:sz w:val="22"/>
                <w:szCs w:val="22"/>
                <w:color w:val="auto"/>
              </w:rPr>
            </w:pPr>
          </w:p>
        </w:tc>
        <w:tc>
          <w:tcPr>
            <w:tcW w:w="260" w:type="dxa"/>
            <w:vAlign w:val="bottom"/>
            <w:shd w:val="clear" w:color="auto" w:fill="EDF0FC"/>
          </w:tcPr>
          <w:p>
            <w:pPr>
              <w:ind w:left="140"/>
              <w:spacing w:after="0"/>
              <w:rPr>
                <w:sz w:val="20"/>
                <w:szCs w:val="20"/>
                <w:color w:val="auto"/>
              </w:rPr>
            </w:pPr>
            <w:r>
              <w:rPr>
                <w:rFonts w:ascii="Arial" w:cs="Arial" w:eastAsia="Arial" w:hAnsi="Arial"/>
                <w:sz w:val="16"/>
                <w:szCs w:val="16"/>
                <w:color w:val="1A3FD6"/>
              </w:rPr>
              <w:t>•</w:t>
            </w:r>
          </w:p>
        </w:tc>
        <w:tc>
          <w:tcPr>
            <w:tcW w:w="2620" w:type="dxa"/>
            <w:vAlign w:val="bottom"/>
            <w:shd w:val="clear" w:color="auto" w:fill="EDF0FC"/>
          </w:tcPr>
          <w:p>
            <w:pPr>
              <w:ind w:left="80"/>
              <w:spacing w:after="0"/>
              <w:rPr>
                <w:sz w:val="20"/>
                <w:szCs w:val="20"/>
                <w:color w:val="auto"/>
              </w:rPr>
            </w:pPr>
            <w:r>
              <w:rPr>
                <w:rFonts w:ascii="Arial" w:cs="Arial" w:eastAsia="Arial" w:hAnsi="Arial"/>
                <w:sz w:val="16"/>
                <w:szCs w:val="16"/>
                <w:color w:val="auto"/>
              </w:rPr>
              <w:t>Long-Term Incentive Plan</w:t>
            </w:r>
          </w:p>
        </w:tc>
        <w:tc>
          <w:tcPr>
            <w:tcW w:w="20" w:type="dxa"/>
            <w:vAlign w:val="bottom"/>
            <w:shd w:val="clear" w:color="auto" w:fill="1A3FD6"/>
          </w:tcPr>
          <w:p>
            <w:pPr>
              <w:spacing w:after="0"/>
              <w:rPr>
                <w:sz w:val="22"/>
                <w:szCs w:val="22"/>
                <w:color w:val="auto"/>
              </w:rPr>
            </w:pPr>
          </w:p>
        </w:tc>
        <w:tc>
          <w:tcPr>
            <w:tcW w:w="260" w:type="dxa"/>
            <w:vAlign w:val="bottom"/>
            <w:shd w:val="clear" w:color="auto" w:fill="EDF0FC"/>
          </w:tcPr>
          <w:p>
            <w:pPr>
              <w:ind w:left="140"/>
              <w:spacing w:after="0"/>
              <w:rPr>
                <w:sz w:val="20"/>
                <w:szCs w:val="20"/>
                <w:color w:val="auto"/>
              </w:rPr>
            </w:pPr>
            <w:r>
              <w:rPr>
                <w:rFonts w:ascii="Arial" w:cs="Arial" w:eastAsia="Arial" w:hAnsi="Arial"/>
                <w:sz w:val="16"/>
                <w:szCs w:val="16"/>
                <w:color w:val="1A3FD6"/>
              </w:rPr>
              <w:t>•</w:t>
            </w:r>
          </w:p>
        </w:tc>
        <w:tc>
          <w:tcPr>
            <w:tcW w:w="2540" w:type="dxa"/>
            <w:vAlign w:val="bottom"/>
            <w:shd w:val="clear" w:color="auto" w:fill="EDF0FC"/>
          </w:tcPr>
          <w:p>
            <w:pPr>
              <w:ind w:left="80"/>
              <w:spacing w:after="0"/>
              <w:rPr>
                <w:sz w:val="20"/>
                <w:szCs w:val="20"/>
                <w:color w:val="auto"/>
              </w:rPr>
            </w:pPr>
            <w:r>
              <w:rPr>
                <w:rFonts w:ascii="Arial" w:cs="Arial" w:eastAsia="Arial" w:hAnsi="Arial"/>
                <w:sz w:val="16"/>
                <w:szCs w:val="16"/>
                <w:color w:val="auto"/>
              </w:rPr>
              <w:t>Board Skills</w:t>
            </w:r>
          </w:p>
        </w:tc>
        <w:tc>
          <w:tcPr>
            <w:tcW w:w="20" w:type="dxa"/>
            <w:vAlign w:val="bottom"/>
            <w:shd w:val="clear" w:color="auto" w:fill="1A3FD6"/>
          </w:tcPr>
          <w:p>
            <w:pPr>
              <w:spacing w:after="0"/>
              <w:rPr>
                <w:sz w:val="22"/>
                <w:szCs w:val="22"/>
                <w:color w:val="auto"/>
              </w:rPr>
            </w:pPr>
          </w:p>
        </w:tc>
        <w:tc>
          <w:tcPr>
            <w:tcW w:w="2780" w:type="dxa"/>
            <w:vAlign w:val="bottom"/>
            <w:shd w:val="clear" w:color="auto" w:fill="EDF0FC"/>
          </w:tcPr>
          <w:p>
            <w:pPr>
              <w:ind w:left="14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Sustainability and Climate</w:t>
            </w:r>
          </w:p>
        </w:tc>
        <w:tc>
          <w:tcPr>
            <w:tcW w:w="0" w:type="dxa"/>
            <w:vAlign w:val="bottom"/>
          </w:tcPr>
          <w:p>
            <w:pPr>
              <w:spacing w:after="0"/>
              <w:rPr>
                <w:sz w:val="1"/>
                <w:szCs w:val="1"/>
                <w:color w:val="auto"/>
              </w:rPr>
            </w:pPr>
          </w:p>
        </w:tc>
      </w:tr>
      <w:tr>
        <w:trPr>
          <w:trHeight w:val="231"/>
        </w:trPr>
        <w:tc>
          <w:tcPr>
            <w:tcW w:w="280" w:type="dxa"/>
            <w:vAlign w:val="bottom"/>
            <w:shd w:val="clear" w:color="auto" w:fill="EDF0FC"/>
          </w:tcPr>
          <w:p>
            <w:pPr>
              <w:ind w:left="160"/>
              <w:spacing w:after="0"/>
              <w:rPr>
                <w:sz w:val="20"/>
                <w:szCs w:val="20"/>
                <w:color w:val="auto"/>
              </w:rPr>
            </w:pPr>
            <w:r>
              <w:rPr>
                <w:rFonts w:ascii="Arial" w:cs="Arial" w:eastAsia="Arial" w:hAnsi="Arial"/>
                <w:sz w:val="16"/>
                <w:szCs w:val="16"/>
                <w:color w:val="1A3FD6"/>
              </w:rPr>
              <w:t>•</w:t>
            </w:r>
          </w:p>
        </w:tc>
        <w:tc>
          <w:tcPr>
            <w:tcW w:w="2440" w:type="dxa"/>
            <w:vAlign w:val="bottom"/>
            <w:shd w:val="clear" w:color="auto" w:fill="EDF0FC"/>
          </w:tcPr>
          <w:p>
            <w:pPr>
              <w:ind w:left="60"/>
              <w:spacing w:after="0"/>
              <w:rPr>
                <w:sz w:val="20"/>
                <w:szCs w:val="20"/>
                <w:color w:val="auto"/>
              </w:rPr>
            </w:pPr>
            <w:r>
              <w:rPr>
                <w:rFonts w:ascii="Arial" w:cs="Arial" w:eastAsia="Arial" w:hAnsi="Arial"/>
                <w:sz w:val="16"/>
                <w:szCs w:val="16"/>
                <w:color w:val="auto"/>
              </w:rPr>
              <w:t>Senior Talent Succession</w:t>
            </w:r>
          </w:p>
        </w:tc>
        <w:tc>
          <w:tcPr>
            <w:tcW w:w="20" w:type="dxa"/>
            <w:vAlign w:val="bottom"/>
            <w:shd w:val="clear" w:color="auto" w:fill="1A3FD6"/>
          </w:tcPr>
          <w:p>
            <w:pPr>
              <w:spacing w:after="0"/>
              <w:rPr>
                <w:sz w:val="20"/>
                <w:szCs w:val="20"/>
                <w:color w:val="auto"/>
              </w:rPr>
            </w:pPr>
          </w:p>
        </w:tc>
        <w:tc>
          <w:tcPr>
            <w:tcW w:w="260" w:type="dxa"/>
            <w:vAlign w:val="bottom"/>
            <w:shd w:val="clear" w:color="auto" w:fill="EDF0FC"/>
          </w:tcPr>
          <w:p>
            <w:pPr>
              <w:ind w:left="140"/>
              <w:spacing w:after="0"/>
              <w:rPr>
                <w:sz w:val="20"/>
                <w:szCs w:val="20"/>
                <w:color w:val="auto"/>
              </w:rPr>
            </w:pPr>
            <w:r>
              <w:rPr>
                <w:rFonts w:ascii="Arial" w:cs="Arial" w:eastAsia="Arial" w:hAnsi="Arial"/>
                <w:sz w:val="16"/>
                <w:szCs w:val="16"/>
                <w:color w:val="1A3FD6"/>
              </w:rPr>
              <w:t>•</w:t>
            </w:r>
          </w:p>
        </w:tc>
        <w:tc>
          <w:tcPr>
            <w:tcW w:w="2620" w:type="dxa"/>
            <w:vAlign w:val="bottom"/>
            <w:shd w:val="clear" w:color="auto" w:fill="EDF0FC"/>
          </w:tcPr>
          <w:p>
            <w:pPr>
              <w:ind w:left="80"/>
              <w:spacing w:after="0"/>
              <w:rPr>
                <w:sz w:val="20"/>
                <w:szCs w:val="20"/>
                <w:color w:val="auto"/>
              </w:rPr>
            </w:pPr>
            <w:r>
              <w:rPr>
                <w:rFonts w:ascii="Arial" w:cs="Arial" w:eastAsia="Arial" w:hAnsi="Arial"/>
                <w:sz w:val="16"/>
                <w:szCs w:val="16"/>
                <w:color w:val="auto"/>
              </w:rPr>
              <w:t>Aligning Compensation with</w:t>
            </w:r>
          </w:p>
        </w:tc>
        <w:tc>
          <w:tcPr>
            <w:tcW w:w="20" w:type="dxa"/>
            <w:vAlign w:val="bottom"/>
            <w:shd w:val="clear" w:color="auto" w:fill="1A3FD6"/>
          </w:tcPr>
          <w:p>
            <w:pPr>
              <w:spacing w:after="0"/>
              <w:rPr>
                <w:sz w:val="20"/>
                <w:szCs w:val="20"/>
                <w:color w:val="auto"/>
              </w:rPr>
            </w:pPr>
          </w:p>
        </w:tc>
        <w:tc>
          <w:tcPr>
            <w:tcW w:w="260" w:type="dxa"/>
            <w:vAlign w:val="bottom"/>
            <w:shd w:val="clear" w:color="auto" w:fill="EDF0FC"/>
          </w:tcPr>
          <w:p>
            <w:pPr>
              <w:ind w:left="140"/>
              <w:spacing w:after="0"/>
              <w:rPr>
                <w:sz w:val="20"/>
                <w:szCs w:val="20"/>
                <w:color w:val="auto"/>
              </w:rPr>
            </w:pPr>
            <w:r>
              <w:rPr>
                <w:rFonts w:ascii="Arial" w:cs="Arial" w:eastAsia="Arial" w:hAnsi="Arial"/>
                <w:sz w:val="16"/>
                <w:szCs w:val="16"/>
                <w:color w:val="1A3FD6"/>
              </w:rPr>
              <w:t>•</w:t>
            </w:r>
          </w:p>
        </w:tc>
        <w:tc>
          <w:tcPr>
            <w:tcW w:w="2540" w:type="dxa"/>
            <w:vAlign w:val="bottom"/>
            <w:shd w:val="clear" w:color="auto" w:fill="EDF0FC"/>
          </w:tcPr>
          <w:p>
            <w:pPr>
              <w:ind w:left="80"/>
              <w:spacing w:after="0"/>
              <w:rPr>
                <w:sz w:val="20"/>
                <w:szCs w:val="20"/>
                <w:color w:val="auto"/>
              </w:rPr>
            </w:pPr>
            <w:r>
              <w:rPr>
                <w:rFonts w:ascii="Arial" w:cs="Arial" w:eastAsia="Arial" w:hAnsi="Arial"/>
                <w:sz w:val="16"/>
                <w:szCs w:val="16"/>
                <w:color w:val="auto"/>
              </w:rPr>
              <w:t>Board Culture</w:t>
            </w:r>
          </w:p>
        </w:tc>
        <w:tc>
          <w:tcPr>
            <w:tcW w:w="20" w:type="dxa"/>
            <w:vAlign w:val="bottom"/>
            <w:shd w:val="clear" w:color="auto" w:fill="1A3FD6"/>
          </w:tcPr>
          <w:p>
            <w:pPr>
              <w:spacing w:after="0"/>
              <w:rPr>
                <w:sz w:val="20"/>
                <w:szCs w:val="20"/>
                <w:color w:val="auto"/>
              </w:rPr>
            </w:pPr>
          </w:p>
        </w:tc>
        <w:tc>
          <w:tcPr>
            <w:tcW w:w="2780" w:type="dxa"/>
            <w:vAlign w:val="bottom"/>
            <w:shd w:val="clear" w:color="auto" w:fill="EDF0FC"/>
          </w:tcPr>
          <w:p>
            <w:pPr>
              <w:ind w:left="320"/>
              <w:spacing w:after="0"/>
              <w:rPr>
                <w:sz w:val="20"/>
                <w:szCs w:val="20"/>
                <w:color w:val="auto"/>
              </w:rPr>
            </w:pPr>
            <w:r>
              <w:rPr>
                <w:rFonts w:ascii="Arial" w:cs="Arial" w:eastAsia="Arial" w:hAnsi="Arial"/>
                <w:sz w:val="16"/>
                <w:szCs w:val="16"/>
                <w:color w:val="auto"/>
              </w:rPr>
              <w:t>Strategy</w:t>
            </w:r>
          </w:p>
        </w:tc>
        <w:tc>
          <w:tcPr>
            <w:tcW w:w="0" w:type="dxa"/>
            <w:vAlign w:val="bottom"/>
          </w:tcPr>
          <w:p>
            <w:pPr>
              <w:spacing w:after="0"/>
              <w:rPr>
                <w:sz w:val="1"/>
                <w:szCs w:val="1"/>
                <w:color w:val="auto"/>
              </w:rPr>
            </w:pPr>
          </w:p>
        </w:tc>
      </w:tr>
      <w:tr>
        <w:trPr>
          <w:trHeight w:val="242"/>
        </w:trPr>
        <w:tc>
          <w:tcPr>
            <w:tcW w:w="280" w:type="dxa"/>
            <w:vAlign w:val="bottom"/>
            <w:shd w:val="clear" w:color="auto" w:fill="EDF0FC"/>
          </w:tcPr>
          <w:p>
            <w:pPr>
              <w:spacing w:after="0"/>
              <w:rPr>
                <w:sz w:val="21"/>
                <w:szCs w:val="21"/>
                <w:color w:val="auto"/>
              </w:rPr>
            </w:pPr>
          </w:p>
        </w:tc>
        <w:tc>
          <w:tcPr>
            <w:tcW w:w="2440" w:type="dxa"/>
            <w:vAlign w:val="bottom"/>
            <w:shd w:val="clear" w:color="auto" w:fill="EDF0FC"/>
          </w:tcPr>
          <w:p>
            <w:pPr>
              <w:ind w:left="80"/>
              <w:spacing w:after="0"/>
              <w:rPr>
                <w:sz w:val="20"/>
                <w:szCs w:val="20"/>
                <w:color w:val="auto"/>
              </w:rPr>
            </w:pPr>
            <w:r>
              <w:rPr>
                <w:rFonts w:ascii="Arial" w:cs="Arial" w:eastAsia="Arial" w:hAnsi="Arial"/>
                <w:sz w:val="16"/>
                <w:szCs w:val="16"/>
                <w:color w:val="auto"/>
              </w:rPr>
              <w:t>Planning and Development</w:t>
            </w:r>
          </w:p>
        </w:tc>
        <w:tc>
          <w:tcPr>
            <w:tcW w:w="20" w:type="dxa"/>
            <w:vAlign w:val="bottom"/>
            <w:shd w:val="clear" w:color="auto" w:fill="1A3FD6"/>
          </w:tcPr>
          <w:p>
            <w:pPr>
              <w:spacing w:after="0"/>
              <w:rPr>
                <w:sz w:val="21"/>
                <w:szCs w:val="21"/>
                <w:color w:val="auto"/>
              </w:rPr>
            </w:pPr>
          </w:p>
        </w:tc>
        <w:tc>
          <w:tcPr>
            <w:tcW w:w="260" w:type="dxa"/>
            <w:vAlign w:val="bottom"/>
            <w:shd w:val="clear" w:color="auto" w:fill="EDF0FC"/>
          </w:tcPr>
          <w:p>
            <w:pPr>
              <w:spacing w:after="0"/>
              <w:rPr>
                <w:sz w:val="21"/>
                <w:szCs w:val="21"/>
                <w:color w:val="auto"/>
              </w:rPr>
            </w:pPr>
          </w:p>
        </w:tc>
        <w:tc>
          <w:tcPr>
            <w:tcW w:w="2620" w:type="dxa"/>
            <w:vAlign w:val="bottom"/>
            <w:shd w:val="clear" w:color="auto" w:fill="EDF0FC"/>
          </w:tcPr>
          <w:p>
            <w:pPr>
              <w:ind w:left="80"/>
              <w:spacing w:after="0"/>
              <w:rPr>
                <w:sz w:val="20"/>
                <w:szCs w:val="20"/>
                <w:color w:val="auto"/>
              </w:rPr>
            </w:pPr>
            <w:r>
              <w:rPr>
                <w:rFonts w:ascii="Arial" w:cs="Arial" w:eastAsia="Arial" w:hAnsi="Arial"/>
                <w:sz w:val="16"/>
                <w:szCs w:val="16"/>
                <w:color w:val="auto"/>
              </w:rPr>
              <w:t>Shareholder Value Creation</w:t>
            </w:r>
          </w:p>
        </w:tc>
        <w:tc>
          <w:tcPr>
            <w:tcW w:w="20" w:type="dxa"/>
            <w:vAlign w:val="bottom"/>
            <w:shd w:val="clear" w:color="auto" w:fill="1A3FD6"/>
          </w:tcPr>
          <w:p>
            <w:pPr>
              <w:spacing w:after="0"/>
              <w:rPr>
                <w:sz w:val="21"/>
                <w:szCs w:val="21"/>
                <w:color w:val="auto"/>
              </w:rPr>
            </w:pPr>
          </w:p>
        </w:tc>
        <w:tc>
          <w:tcPr>
            <w:tcW w:w="260" w:type="dxa"/>
            <w:vAlign w:val="bottom"/>
            <w:vMerge w:val="restart"/>
            <w:shd w:val="clear" w:color="auto" w:fill="EDF0FC"/>
          </w:tcPr>
          <w:p>
            <w:pPr>
              <w:ind w:left="140"/>
              <w:spacing w:after="0"/>
              <w:rPr>
                <w:sz w:val="20"/>
                <w:szCs w:val="20"/>
                <w:color w:val="auto"/>
              </w:rPr>
            </w:pPr>
            <w:r>
              <w:rPr>
                <w:rFonts w:ascii="Arial" w:cs="Arial" w:eastAsia="Arial" w:hAnsi="Arial"/>
                <w:sz w:val="16"/>
                <w:szCs w:val="16"/>
                <w:color w:val="1A3FD6"/>
              </w:rPr>
              <w:t>•</w:t>
            </w:r>
          </w:p>
        </w:tc>
        <w:tc>
          <w:tcPr>
            <w:tcW w:w="2540" w:type="dxa"/>
            <w:vAlign w:val="bottom"/>
            <w:vMerge w:val="restart"/>
            <w:shd w:val="clear" w:color="auto" w:fill="EDF0FC"/>
          </w:tcPr>
          <w:p>
            <w:pPr>
              <w:ind w:left="80"/>
              <w:spacing w:after="0"/>
              <w:rPr>
                <w:sz w:val="20"/>
                <w:szCs w:val="20"/>
                <w:color w:val="auto"/>
              </w:rPr>
            </w:pPr>
            <w:r>
              <w:rPr>
                <w:rFonts w:ascii="Arial" w:cs="Arial" w:eastAsia="Arial" w:hAnsi="Arial"/>
                <w:sz w:val="16"/>
                <w:szCs w:val="16"/>
                <w:color w:val="auto"/>
              </w:rPr>
              <w:t>Risk Management</w:t>
            </w:r>
          </w:p>
        </w:tc>
        <w:tc>
          <w:tcPr>
            <w:tcW w:w="20" w:type="dxa"/>
            <w:vAlign w:val="bottom"/>
            <w:shd w:val="clear" w:color="auto" w:fill="1A3FD6"/>
          </w:tcPr>
          <w:p>
            <w:pPr>
              <w:spacing w:after="0"/>
              <w:rPr>
                <w:sz w:val="21"/>
                <w:szCs w:val="21"/>
                <w:color w:val="auto"/>
              </w:rPr>
            </w:pPr>
          </w:p>
        </w:tc>
        <w:tc>
          <w:tcPr>
            <w:tcW w:w="2780" w:type="dxa"/>
            <w:vAlign w:val="bottom"/>
            <w:shd w:val="clear" w:color="auto" w:fill="EDF0FC"/>
          </w:tcPr>
          <w:p>
            <w:pPr>
              <w:ind w:left="14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AI Risks, Opportunities and</w:t>
            </w:r>
          </w:p>
        </w:tc>
        <w:tc>
          <w:tcPr>
            <w:tcW w:w="0" w:type="dxa"/>
            <w:vAlign w:val="bottom"/>
          </w:tcPr>
          <w:p>
            <w:pPr>
              <w:spacing w:after="0"/>
              <w:rPr>
                <w:sz w:val="1"/>
                <w:szCs w:val="1"/>
                <w:color w:val="auto"/>
              </w:rPr>
            </w:pPr>
          </w:p>
        </w:tc>
      </w:tr>
      <w:tr>
        <w:trPr>
          <w:trHeight w:val="54"/>
        </w:trPr>
        <w:tc>
          <w:tcPr>
            <w:tcW w:w="280" w:type="dxa"/>
            <w:vAlign w:val="bottom"/>
            <w:vMerge w:val="restart"/>
            <w:shd w:val="clear" w:color="auto" w:fill="EDF0FC"/>
          </w:tcPr>
          <w:p>
            <w:pPr>
              <w:ind w:left="160"/>
              <w:spacing w:after="0"/>
              <w:rPr>
                <w:sz w:val="20"/>
                <w:szCs w:val="20"/>
                <w:color w:val="auto"/>
              </w:rPr>
            </w:pPr>
            <w:r>
              <w:rPr>
                <w:rFonts w:ascii="Arial" w:cs="Arial" w:eastAsia="Arial" w:hAnsi="Arial"/>
                <w:sz w:val="16"/>
                <w:szCs w:val="16"/>
                <w:color w:val="1A3FD6"/>
              </w:rPr>
              <w:t>•</w:t>
            </w:r>
          </w:p>
        </w:tc>
        <w:tc>
          <w:tcPr>
            <w:tcW w:w="2440" w:type="dxa"/>
            <w:vAlign w:val="bottom"/>
            <w:vMerge w:val="restart"/>
            <w:shd w:val="clear" w:color="auto" w:fill="EDF0FC"/>
          </w:tcPr>
          <w:p>
            <w:pPr>
              <w:ind w:left="60"/>
              <w:spacing w:after="0"/>
              <w:rPr>
                <w:sz w:val="20"/>
                <w:szCs w:val="20"/>
                <w:color w:val="auto"/>
              </w:rPr>
            </w:pPr>
            <w:r>
              <w:rPr>
                <w:rFonts w:ascii="Arial" w:cs="Arial" w:eastAsia="Arial" w:hAnsi="Arial"/>
                <w:sz w:val="16"/>
                <w:szCs w:val="16"/>
                <w:color w:val="auto"/>
              </w:rPr>
              <w:t>Integrated Talent Management</w:t>
            </w:r>
          </w:p>
        </w:tc>
        <w:tc>
          <w:tcPr>
            <w:tcW w:w="20" w:type="dxa"/>
            <w:vAlign w:val="bottom"/>
            <w:shd w:val="clear" w:color="auto" w:fill="1A3FD6"/>
          </w:tcPr>
          <w:p>
            <w:pPr>
              <w:spacing w:after="0"/>
              <w:rPr>
                <w:sz w:val="4"/>
                <w:szCs w:val="4"/>
                <w:color w:val="auto"/>
              </w:rPr>
            </w:pPr>
          </w:p>
        </w:tc>
        <w:tc>
          <w:tcPr>
            <w:tcW w:w="260" w:type="dxa"/>
            <w:vAlign w:val="bottom"/>
            <w:shd w:val="clear" w:color="auto" w:fill="EDF0FC"/>
          </w:tcPr>
          <w:p>
            <w:pPr>
              <w:spacing w:after="0"/>
              <w:rPr>
                <w:sz w:val="4"/>
                <w:szCs w:val="4"/>
                <w:color w:val="auto"/>
              </w:rPr>
            </w:pPr>
          </w:p>
        </w:tc>
        <w:tc>
          <w:tcPr>
            <w:tcW w:w="2620" w:type="dxa"/>
            <w:vAlign w:val="bottom"/>
            <w:shd w:val="clear" w:color="auto" w:fill="EDF0FC"/>
          </w:tcPr>
          <w:p>
            <w:pPr>
              <w:spacing w:after="0"/>
              <w:rPr>
                <w:sz w:val="4"/>
                <w:szCs w:val="4"/>
                <w:color w:val="auto"/>
              </w:rPr>
            </w:pPr>
          </w:p>
        </w:tc>
        <w:tc>
          <w:tcPr>
            <w:tcW w:w="20" w:type="dxa"/>
            <w:vAlign w:val="bottom"/>
            <w:shd w:val="clear" w:color="auto" w:fill="1A3FD6"/>
          </w:tcPr>
          <w:p>
            <w:pPr>
              <w:spacing w:after="0"/>
              <w:rPr>
                <w:sz w:val="4"/>
                <w:szCs w:val="4"/>
                <w:color w:val="auto"/>
              </w:rPr>
            </w:pPr>
          </w:p>
        </w:tc>
        <w:tc>
          <w:tcPr>
            <w:tcW w:w="260" w:type="dxa"/>
            <w:vAlign w:val="bottom"/>
            <w:vMerge w:val="continue"/>
            <w:shd w:val="clear" w:color="auto" w:fill="EDF0FC"/>
          </w:tcPr>
          <w:p>
            <w:pPr>
              <w:spacing w:after="0"/>
              <w:rPr>
                <w:sz w:val="4"/>
                <w:szCs w:val="4"/>
                <w:color w:val="auto"/>
              </w:rPr>
            </w:pPr>
          </w:p>
        </w:tc>
        <w:tc>
          <w:tcPr>
            <w:tcW w:w="2540" w:type="dxa"/>
            <w:vAlign w:val="bottom"/>
            <w:vMerge w:val="continue"/>
            <w:shd w:val="clear" w:color="auto" w:fill="EDF0FC"/>
          </w:tcPr>
          <w:p>
            <w:pPr>
              <w:spacing w:after="0"/>
              <w:rPr>
                <w:sz w:val="4"/>
                <w:szCs w:val="4"/>
                <w:color w:val="auto"/>
              </w:rPr>
            </w:pPr>
          </w:p>
        </w:tc>
        <w:tc>
          <w:tcPr>
            <w:tcW w:w="20" w:type="dxa"/>
            <w:vAlign w:val="bottom"/>
            <w:shd w:val="clear" w:color="auto" w:fill="1A3FD6"/>
          </w:tcPr>
          <w:p>
            <w:pPr>
              <w:spacing w:after="0"/>
              <w:rPr>
                <w:sz w:val="4"/>
                <w:szCs w:val="4"/>
                <w:color w:val="auto"/>
              </w:rPr>
            </w:pPr>
          </w:p>
        </w:tc>
        <w:tc>
          <w:tcPr>
            <w:tcW w:w="2780" w:type="dxa"/>
            <w:vAlign w:val="bottom"/>
            <w:vMerge w:val="restart"/>
            <w:shd w:val="clear" w:color="auto" w:fill="EDF0FC"/>
          </w:tcPr>
          <w:p>
            <w:pPr>
              <w:ind w:left="320"/>
              <w:spacing w:after="0"/>
              <w:rPr>
                <w:sz w:val="20"/>
                <w:szCs w:val="20"/>
                <w:color w:val="auto"/>
              </w:rPr>
            </w:pPr>
            <w:r>
              <w:rPr>
                <w:rFonts w:ascii="Arial" w:cs="Arial" w:eastAsia="Arial" w:hAnsi="Arial"/>
                <w:sz w:val="16"/>
                <w:szCs w:val="16"/>
                <w:color w:val="auto"/>
              </w:rPr>
              <w:t>Governance</w:t>
            </w:r>
          </w:p>
        </w:tc>
        <w:tc>
          <w:tcPr>
            <w:tcW w:w="0" w:type="dxa"/>
            <w:vAlign w:val="bottom"/>
          </w:tcPr>
          <w:p>
            <w:pPr>
              <w:spacing w:after="0"/>
              <w:rPr>
                <w:sz w:val="1"/>
                <w:szCs w:val="1"/>
                <w:color w:val="auto"/>
              </w:rPr>
            </w:pPr>
          </w:p>
        </w:tc>
      </w:tr>
      <w:tr>
        <w:trPr>
          <w:trHeight w:val="216"/>
        </w:trPr>
        <w:tc>
          <w:tcPr>
            <w:tcW w:w="280" w:type="dxa"/>
            <w:vAlign w:val="bottom"/>
            <w:vMerge w:val="continue"/>
            <w:shd w:val="clear" w:color="auto" w:fill="EDF0FC"/>
          </w:tcPr>
          <w:p>
            <w:pPr>
              <w:spacing w:after="0"/>
              <w:rPr>
                <w:sz w:val="18"/>
                <w:szCs w:val="18"/>
                <w:color w:val="auto"/>
              </w:rPr>
            </w:pPr>
          </w:p>
        </w:tc>
        <w:tc>
          <w:tcPr>
            <w:tcW w:w="2440" w:type="dxa"/>
            <w:vAlign w:val="bottom"/>
            <w:vMerge w:val="continue"/>
            <w:shd w:val="clear" w:color="auto" w:fill="EDF0FC"/>
          </w:tcPr>
          <w:p>
            <w:pPr>
              <w:spacing w:after="0"/>
              <w:rPr>
                <w:sz w:val="18"/>
                <w:szCs w:val="18"/>
                <w:color w:val="auto"/>
              </w:rPr>
            </w:pPr>
          </w:p>
        </w:tc>
        <w:tc>
          <w:tcPr>
            <w:tcW w:w="20" w:type="dxa"/>
            <w:vAlign w:val="bottom"/>
            <w:shd w:val="clear" w:color="auto" w:fill="1A3FD6"/>
          </w:tcPr>
          <w:p>
            <w:pPr>
              <w:spacing w:after="0"/>
              <w:rPr>
                <w:sz w:val="18"/>
                <w:szCs w:val="18"/>
                <w:color w:val="auto"/>
              </w:rPr>
            </w:pPr>
          </w:p>
        </w:tc>
        <w:tc>
          <w:tcPr>
            <w:tcW w:w="260" w:type="dxa"/>
            <w:vAlign w:val="bottom"/>
            <w:shd w:val="clear" w:color="auto" w:fill="EDF0FC"/>
          </w:tcPr>
          <w:p>
            <w:pPr>
              <w:spacing w:after="0"/>
              <w:rPr>
                <w:sz w:val="18"/>
                <w:szCs w:val="18"/>
                <w:color w:val="auto"/>
              </w:rPr>
            </w:pPr>
          </w:p>
        </w:tc>
        <w:tc>
          <w:tcPr>
            <w:tcW w:w="2620" w:type="dxa"/>
            <w:vAlign w:val="bottom"/>
            <w:shd w:val="clear" w:color="auto" w:fill="EDF0FC"/>
          </w:tcPr>
          <w:p>
            <w:pPr>
              <w:spacing w:after="0"/>
              <w:rPr>
                <w:sz w:val="18"/>
                <w:szCs w:val="18"/>
                <w:color w:val="auto"/>
              </w:rPr>
            </w:pPr>
          </w:p>
        </w:tc>
        <w:tc>
          <w:tcPr>
            <w:tcW w:w="20" w:type="dxa"/>
            <w:vAlign w:val="bottom"/>
            <w:shd w:val="clear" w:color="auto" w:fill="1A3FD6"/>
          </w:tcPr>
          <w:p>
            <w:pPr>
              <w:spacing w:after="0"/>
              <w:rPr>
                <w:sz w:val="18"/>
                <w:szCs w:val="18"/>
                <w:color w:val="auto"/>
              </w:rPr>
            </w:pPr>
          </w:p>
        </w:tc>
        <w:tc>
          <w:tcPr>
            <w:tcW w:w="260" w:type="dxa"/>
            <w:vAlign w:val="bottom"/>
            <w:shd w:val="clear" w:color="auto" w:fill="EDF0FC"/>
          </w:tcPr>
          <w:p>
            <w:pPr>
              <w:spacing w:after="0"/>
              <w:rPr>
                <w:sz w:val="18"/>
                <w:szCs w:val="18"/>
                <w:color w:val="auto"/>
              </w:rPr>
            </w:pPr>
          </w:p>
        </w:tc>
        <w:tc>
          <w:tcPr>
            <w:tcW w:w="2540" w:type="dxa"/>
            <w:vAlign w:val="bottom"/>
            <w:shd w:val="clear" w:color="auto" w:fill="EDF0FC"/>
          </w:tcPr>
          <w:p>
            <w:pPr>
              <w:ind w:left="80"/>
              <w:spacing w:after="0"/>
              <w:rPr>
                <w:sz w:val="20"/>
                <w:szCs w:val="20"/>
                <w:color w:val="auto"/>
              </w:rPr>
            </w:pPr>
            <w:r>
              <w:rPr>
                <w:rFonts w:ascii="Arial" w:cs="Arial" w:eastAsia="Arial" w:hAnsi="Arial"/>
                <w:sz w:val="16"/>
                <w:szCs w:val="16"/>
                <w:color w:val="auto"/>
              </w:rPr>
              <w:t>and Oversight</w:t>
            </w:r>
          </w:p>
        </w:tc>
        <w:tc>
          <w:tcPr>
            <w:tcW w:w="20" w:type="dxa"/>
            <w:vAlign w:val="bottom"/>
            <w:shd w:val="clear" w:color="auto" w:fill="1A3FD6"/>
          </w:tcPr>
          <w:p>
            <w:pPr>
              <w:spacing w:after="0"/>
              <w:rPr>
                <w:sz w:val="18"/>
                <w:szCs w:val="18"/>
                <w:color w:val="auto"/>
              </w:rPr>
            </w:pPr>
          </w:p>
        </w:tc>
        <w:tc>
          <w:tcPr>
            <w:tcW w:w="2780" w:type="dxa"/>
            <w:vAlign w:val="bottom"/>
            <w:vMerge w:val="continue"/>
            <w:shd w:val="clear" w:color="auto" w:fill="EDF0FC"/>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80" w:type="dxa"/>
            <w:vAlign w:val="bottom"/>
            <w:shd w:val="clear" w:color="auto" w:fill="EDF0FC"/>
          </w:tcPr>
          <w:p>
            <w:pPr>
              <w:spacing w:after="0"/>
              <w:rPr>
                <w:sz w:val="21"/>
                <w:szCs w:val="21"/>
                <w:color w:val="auto"/>
              </w:rPr>
            </w:pPr>
          </w:p>
        </w:tc>
        <w:tc>
          <w:tcPr>
            <w:tcW w:w="2440" w:type="dxa"/>
            <w:vAlign w:val="bottom"/>
            <w:shd w:val="clear" w:color="auto" w:fill="EDF0FC"/>
          </w:tcPr>
          <w:p>
            <w:pPr>
              <w:spacing w:after="0"/>
              <w:rPr>
                <w:sz w:val="21"/>
                <w:szCs w:val="21"/>
                <w:color w:val="auto"/>
              </w:rPr>
            </w:pPr>
          </w:p>
        </w:tc>
        <w:tc>
          <w:tcPr>
            <w:tcW w:w="20" w:type="dxa"/>
            <w:vAlign w:val="bottom"/>
            <w:shd w:val="clear" w:color="auto" w:fill="1A3FD6"/>
          </w:tcPr>
          <w:p>
            <w:pPr>
              <w:spacing w:after="0"/>
              <w:rPr>
                <w:sz w:val="21"/>
                <w:szCs w:val="21"/>
                <w:color w:val="auto"/>
              </w:rPr>
            </w:pPr>
          </w:p>
        </w:tc>
        <w:tc>
          <w:tcPr>
            <w:tcW w:w="260" w:type="dxa"/>
            <w:vAlign w:val="bottom"/>
            <w:shd w:val="clear" w:color="auto" w:fill="EDF0FC"/>
          </w:tcPr>
          <w:p>
            <w:pPr>
              <w:spacing w:after="0"/>
              <w:rPr>
                <w:sz w:val="21"/>
                <w:szCs w:val="21"/>
                <w:color w:val="auto"/>
              </w:rPr>
            </w:pPr>
          </w:p>
        </w:tc>
        <w:tc>
          <w:tcPr>
            <w:tcW w:w="2620" w:type="dxa"/>
            <w:vAlign w:val="bottom"/>
            <w:shd w:val="clear" w:color="auto" w:fill="EDF0FC"/>
          </w:tcPr>
          <w:p>
            <w:pPr>
              <w:spacing w:after="0"/>
              <w:rPr>
                <w:sz w:val="21"/>
                <w:szCs w:val="21"/>
                <w:color w:val="auto"/>
              </w:rPr>
            </w:pPr>
          </w:p>
        </w:tc>
        <w:tc>
          <w:tcPr>
            <w:tcW w:w="20" w:type="dxa"/>
            <w:vAlign w:val="bottom"/>
            <w:shd w:val="clear" w:color="auto" w:fill="1A3FD6"/>
          </w:tcPr>
          <w:p>
            <w:pPr>
              <w:spacing w:after="0"/>
              <w:rPr>
                <w:sz w:val="21"/>
                <w:szCs w:val="21"/>
                <w:color w:val="auto"/>
              </w:rPr>
            </w:pPr>
          </w:p>
        </w:tc>
        <w:tc>
          <w:tcPr>
            <w:tcW w:w="260" w:type="dxa"/>
            <w:vAlign w:val="bottom"/>
            <w:shd w:val="clear" w:color="auto" w:fill="EDF0FC"/>
          </w:tcPr>
          <w:p>
            <w:pPr>
              <w:spacing w:after="0"/>
              <w:rPr>
                <w:sz w:val="21"/>
                <w:szCs w:val="21"/>
                <w:color w:val="auto"/>
              </w:rPr>
            </w:pPr>
          </w:p>
        </w:tc>
        <w:tc>
          <w:tcPr>
            <w:tcW w:w="2540" w:type="dxa"/>
            <w:vAlign w:val="bottom"/>
            <w:shd w:val="clear" w:color="auto" w:fill="EDF0FC"/>
          </w:tcPr>
          <w:p>
            <w:pPr>
              <w:spacing w:after="0"/>
              <w:rPr>
                <w:sz w:val="21"/>
                <w:szCs w:val="21"/>
                <w:color w:val="auto"/>
              </w:rPr>
            </w:pPr>
          </w:p>
        </w:tc>
        <w:tc>
          <w:tcPr>
            <w:tcW w:w="20" w:type="dxa"/>
            <w:vAlign w:val="bottom"/>
            <w:shd w:val="clear" w:color="auto" w:fill="1A3FD6"/>
          </w:tcPr>
          <w:p>
            <w:pPr>
              <w:spacing w:after="0"/>
              <w:rPr>
                <w:sz w:val="21"/>
                <w:szCs w:val="21"/>
                <w:color w:val="auto"/>
              </w:rPr>
            </w:pPr>
          </w:p>
        </w:tc>
        <w:tc>
          <w:tcPr>
            <w:tcW w:w="2780" w:type="dxa"/>
            <w:vAlign w:val="bottom"/>
            <w:shd w:val="clear" w:color="auto" w:fill="EDF0FC"/>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Investors provided valuable comments and perspectives during our Corporate Responsibility Roadshow. We discussed topics including business strategy, talent development, sustainability considerations, and the structure, composition, evaluation and refreshment practices of our Board. We gained constructive feedback during these meetings, which was shared with our Board and management to drive continuing improvements in our corporate responsibility efforts.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Please see page 65 of this Proxy Statement for additional information on our engagement efforts specific to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45" w:name="page46"/>
    <w:bookmarkEnd w:id="45"/>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44</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Oversight by our Board</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Risk Oversight Responsibilities and Processes</w:t>
      </w:r>
    </w:p>
    <w:p>
      <w:pPr>
        <w:spacing w:after="0" w:line="20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Board is responsible for, and committed to, the oversight of MSCI’s long-term strategic plan and significant enterprise-wide risks. In carrying out this responsibility, the Board’s role in risk oversight is consistent with the Company’s leadership structure, with management having day-to-day responsibility for identifying, evaluating and managing the Company’s risk exposure and the Board having the ultimate responsibility for overseeing risk management governance, with a focus on the Company’s most significant risks.</w:t>
      </w:r>
    </w:p>
    <w:p>
      <w:pPr>
        <w:spacing w:after="0" w:line="5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risks described include those formally monitored at a Board or committee level, as part of the enterprise risk management (“ERM”) program or pursuant to committee charters. These risks do not represent a complete list of all risks that are considered and addressed from time to time by the Board, its committees or MSCI management. For more information on risks that affect our business, please see our most recent Annual Report on Form 10-K and other filings we make with the SEC.</w:t>
      </w:r>
    </w:p>
    <w:p>
      <w:pPr>
        <w:sectPr>
          <w:pgSz w:w="11900" w:h="16838" w:orient="portrait"/>
          <w:cols w:equalWidth="0" w:num="1">
            <w:col w:w="11160"/>
          </w:cols>
          <w:pgMar w:left="320" w:top="292" w:right="419" w:bottom="1440" w:gutter="0" w:footer="0" w:header="0"/>
        </w:sectPr>
      </w:pPr>
    </w:p>
    <w:p>
      <w:pPr>
        <w:spacing w:after="0" w:line="6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Enterprise Risk Management Program</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ERM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334327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20" w:lineRule="exact"/>
        <w:rPr>
          <w:sz w:val="20"/>
          <w:szCs w:val="20"/>
          <w:color w:val="auto"/>
        </w:rPr>
      </w:pPr>
    </w:p>
    <w:p>
      <w:pPr>
        <w:ind w:left="360" w:right="12" w:hanging="204"/>
        <w:spacing w:after="0" w:line="282" w:lineRule="auto"/>
        <w:tabs>
          <w:tab w:leader="none" w:pos="357" w:val="left"/>
        </w:tabs>
        <w:numPr>
          <w:ilvl w:val="0"/>
          <w:numId w:val="47"/>
        </w:numPr>
        <w:rPr>
          <w:rFonts w:ascii="Arial" w:cs="Arial" w:eastAsia="Arial" w:hAnsi="Arial"/>
          <w:sz w:val="16"/>
          <w:szCs w:val="16"/>
          <w:color w:val="1A3FD6"/>
        </w:rPr>
      </w:pPr>
      <w:r>
        <w:rPr>
          <w:rFonts w:ascii="Arial" w:cs="Arial" w:eastAsia="Arial" w:hAnsi="Arial"/>
          <w:sz w:val="16"/>
          <w:szCs w:val="16"/>
          <w:color w:val="auto"/>
        </w:rPr>
        <w:t>Evaluates risk in numerous areas within MSCI, including technology; cybersecurity, privacy and data protection; clients; people, including talent management; financial resilience; legal, regulatory and compliance; and corporate responsibility, including climate-related risks</w:t>
      </w:r>
    </w:p>
    <w:p>
      <w:pPr>
        <w:spacing w:after="0" w:line="26" w:lineRule="exact"/>
        <w:rPr>
          <w:rFonts w:ascii="Arial" w:cs="Arial" w:eastAsia="Arial" w:hAnsi="Arial"/>
          <w:sz w:val="16"/>
          <w:szCs w:val="16"/>
          <w:color w:val="1A3FD6"/>
        </w:rPr>
      </w:pPr>
    </w:p>
    <w:p>
      <w:pPr>
        <w:ind w:left="360" w:right="312" w:hanging="204"/>
        <w:spacing w:after="0" w:line="304" w:lineRule="auto"/>
        <w:tabs>
          <w:tab w:leader="none" w:pos="357" w:val="left"/>
        </w:tabs>
        <w:numPr>
          <w:ilvl w:val="0"/>
          <w:numId w:val="47"/>
        </w:numPr>
        <w:rPr>
          <w:rFonts w:ascii="Arial" w:cs="Arial" w:eastAsia="Arial" w:hAnsi="Arial"/>
          <w:sz w:val="16"/>
          <w:szCs w:val="16"/>
          <w:color w:val="1A3FD6"/>
        </w:rPr>
      </w:pPr>
      <w:r>
        <w:rPr>
          <w:rFonts w:ascii="Arial" w:cs="Arial" w:eastAsia="Arial" w:hAnsi="Arial"/>
          <w:sz w:val="16"/>
          <w:szCs w:val="16"/>
          <w:color w:val="auto"/>
        </w:rPr>
        <w:t>Informed by our management-level Enterprise Risk Oversight Committee (“EROC”), chaired by our CFO</w:t>
      </w:r>
    </w:p>
    <w:p>
      <w:pPr>
        <w:spacing w:after="0" w:line="6" w:lineRule="exact"/>
        <w:rPr>
          <w:rFonts w:ascii="Arial" w:cs="Arial" w:eastAsia="Arial" w:hAnsi="Arial"/>
          <w:sz w:val="16"/>
          <w:szCs w:val="16"/>
          <w:color w:val="1A3FD6"/>
        </w:rPr>
      </w:pPr>
    </w:p>
    <w:p>
      <w:pPr>
        <w:ind w:left="360" w:right="92" w:hanging="204"/>
        <w:spacing w:after="0" w:line="289" w:lineRule="auto"/>
        <w:tabs>
          <w:tab w:leader="none" w:pos="357" w:val="left"/>
        </w:tabs>
        <w:numPr>
          <w:ilvl w:val="0"/>
          <w:numId w:val="47"/>
        </w:numPr>
        <w:rPr>
          <w:rFonts w:ascii="Arial" w:cs="Arial" w:eastAsia="Arial" w:hAnsi="Arial"/>
          <w:sz w:val="16"/>
          <w:szCs w:val="16"/>
          <w:color w:val="1A3FD6"/>
        </w:rPr>
      </w:pPr>
      <w:r>
        <w:rPr>
          <w:rFonts w:ascii="Arial" w:cs="Arial" w:eastAsia="Arial" w:hAnsi="Arial"/>
          <w:sz w:val="16"/>
          <w:szCs w:val="16"/>
          <w:color w:val="auto"/>
        </w:rPr>
        <w:t>Provides the flexibility to make changes and to identify new risks on an on-going basis, and senior leaders engage with the CFO and Enterprise Risk Management Officer to escalate risks as appropriate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1A3FD6"/>
        </w:rPr>
        <w:t>ERM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46355</wp:posOffset>
            </wp:positionV>
            <wp:extent cx="356616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20" w:lineRule="exact"/>
        <w:rPr>
          <w:sz w:val="20"/>
          <w:szCs w:val="20"/>
          <w:color w:val="auto"/>
        </w:rPr>
      </w:pPr>
    </w:p>
    <w:p>
      <w:pPr>
        <w:ind w:left="188" w:right="160" w:hanging="188"/>
        <w:spacing w:after="0" w:line="289" w:lineRule="auto"/>
        <w:tabs>
          <w:tab w:leader="none" w:pos="186" w:val="left"/>
        </w:tabs>
        <w:numPr>
          <w:ilvl w:val="0"/>
          <w:numId w:val="48"/>
        </w:numPr>
        <w:rPr>
          <w:rFonts w:ascii="Arial" w:cs="Arial" w:eastAsia="Arial" w:hAnsi="Arial"/>
          <w:sz w:val="16"/>
          <w:szCs w:val="16"/>
          <w:color w:val="1A3FD6"/>
        </w:rPr>
      </w:pPr>
      <w:r>
        <w:rPr>
          <w:rFonts w:ascii="Arial" w:cs="Arial" w:eastAsia="Arial" w:hAnsi="Arial"/>
          <w:sz w:val="16"/>
          <w:szCs w:val="16"/>
          <w:color w:val="auto"/>
        </w:rPr>
        <w:t>A quarterly and ongoing process designed to identify, assess and manage MSCI’s risk exposures over the short-, intermediate and long-term, including by consideration of a variety of factors as part of a single risk-assessment framework that considers:</w:t>
      </w:r>
    </w:p>
    <w:p>
      <w:pPr>
        <w:spacing w:after="0" w:line="4" w:lineRule="exact"/>
        <w:rPr>
          <w:rFonts w:ascii="Arial" w:cs="Arial" w:eastAsia="Arial" w:hAnsi="Arial"/>
          <w:sz w:val="16"/>
          <w:szCs w:val="16"/>
          <w:color w:val="1A3FD6"/>
        </w:rPr>
      </w:pPr>
    </w:p>
    <w:p>
      <w:pPr>
        <w:ind w:left="388" w:hanging="194"/>
        <w:spacing w:after="0"/>
        <w:tabs>
          <w:tab w:leader="none" w:pos="388" w:val="left"/>
        </w:tabs>
        <w:numPr>
          <w:ilvl w:val="1"/>
          <w:numId w:val="48"/>
        </w:numPr>
        <w:rPr>
          <w:rFonts w:ascii="Arial" w:cs="Arial" w:eastAsia="Arial" w:hAnsi="Arial"/>
          <w:sz w:val="16"/>
          <w:szCs w:val="16"/>
          <w:color w:val="1A3FD6"/>
        </w:rPr>
      </w:pPr>
      <w:r>
        <w:rPr>
          <w:rFonts w:ascii="Arial" w:cs="Arial" w:eastAsia="Arial" w:hAnsi="Arial"/>
          <w:sz w:val="16"/>
          <w:szCs w:val="16"/>
          <w:color w:val="auto"/>
        </w:rPr>
        <w:t>velocity, or potential speed of onset, of a risk,</w:t>
      </w:r>
    </w:p>
    <w:p>
      <w:pPr>
        <w:spacing w:after="0" w:line="86" w:lineRule="exact"/>
        <w:rPr>
          <w:rFonts w:ascii="Arial" w:cs="Arial" w:eastAsia="Arial" w:hAnsi="Arial"/>
          <w:sz w:val="16"/>
          <w:szCs w:val="16"/>
          <w:color w:val="1A3FD6"/>
        </w:rPr>
      </w:pPr>
    </w:p>
    <w:p>
      <w:pPr>
        <w:ind w:left="388" w:hanging="194"/>
        <w:spacing w:after="0"/>
        <w:tabs>
          <w:tab w:leader="none" w:pos="388" w:val="left"/>
        </w:tabs>
        <w:numPr>
          <w:ilvl w:val="1"/>
          <w:numId w:val="48"/>
        </w:numPr>
        <w:rPr>
          <w:rFonts w:ascii="Arial" w:cs="Arial" w:eastAsia="Arial" w:hAnsi="Arial"/>
          <w:sz w:val="16"/>
          <w:szCs w:val="16"/>
          <w:color w:val="1A3FD6"/>
        </w:rPr>
      </w:pPr>
      <w:r>
        <w:rPr>
          <w:rFonts w:ascii="Arial" w:cs="Arial" w:eastAsia="Arial" w:hAnsi="Arial"/>
          <w:sz w:val="16"/>
          <w:szCs w:val="16"/>
          <w:color w:val="auto"/>
        </w:rPr>
        <w:t>impact of a risk, and</w:t>
      </w:r>
    </w:p>
    <w:p>
      <w:pPr>
        <w:spacing w:after="0" w:line="72" w:lineRule="exact"/>
        <w:rPr>
          <w:rFonts w:ascii="Arial" w:cs="Arial" w:eastAsia="Arial" w:hAnsi="Arial"/>
          <w:sz w:val="16"/>
          <w:szCs w:val="16"/>
          <w:color w:val="1A3FD6"/>
        </w:rPr>
      </w:pPr>
    </w:p>
    <w:p>
      <w:pPr>
        <w:ind w:left="388" w:hanging="194"/>
        <w:spacing w:after="0"/>
        <w:tabs>
          <w:tab w:leader="none" w:pos="388" w:val="left"/>
        </w:tabs>
        <w:numPr>
          <w:ilvl w:val="1"/>
          <w:numId w:val="48"/>
        </w:numPr>
        <w:rPr>
          <w:rFonts w:ascii="Arial" w:cs="Arial" w:eastAsia="Arial" w:hAnsi="Arial"/>
          <w:sz w:val="16"/>
          <w:szCs w:val="16"/>
          <w:color w:val="1A3FD6"/>
        </w:rPr>
      </w:pPr>
      <w:r>
        <w:rPr>
          <w:rFonts w:ascii="Arial" w:cs="Arial" w:eastAsia="Arial" w:hAnsi="Arial"/>
          <w:sz w:val="16"/>
          <w:szCs w:val="16"/>
          <w:color w:val="auto"/>
        </w:rPr>
        <w:t>likelihood of a risk</w:t>
      </w:r>
    </w:p>
    <w:p>
      <w:pPr>
        <w:spacing w:after="0" w:line="86" w:lineRule="exact"/>
        <w:rPr>
          <w:rFonts w:ascii="Arial" w:cs="Arial" w:eastAsia="Arial" w:hAnsi="Arial"/>
          <w:sz w:val="16"/>
          <w:szCs w:val="16"/>
          <w:color w:val="1A3FD6"/>
        </w:rPr>
      </w:pPr>
    </w:p>
    <w:p>
      <w:pPr>
        <w:ind w:left="188" w:right="200" w:hanging="188"/>
        <w:spacing w:after="0" w:line="292" w:lineRule="auto"/>
        <w:tabs>
          <w:tab w:leader="none" w:pos="186" w:val="left"/>
        </w:tabs>
        <w:numPr>
          <w:ilvl w:val="0"/>
          <w:numId w:val="48"/>
        </w:numPr>
        <w:rPr>
          <w:rFonts w:ascii="Arial" w:cs="Arial" w:eastAsia="Arial" w:hAnsi="Arial"/>
          <w:sz w:val="16"/>
          <w:szCs w:val="16"/>
          <w:color w:val="1A3FD6"/>
        </w:rPr>
      </w:pPr>
      <w:r>
        <w:rPr>
          <w:rFonts w:ascii="Arial" w:cs="Arial" w:eastAsia="Arial" w:hAnsi="Arial"/>
          <w:sz w:val="16"/>
          <w:szCs w:val="16"/>
          <w:color w:val="auto"/>
        </w:rPr>
        <w:t>On a quarterly basis, the Audit Committee is updated on MSCI’s ERM program by our Enterprise Risk Management Officer, including an overview of risks and trends</w:t>
      </w:r>
    </w:p>
    <w:p>
      <w:pPr>
        <w:spacing w:after="0" w:line="16" w:lineRule="exact"/>
        <w:rPr>
          <w:rFonts w:ascii="Arial" w:cs="Arial" w:eastAsia="Arial" w:hAnsi="Arial"/>
          <w:sz w:val="16"/>
          <w:szCs w:val="16"/>
          <w:color w:val="1A3FD6"/>
        </w:rPr>
      </w:pPr>
    </w:p>
    <w:p>
      <w:pPr>
        <w:ind w:left="188" w:right="680" w:hanging="188"/>
        <w:spacing w:after="0" w:line="304" w:lineRule="auto"/>
        <w:tabs>
          <w:tab w:leader="none" w:pos="186" w:val="left"/>
        </w:tabs>
        <w:numPr>
          <w:ilvl w:val="0"/>
          <w:numId w:val="48"/>
        </w:numPr>
        <w:rPr>
          <w:rFonts w:ascii="Arial" w:cs="Arial" w:eastAsia="Arial" w:hAnsi="Arial"/>
          <w:sz w:val="16"/>
          <w:szCs w:val="16"/>
          <w:color w:val="1A3FD6"/>
        </w:rPr>
      </w:pPr>
      <w:r>
        <w:rPr>
          <w:rFonts w:ascii="Arial" w:cs="Arial" w:eastAsia="Arial" w:hAnsi="Arial"/>
          <w:sz w:val="16"/>
          <w:szCs w:val="16"/>
          <w:color w:val="auto"/>
        </w:rPr>
        <w:t>The Chair of the Audit Committee informs the Board of any key updates during reports to the Board</w:t>
      </w:r>
    </w:p>
    <w:p>
      <w:pPr>
        <w:spacing w:after="0" w:line="200" w:lineRule="exact"/>
        <w:rPr>
          <w:sz w:val="20"/>
          <w:szCs w:val="20"/>
          <w:color w:val="auto"/>
        </w:rPr>
      </w:pPr>
    </w:p>
    <w:p>
      <w:pPr>
        <w:sectPr>
          <w:pgSz w:w="11900" w:h="16838" w:orient="portrait"/>
          <w:cols w:equalWidth="0" w:num="2">
            <w:col w:w="5052" w:space="720"/>
            <w:col w:w="5388"/>
          </w:cols>
          <w:pgMar w:left="320" w:top="292" w:right="41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Role of the Board, Committees and Management</w:t>
      </w:r>
    </w:p>
    <w:p>
      <w:pPr>
        <w:spacing w:after="0" w:line="10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order to maintain effective Board oversight, the Board delegates to its committees certain elements of its oversight function, as described below. The Board then receives regular updates from its committees on individual categories of risk, including strategy, reputation, operations, sustainability, corporate responsibility, people, technology, data, legal and regulatory. Senior management regularly interact with, and report to, the Board and its committees on risk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685165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92" w:right="41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8420"/>
              <w:spacing w:after="0"/>
              <w:rPr>
                <w:sz w:val="20"/>
                <w:szCs w:val="20"/>
                <w:color w:val="auto"/>
              </w:rPr>
            </w:pPr>
            <w:r>
              <w:rPr>
                <w:rFonts w:ascii="Arial" w:cs="Arial" w:eastAsia="Arial" w:hAnsi="Arial"/>
                <w:sz w:val="14"/>
                <w:szCs w:val="14"/>
                <w:b w:val="1"/>
                <w:bCs w:val="1"/>
                <w:color w:val="1A3FD6"/>
              </w:rPr>
              <w:t>Corporate Governance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45</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15175" cy="11315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15175" cy="113157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Board of Directors</w:t>
      </w:r>
    </w:p>
    <w:p>
      <w:pPr>
        <w:spacing w:after="0" w:line="347" w:lineRule="exact"/>
        <w:rPr>
          <w:sz w:val="20"/>
          <w:szCs w:val="20"/>
          <w:color w:val="auto"/>
        </w:rPr>
      </w:pPr>
    </w:p>
    <w:p>
      <w:pPr>
        <w:ind w:left="220" w:right="440"/>
        <w:spacing w:after="0" w:line="325" w:lineRule="auto"/>
        <w:rPr>
          <w:sz w:val="20"/>
          <w:szCs w:val="20"/>
          <w:color w:val="auto"/>
        </w:rPr>
      </w:pPr>
      <w:r>
        <w:rPr>
          <w:rFonts w:ascii="Arial" w:cs="Arial" w:eastAsia="Arial" w:hAnsi="Arial"/>
          <w:sz w:val="14"/>
          <w:szCs w:val="14"/>
          <w:color w:val="auto"/>
        </w:rPr>
        <w:t>The full Board reviews the risks associated with MSCI’s strategic plan and discusses the appropriate levels of risk in light of MSCI’s business objectives. This review is done through an annual strategy review process and from time-to-time throughout the year as part of the Board’s ongoing review of corporate strategy.</w:t>
      </w:r>
    </w:p>
    <w:p>
      <w:pPr>
        <w:spacing w:after="0" w:line="50" w:lineRule="exact"/>
        <w:rPr>
          <w:sz w:val="20"/>
          <w:szCs w:val="20"/>
          <w:color w:val="auto"/>
        </w:rPr>
      </w:pPr>
    </w:p>
    <w:p>
      <w:pPr>
        <w:ind w:left="220" w:right="760"/>
        <w:spacing w:after="0" w:line="325" w:lineRule="auto"/>
        <w:rPr>
          <w:sz w:val="20"/>
          <w:szCs w:val="20"/>
          <w:color w:val="auto"/>
        </w:rPr>
      </w:pPr>
      <w:r>
        <w:rPr>
          <w:rFonts w:ascii="Arial" w:cs="Arial" w:eastAsia="Arial" w:hAnsi="Arial"/>
          <w:sz w:val="14"/>
          <w:szCs w:val="14"/>
          <w:color w:val="auto"/>
        </w:rPr>
        <w:t>On an ongoing basis, the Board receives quarterly written reports on enterprise-level risks and receives regular reports from each of its committees on their areas of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15175" cy="49549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15175" cy="495490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FFFFFF"/>
        </w:rPr>
        <w:t>Committees</w:t>
      </w:r>
    </w:p>
    <w:p>
      <w:pPr>
        <w:spacing w:after="0" w:line="239" w:lineRule="exact"/>
        <w:rPr>
          <w:sz w:val="20"/>
          <w:szCs w:val="20"/>
          <w:color w:val="auto"/>
        </w:rPr>
      </w:pPr>
    </w:p>
    <w:p>
      <w:pPr>
        <w:ind w:left="220" w:right="380"/>
        <w:spacing w:after="0" w:line="287" w:lineRule="auto"/>
        <w:rPr>
          <w:sz w:val="20"/>
          <w:szCs w:val="20"/>
          <w:color w:val="auto"/>
        </w:rPr>
      </w:pPr>
      <w:r>
        <w:rPr>
          <w:rFonts w:ascii="Arial" w:cs="Arial" w:eastAsia="Arial" w:hAnsi="Arial"/>
          <w:sz w:val="14"/>
          <w:szCs w:val="14"/>
          <w:color w:val="auto"/>
        </w:rPr>
        <w:t>Committees are responsible for monitoring and reporting to the full Board on risks associated with their respective areas of oversight. In connection with its oversight responsibilities, each Committee meets with the members of management who are primarily responsible for the management of risk in their respective areas, including, among others, MSCI’s CFO, Chief Human Resources Officer, General Counsel and Head of Corporate Affairs, Corporate Secretary, Head of Compliance, Head of Government and Regulatory Affairs, Chief Technology Officer, Chief Information Security Officer, Chief Responsibility Officer, Global Controller, Head of Tax, Head of Internal Audit and Enterprise Risk Management Officer.</w:t>
      </w:r>
    </w:p>
    <w:p>
      <w:pPr>
        <w:sectPr>
          <w:pgSz w:w="11900" w:h="16838" w:orient="portrait"/>
          <w:cols w:equalWidth="0" w:num="1">
            <w:col w:w="11240"/>
          </w:cols>
          <w:pgMar w:left="320" w:top="167" w:right="339" w:bottom="1440" w:gutter="0" w:footer="0" w:header="0"/>
        </w:sectPr>
      </w:pPr>
    </w:p>
    <w:p>
      <w:pPr>
        <w:spacing w:after="0" w:line="166" w:lineRule="exact"/>
        <w:rPr>
          <w:sz w:val="20"/>
          <w:szCs w:val="20"/>
          <w:color w:val="auto"/>
        </w:rPr>
      </w:pPr>
    </w:p>
    <w:p>
      <w:pPr>
        <w:jc w:val="center"/>
        <w:ind w:left="460"/>
        <w:spacing w:after="0"/>
        <w:rPr>
          <w:sz w:val="20"/>
          <w:szCs w:val="20"/>
          <w:color w:val="auto"/>
        </w:rPr>
      </w:pPr>
      <w:r>
        <w:rPr>
          <w:rFonts w:ascii="Arial" w:cs="Arial" w:eastAsia="Arial" w:hAnsi="Arial"/>
          <w:sz w:val="22"/>
          <w:szCs w:val="22"/>
          <w:b w:val="1"/>
          <w:bCs w:val="1"/>
          <w:color w:val="1A3FD6"/>
        </w:rPr>
        <w:t>Compensation Committee</w:t>
      </w:r>
    </w:p>
    <w:p>
      <w:pPr>
        <w:spacing w:after="0" w:line="90" w:lineRule="exact"/>
        <w:rPr>
          <w:sz w:val="20"/>
          <w:szCs w:val="20"/>
          <w:color w:val="auto"/>
        </w:rPr>
      </w:pPr>
    </w:p>
    <w:p>
      <w:pPr>
        <w:ind w:left="420" w:right="120" w:hanging="192"/>
        <w:spacing w:after="0" w:line="285" w:lineRule="auto"/>
        <w:tabs>
          <w:tab w:leader="none" w:pos="411" w:val="left"/>
        </w:tabs>
        <w:numPr>
          <w:ilvl w:val="0"/>
          <w:numId w:val="49"/>
        </w:numPr>
        <w:rPr>
          <w:rFonts w:ascii="Arial" w:cs="Arial" w:eastAsia="Arial" w:hAnsi="Arial"/>
          <w:sz w:val="14"/>
          <w:szCs w:val="14"/>
          <w:color w:val="1A3FD6"/>
        </w:rPr>
      </w:pPr>
      <w:r>
        <w:rPr>
          <w:rFonts w:ascii="Arial" w:cs="Arial" w:eastAsia="Arial" w:hAnsi="Arial"/>
          <w:sz w:val="14"/>
          <w:szCs w:val="14"/>
          <w:color w:val="auto"/>
        </w:rPr>
        <w:t>Oversees risks associated with MSCI’s compensation practices (including reviewing whether any risks arising from MSCI’s compensation practices are reasonably likely to have a material adverse effect on MSCI) in consultation with external compensation consultants</w:t>
      </w:r>
    </w:p>
    <w:p>
      <w:pPr>
        <w:spacing w:after="0" w:line="25" w:lineRule="exact"/>
        <w:rPr>
          <w:rFonts w:ascii="Arial" w:cs="Arial" w:eastAsia="Arial" w:hAnsi="Arial"/>
          <w:sz w:val="14"/>
          <w:szCs w:val="14"/>
          <w:color w:val="1A3FD6"/>
        </w:rPr>
      </w:pPr>
    </w:p>
    <w:p>
      <w:pPr>
        <w:ind w:left="420" w:hanging="192"/>
        <w:spacing w:after="0" w:line="305" w:lineRule="auto"/>
        <w:tabs>
          <w:tab w:leader="none" w:pos="411" w:val="left"/>
        </w:tabs>
        <w:numPr>
          <w:ilvl w:val="0"/>
          <w:numId w:val="49"/>
        </w:numPr>
        <w:rPr>
          <w:rFonts w:ascii="Arial" w:cs="Arial" w:eastAsia="Arial" w:hAnsi="Arial"/>
          <w:sz w:val="14"/>
          <w:szCs w:val="14"/>
          <w:color w:val="1A3FD6"/>
        </w:rPr>
      </w:pPr>
      <w:r>
        <w:rPr>
          <w:rFonts w:ascii="Arial" w:cs="Arial" w:eastAsia="Arial" w:hAnsi="Arial"/>
          <w:sz w:val="14"/>
          <w:szCs w:val="14"/>
          <w:color w:val="auto"/>
        </w:rPr>
        <w:t>Oversees risks associated with MSCI’s workforce and talent strategies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437"/>
        <w:spacing w:after="0"/>
        <w:rPr>
          <w:sz w:val="20"/>
          <w:szCs w:val="20"/>
          <w:color w:val="auto"/>
        </w:rPr>
      </w:pPr>
      <w:r>
        <w:rPr>
          <w:rFonts w:ascii="Arial" w:cs="Arial" w:eastAsia="Arial" w:hAnsi="Arial"/>
          <w:sz w:val="22"/>
          <w:szCs w:val="22"/>
          <w:b w:val="1"/>
          <w:bCs w:val="1"/>
          <w:color w:val="1A3FD6"/>
        </w:rPr>
        <w:t>Governance Committee</w:t>
      </w:r>
    </w:p>
    <w:p>
      <w:pPr>
        <w:spacing w:after="0" w:line="90" w:lineRule="exact"/>
        <w:rPr>
          <w:sz w:val="20"/>
          <w:szCs w:val="20"/>
          <w:color w:val="auto"/>
        </w:rPr>
      </w:pPr>
    </w:p>
    <w:p>
      <w:pPr>
        <w:ind w:left="197" w:right="60" w:hanging="197"/>
        <w:spacing w:after="0" w:line="287" w:lineRule="auto"/>
        <w:tabs>
          <w:tab w:leader="none" w:pos="188" w:val="left"/>
        </w:tabs>
        <w:numPr>
          <w:ilvl w:val="0"/>
          <w:numId w:val="50"/>
        </w:numPr>
        <w:rPr>
          <w:rFonts w:ascii="Arial" w:cs="Arial" w:eastAsia="Arial" w:hAnsi="Arial"/>
          <w:sz w:val="14"/>
          <w:szCs w:val="14"/>
          <w:color w:val="1A3FD6"/>
        </w:rPr>
      </w:pPr>
      <w:r>
        <w:rPr>
          <w:rFonts w:ascii="Arial" w:cs="Arial" w:eastAsia="Arial" w:hAnsi="Arial"/>
          <w:sz w:val="14"/>
          <w:szCs w:val="14"/>
          <w:color w:val="auto"/>
        </w:rPr>
        <w:t>Oversees risks related to our overall corporate governance (including the effectiveness, structure and succession of the Board), related person transactions and political activities practices and disclosure</w:t>
      </w:r>
    </w:p>
    <w:p>
      <w:pPr>
        <w:spacing w:after="0" w:line="22" w:lineRule="exact"/>
        <w:rPr>
          <w:rFonts w:ascii="Arial" w:cs="Arial" w:eastAsia="Arial" w:hAnsi="Arial"/>
          <w:sz w:val="14"/>
          <w:szCs w:val="14"/>
          <w:color w:val="1A3FD6"/>
        </w:rPr>
      </w:pPr>
    </w:p>
    <w:p>
      <w:pPr>
        <w:ind w:left="197" w:right="80" w:hanging="197"/>
        <w:spacing w:after="0" w:line="281" w:lineRule="auto"/>
        <w:tabs>
          <w:tab w:leader="none" w:pos="188" w:val="left"/>
        </w:tabs>
        <w:numPr>
          <w:ilvl w:val="0"/>
          <w:numId w:val="50"/>
        </w:numPr>
        <w:rPr>
          <w:rFonts w:ascii="Arial" w:cs="Arial" w:eastAsia="Arial" w:hAnsi="Arial"/>
          <w:sz w:val="14"/>
          <w:szCs w:val="14"/>
          <w:color w:val="1A3FD6"/>
        </w:rPr>
      </w:pPr>
      <w:r>
        <w:rPr>
          <w:rFonts w:ascii="Arial" w:cs="Arial" w:eastAsia="Arial" w:hAnsi="Arial"/>
          <w:sz w:val="14"/>
          <w:szCs w:val="14"/>
          <w:color w:val="auto"/>
        </w:rPr>
        <w:t>Monitors evolving risks related to corporate responsibility strategy, including environmental and sustainability matters,</w:t>
      </w:r>
    </w:p>
    <w:p>
      <w:pPr>
        <w:spacing w:after="0" w:line="2" w:lineRule="exact"/>
        <w:rPr>
          <w:rFonts w:ascii="Arial" w:cs="Arial" w:eastAsia="Arial" w:hAnsi="Arial"/>
          <w:sz w:val="14"/>
          <w:szCs w:val="14"/>
          <w:color w:val="1A3FD6"/>
        </w:rPr>
      </w:pPr>
    </w:p>
    <w:p>
      <w:pPr>
        <w:ind w:left="197"/>
        <w:spacing w:after="0"/>
        <w:rPr>
          <w:rFonts w:ascii="Arial" w:cs="Arial" w:eastAsia="Arial" w:hAnsi="Arial"/>
          <w:sz w:val="14"/>
          <w:szCs w:val="14"/>
          <w:color w:val="1A3FD6"/>
        </w:rPr>
      </w:pPr>
      <w:r>
        <w:rPr>
          <w:rFonts w:ascii="Arial" w:cs="Arial" w:eastAsia="Arial" w:hAnsi="Arial"/>
          <w:sz w:val="14"/>
          <w:szCs w:val="14"/>
          <w:color w:val="auto"/>
        </w:rPr>
        <w:t>programs and reporting</w:t>
      </w:r>
    </w:p>
    <w:p>
      <w:pPr>
        <w:spacing w:after="0" w:line="68" w:lineRule="exact"/>
        <w:rPr>
          <w:rFonts w:ascii="Arial" w:cs="Arial" w:eastAsia="Arial" w:hAnsi="Arial"/>
          <w:sz w:val="14"/>
          <w:szCs w:val="14"/>
          <w:color w:val="1A3FD6"/>
        </w:rPr>
      </w:pPr>
    </w:p>
    <w:p>
      <w:pPr>
        <w:ind w:left="197" w:right="260" w:hanging="197"/>
        <w:spacing w:after="0" w:line="322" w:lineRule="auto"/>
        <w:tabs>
          <w:tab w:leader="none" w:pos="188" w:val="left"/>
        </w:tabs>
        <w:numPr>
          <w:ilvl w:val="0"/>
          <w:numId w:val="50"/>
        </w:numPr>
        <w:rPr>
          <w:rFonts w:ascii="Arial" w:cs="Arial" w:eastAsia="Arial" w:hAnsi="Arial"/>
          <w:sz w:val="14"/>
          <w:szCs w:val="14"/>
          <w:color w:val="1A3FD6"/>
        </w:rPr>
      </w:pPr>
      <w:r>
        <w:rPr>
          <w:rFonts w:ascii="Arial" w:cs="Arial" w:eastAsia="Arial" w:hAnsi="Arial"/>
          <w:sz w:val="14"/>
          <w:szCs w:val="14"/>
          <w:color w:val="auto"/>
        </w:rPr>
        <w:t>Receives annual reports on our Compliance program, risks and priorities</w:t>
      </w:r>
    </w:p>
    <w:p>
      <w:pPr>
        <w:ind w:left="197" w:hanging="197"/>
        <w:spacing w:after="0" w:line="325" w:lineRule="auto"/>
        <w:tabs>
          <w:tab w:leader="none" w:pos="188" w:val="left"/>
        </w:tabs>
        <w:numPr>
          <w:ilvl w:val="0"/>
          <w:numId w:val="50"/>
        </w:numPr>
        <w:rPr>
          <w:rFonts w:ascii="Arial" w:cs="Arial" w:eastAsia="Arial" w:hAnsi="Arial"/>
          <w:sz w:val="14"/>
          <w:szCs w:val="14"/>
          <w:color w:val="1A3FD6"/>
        </w:rPr>
      </w:pPr>
      <w:r>
        <w:rPr>
          <w:rFonts w:ascii="Arial" w:cs="Arial" w:eastAsia="Arial" w:hAnsi="Arial"/>
          <w:sz w:val="14"/>
          <w:szCs w:val="14"/>
          <w:color w:val="auto"/>
        </w:rPr>
        <w:t>Receives annual updates on governance trends and benchmarking of peers and best practices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394"/>
        <w:spacing w:after="0"/>
        <w:rPr>
          <w:sz w:val="20"/>
          <w:szCs w:val="20"/>
          <w:color w:val="auto"/>
        </w:rPr>
      </w:pPr>
      <w:r>
        <w:rPr>
          <w:rFonts w:ascii="Arial" w:cs="Arial" w:eastAsia="Arial" w:hAnsi="Arial"/>
          <w:sz w:val="22"/>
          <w:szCs w:val="22"/>
          <w:b w:val="1"/>
          <w:bCs w:val="1"/>
          <w:color w:val="1A3FD6"/>
        </w:rPr>
        <w:t>Strategy Committee</w:t>
      </w:r>
    </w:p>
    <w:p>
      <w:pPr>
        <w:spacing w:after="0" w:line="90" w:lineRule="exact"/>
        <w:rPr>
          <w:sz w:val="20"/>
          <w:szCs w:val="20"/>
          <w:color w:val="auto"/>
        </w:rPr>
      </w:pPr>
    </w:p>
    <w:p>
      <w:pPr>
        <w:ind w:left="186" w:right="320" w:hanging="186"/>
        <w:spacing w:after="0" w:line="293" w:lineRule="auto"/>
        <w:tabs>
          <w:tab w:leader="none" w:pos="177" w:val="left"/>
        </w:tabs>
        <w:numPr>
          <w:ilvl w:val="0"/>
          <w:numId w:val="51"/>
        </w:numPr>
        <w:rPr>
          <w:rFonts w:ascii="Arial" w:cs="Arial" w:eastAsia="Arial" w:hAnsi="Arial"/>
          <w:sz w:val="14"/>
          <w:szCs w:val="14"/>
          <w:color w:val="1A3FD6"/>
        </w:rPr>
      </w:pPr>
      <w:r>
        <w:rPr>
          <w:rFonts w:ascii="Arial" w:cs="Arial" w:eastAsia="Arial" w:hAnsi="Arial"/>
          <w:sz w:val="14"/>
          <w:szCs w:val="14"/>
          <w:color w:val="auto"/>
        </w:rPr>
        <w:t>Oversees risks related to certain financial matters, including capital allocation, financial planning, credit and liquidity and related policies</w:t>
      </w:r>
    </w:p>
    <w:p>
      <w:pPr>
        <w:spacing w:after="0" w:line="17" w:lineRule="exact"/>
        <w:rPr>
          <w:rFonts w:ascii="Arial" w:cs="Arial" w:eastAsia="Arial" w:hAnsi="Arial"/>
          <w:sz w:val="14"/>
          <w:szCs w:val="14"/>
          <w:color w:val="1A3FD6"/>
        </w:rPr>
      </w:pPr>
    </w:p>
    <w:p>
      <w:pPr>
        <w:ind w:left="186" w:right="280" w:hanging="186"/>
        <w:spacing w:after="0" w:line="303" w:lineRule="auto"/>
        <w:tabs>
          <w:tab w:leader="none" w:pos="177" w:val="left"/>
        </w:tabs>
        <w:numPr>
          <w:ilvl w:val="0"/>
          <w:numId w:val="51"/>
        </w:numPr>
        <w:rPr>
          <w:rFonts w:ascii="Arial" w:cs="Arial" w:eastAsia="Arial" w:hAnsi="Arial"/>
          <w:sz w:val="14"/>
          <w:szCs w:val="14"/>
          <w:color w:val="1A3FD6"/>
        </w:rPr>
      </w:pPr>
      <w:r>
        <w:rPr>
          <w:rFonts w:ascii="Arial" w:cs="Arial" w:eastAsia="Arial" w:hAnsi="Arial"/>
          <w:sz w:val="14"/>
          <w:szCs w:val="14"/>
          <w:color w:val="auto"/>
        </w:rPr>
        <w:t>Monitors and provides guidance on strategic objectives, including on mergers, partnerships and acquisition opportunities, execution and integration</w:t>
      </w:r>
    </w:p>
    <w:p>
      <w:pPr>
        <w:spacing w:after="0" w:line="1632" w:lineRule="exact"/>
        <w:rPr>
          <w:sz w:val="20"/>
          <w:szCs w:val="20"/>
          <w:color w:val="auto"/>
        </w:rPr>
      </w:pPr>
    </w:p>
    <w:p>
      <w:pPr>
        <w:sectPr>
          <w:pgSz w:w="11900" w:h="16838" w:orient="portrait"/>
          <w:cols w:equalWidth="0" w:num="3">
            <w:col w:w="3560" w:space="403"/>
            <w:col w:w="3237" w:space="354"/>
            <w:col w:w="3686"/>
          </w:cols>
          <w:pgMar w:left="320" w:top="167" w:right="339" w:bottom="1440" w:gutter="0" w:footer="0" w:header="0"/>
          <w:type w:val="continuous"/>
        </w:sectPr>
      </w:pPr>
    </w:p>
    <w:p>
      <w:pPr>
        <w:spacing w:after="0" w:line="8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1A3FD6"/>
        </w:rPr>
        <w:t>Audit Committee</w:t>
      </w:r>
    </w:p>
    <w:p>
      <w:pPr>
        <w:spacing w:after="0" w:line="90" w:lineRule="exact"/>
        <w:rPr>
          <w:sz w:val="20"/>
          <w:szCs w:val="20"/>
          <w:color w:val="auto"/>
        </w:rPr>
      </w:pPr>
    </w:p>
    <w:p>
      <w:pPr>
        <w:ind w:left="420" w:hanging="192"/>
        <w:spacing w:after="0"/>
        <w:tabs>
          <w:tab w:leader="none" w:pos="420" w:val="left"/>
        </w:tabs>
        <w:numPr>
          <w:ilvl w:val="0"/>
          <w:numId w:val="52"/>
        </w:numPr>
        <w:rPr>
          <w:rFonts w:ascii="Arial" w:cs="Arial" w:eastAsia="Arial" w:hAnsi="Arial"/>
          <w:sz w:val="14"/>
          <w:szCs w:val="14"/>
          <w:color w:val="1A3FD6"/>
        </w:rPr>
      </w:pPr>
      <w:r>
        <w:rPr>
          <w:rFonts w:ascii="Arial" w:cs="Arial" w:eastAsia="Arial" w:hAnsi="Arial"/>
          <w:sz w:val="14"/>
          <w:szCs w:val="14"/>
          <w:color w:val="auto"/>
        </w:rPr>
        <w:t>Oversees MSCI’s ERM activities, including receiving quarterly reports from the Enterprise Risk Management Officer</w:t>
      </w:r>
    </w:p>
    <w:p>
      <w:pPr>
        <w:spacing w:after="0" w:line="68" w:lineRule="exact"/>
        <w:rPr>
          <w:rFonts w:ascii="Arial" w:cs="Arial" w:eastAsia="Arial" w:hAnsi="Arial"/>
          <w:sz w:val="14"/>
          <w:szCs w:val="14"/>
          <w:color w:val="1A3FD6"/>
        </w:rPr>
      </w:pPr>
    </w:p>
    <w:p>
      <w:pPr>
        <w:ind w:left="420" w:right="580" w:hanging="192"/>
        <w:spacing w:after="0" w:line="322" w:lineRule="auto"/>
        <w:tabs>
          <w:tab w:leader="none" w:pos="411" w:val="left"/>
        </w:tabs>
        <w:numPr>
          <w:ilvl w:val="0"/>
          <w:numId w:val="52"/>
        </w:numPr>
        <w:rPr>
          <w:rFonts w:ascii="Arial" w:cs="Arial" w:eastAsia="Arial" w:hAnsi="Arial"/>
          <w:sz w:val="14"/>
          <w:szCs w:val="14"/>
          <w:color w:val="1A3FD6"/>
        </w:rPr>
      </w:pPr>
      <w:r>
        <w:rPr>
          <w:rFonts w:ascii="Arial" w:cs="Arial" w:eastAsia="Arial" w:hAnsi="Arial"/>
          <w:sz w:val="14"/>
          <w:szCs w:val="14"/>
          <w:color w:val="auto"/>
        </w:rPr>
        <w:t>Oversees MSCI’s accounting and financial reporting processes and the integrity of MSCI’s financial statements and internal controls, including receiving quarterly reports from MSCI’s independent auditor</w:t>
      </w:r>
    </w:p>
    <w:p>
      <w:pPr>
        <w:ind w:left="420" w:right="1100" w:hanging="192"/>
        <w:spacing w:after="0" w:line="322" w:lineRule="auto"/>
        <w:tabs>
          <w:tab w:leader="none" w:pos="411" w:val="left"/>
        </w:tabs>
        <w:numPr>
          <w:ilvl w:val="0"/>
          <w:numId w:val="52"/>
        </w:numPr>
        <w:rPr>
          <w:rFonts w:ascii="Arial" w:cs="Arial" w:eastAsia="Arial" w:hAnsi="Arial"/>
          <w:sz w:val="14"/>
          <w:szCs w:val="14"/>
          <w:color w:val="1A3FD6"/>
        </w:rPr>
      </w:pPr>
      <w:r>
        <w:rPr>
          <w:rFonts w:ascii="Arial" w:cs="Arial" w:eastAsia="Arial" w:hAnsi="Arial"/>
          <w:sz w:val="14"/>
          <w:szCs w:val="14"/>
          <w:color w:val="auto"/>
        </w:rPr>
        <w:t>Oversees MSCI’s technology and cybersecurity risks, with quarterly reports from the Chief Information Security Officer, informed by discussions with, and assessments from, external information security advisors</w:t>
      </w:r>
    </w:p>
    <w:p>
      <w:pPr>
        <w:ind w:left="420" w:hanging="192"/>
        <w:spacing w:after="0"/>
        <w:tabs>
          <w:tab w:leader="none" w:pos="420" w:val="left"/>
        </w:tabs>
        <w:numPr>
          <w:ilvl w:val="0"/>
          <w:numId w:val="52"/>
        </w:numPr>
        <w:rPr>
          <w:rFonts w:ascii="Arial" w:cs="Arial" w:eastAsia="Arial" w:hAnsi="Arial"/>
          <w:sz w:val="14"/>
          <w:szCs w:val="14"/>
          <w:color w:val="1A3FD6"/>
        </w:rPr>
      </w:pPr>
      <w:r>
        <w:rPr>
          <w:rFonts w:ascii="Arial" w:cs="Arial" w:eastAsia="Arial" w:hAnsi="Arial"/>
          <w:sz w:val="14"/>
          <w:szCs w:val="14"/>
          <w:color w:val="auto"/>
        </w:rPr>
        <w:t>Oversees MSCI’s internal audit function, with quarterly reports from the Head of Internal Audit</w:t>
      </w:r>
    </w:p>
    <w:p>
      <w:pPr>
        <w:spacing w:after="0" w:line="82" w:lineRule="exact"/>
        <w:rPr>
          <w:rFonts w:ascii="Arial" w:cs="Arial" w:eastAsia="Arial" w:hAnsi="Arial"/>
          <w:sz w:val="14"/>
          <w:szCs w:val="14"/>
          <w:color w:val="1A3FD6"/>
        </w:rPr>
      </w:pPr>
    </w:p>
    <w:p>
      <w:pPr>
        <w:ind w:left="420" w:right="1640" w:hanging="192"/>
        <w:spacing w:after="0" w:line="311" w:lineRule="auto"/>
        <w:tabs>
          <w:tab w:leader="none" w:pos="411" w:val="left"/>
        </w:tabs>
        <w:numPr>
          <w:ilvl w:val="0"/>
          <w:numId w:val="52"/>
        </w:numPr>
        <w:rPr>
          <w:rFonts w:ascii="Arial" w:cs="Arial" w:eastAsia="Arial" w:hAnsi="Arial"/>
          <w:sz w:val="14"/>
          <w:szCs w:val="14"/>
          <w:color w:val="1A3FD6"/>
        </w:rPr>
      </w:pPr>
      <w:r>
        <w:rPr>
          <w:rFonts w:ascii="Arial" w:cs="Arial" w:eastAsia="Arial" w:hAnsi="Arial"/>
          <w:sz w:val="14"/>
          <w:szCs w:val="14"/>
          <w:color w:val="auto"/>
        </w:rPr>
        <w:t>Receives regular reports from MSCI’s Disclosure Committee, which meets at least quarterly to review the adequacy of the Company’s disclosure controls and procedures</w:t>
      </w:r>
    </w:p>
    <w:p>
      <w:pPr>
        <w:spacing w:after="0" w:line="1" w:lineRule="exact"/>
        <w:rPr>
          <w:rFonts w:ascii="Arial" w:cs="Arial" w:eastAsia="Arial" w:hAnsi="Arial"/>
          <w:sz w:val="14"/>
          <w:szCs w:val="14"/>
          <w:color w:val="1A3FD6"/>
        </w:rPr>
      </w:pPr>
    </w:p>
    <w:p>
      <w:pPr>
        <w:ind w:left="420" w:hanging="192"/>
        <w:spacing w:after="0"/>
        <w:tabs>
          <w:tab w:leader="none" w:pos="420" w:val="left"/>
        </w:tabs>
        <w:numPr>
          <w:ilvl w:val="0"/>
          <w:numId w:val="52"/>
        </w:numPr>
        <w:rPr>
          <w:rFonts w:ascii="Arial" w:cs="Arial" w:eastAsia="Arial" w:hAnsi="Arial"/>
          <w:sz w:val="14"/>
          <w:szCs w:val="14"/>
          <w:color w:val="1A3FD6"/>
        </w:rPr>
      </w:pPr>
      <w:r>
        <w:rPr>
          <w:rFonts w:ascii="Arial" w:cs="Arial" w:eastAsia="Arial" w:hAnsi="Arial"/>
          <w:sz w:val="14"/>
          <w:szCs w:val="14"/>
          <w:color w:val="auto"/>
        </w:rPr>
        <w:t>Oversees whistleblower reporting procedures for handling complaints and anonymous submissions related to accounting, internal controls or auditing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1116965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type w:val="continuous"/>
        </w:sectPr>
      </w:pPr>
    </w:p>
    <w:bookmarkStart w:id="47" w:name="page48"/>
    <w:bookmarkEnd w:id="47"/>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46</w:t>
      </w:r>
      <w:r>
        <w:rPr>
          <w:sz w:val="20"/>
          <w:szCs w:val="20"/>
          <w:color w:val="auto"/>
        </w:rPr>
        <w:tab/>
      </w:r>
      <w:r>
        <w:rPr>
          <w:rFonts w:ascii="Arial" w:cs="Arial" w:eastAsia="Arial" w:hAnsi="Arial"/>
          <w:sz w:val="14"/>
          <w:szCs w:val="14"/>
          <w:b w:val="1"/>
          <w:bCs w:val="1"/>
          <w:color w:val="1A3FD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15175" cy="36347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15175"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Management</w:t>
      </w:r>
    </w:p>
    <w:p>
      <w:pPr>
        <w:spacing w:after="0" w:line="347" w:lineRule="exact"/>
        <w:rPr>
          <w:sz w:val="20"/>
          <w:szCs w:val="20"/>
          <w:color w:val="auto"/>
        </w:rPr>
      </w:pPr>
    </w:p>
    <w:p>
      <w:pPr>
        <w:ind w:left="220" w:right="440"/>
        <w:spacing w:after="0" w:line="296" w:lineRule="auto"/>
        <w:rPr>
          <w:sz w:val="20"/>
          <w:szCs w:val="20"/>
          <w:color w:val="auto"/>
        </w:rPr>
      </w:pPr>
      <w:r>
        <w:rPr>
          <w:rFonts w:ascii="Arial" w:cs="Arial" w:eastAsia="Arial" w:hAnsi="Arial"/>
          <w:sz w:val="14"/>
          <w:szCs w:val="14"/>
          <w:color w:val="auto"/>
        </w:rPr>
        <w:t>Our management team has day-to-day responsibility for identifying, assessing and managing risks and opportunities. In this role, management interacts with outside advisors, including external information security advisors, compensation consultants, legal counsel, financial advisors and others. The Company’s EROC oversees the Company’s key risk management activities to ensure that the Company is identifying, evaluating and managing risks that may have an impact on our ability to achieve our operational and strategic objectives. Risk areas of significant management-level focus and reporting to the Board include:</w:t>
      </w:r>
    </w:p>
    <w:p>
      <w:pPr>
        <w:sectPr>
          <w:pgSz w:w="11900" w:h="16838" w:orient="portrait"/>
          <w:cols w:equalWidth="0" w:num="1">
            <w:col w:w="11240"/>
          </w:cols>
          <w:pgMar w:left="320" w:top="292" w:right="339" w:bottom="1440" w:gutter="0" w:footer="0" w:header="0"/>
        </w:sectPr>
      </w:pPr>
    </w:p>
    <w:p>
      <w:pPr>
        <w:spacing w:after="0" w:line="361" w:lineRule="exact"/>
        <w:rPr>
          <w:sz w:val="20"/>
          <w:szCs w:val="20"/>
          <w:color w:val="auto"/>
        </w:rPr>
      </w:pPr>
    </w:p>
    <w:p>
      <w:pPr>
        <w:jc w:val="center"/>
        <w:ind w:left="420"/>
        <w:spacing w:after="0"/>
        <w:rPr>
          <w:sz w:val="20"/>
          <w:szCs w:val="20"/>
          <w:color w:val="auto"/>
        </w:rPr>
      </w:pPr>
      <w:r>
        <w:rPr>
          <w:rFonts w:ascii="Arial" w:cs="Arial" w:eastAsia="Arial" w:hAnsi="Arial"/>
          <w:sz w:val="22"/>
          <w:szCs w:val="22"/>
          <w:b w:val="1"/>
          <w:bCs w:val="1"/>
          <w:color w:val="auto"/>
        </w:rPr>
        <w:t>Business Resiliency</w:t>
      </w:r>
    </w:p>
    <w:p>
      <w:pPr>
        <w:spacing w:after="0" w:line="360" w:lineRule="exact"/>
        <w:rPr>
          <w:sz w:val="20"/>
          <w:szCs w:val="20"/>
          <w:color w:val="auto"/>
        </w:rPr>
      </w:pPr>
    </w:p>
    <w:p>
      <w:pPr>
        <w:ind w:left="220"/>
        <w:spacing w:after="0" w:line="296" w:lineRule="auto"/>
        <w:rPr>
          <w:sz w:val="20"/>
          <w:szCs w:val="20"/>
          <w:color w:val="auto"/>
        </w:rPr>
      </w:pPr>
      <w:r>
        <w:rPr>
          <w:rFonts w:ascii="Arial" w:cs="Arial" w:eastAsia="Arial" w:hAnsi="Arial"/>
          <w:sz w:val="14"/>
          <w:szCs w:val="14"/>
          <w:color w:val="auto"/>
        </w:rPr>
        <w:t>Develop and execute strategies and processes to assess the severity, probability and scale of business interruption events and support business continuity plans, with regular reporting to the Audit Committee</w:t>
      </w:r>
    </w:p>
    <w:p>
      <w:pPr>
        <w:spacing w:after="0" w:line="361" w:lineRule="exact"/>
        <w:rPr>
          <w:sz w:val="20"/>
          <w:szCs w:val="20"/>
          <w:color w:val="auto"/>
        </w:rPr>
      </w:pPr>
    </w:p>
    <w:p>
      <w:pPr>
        <w:jc w:val="center"/>
        <w:ind w:left="420"/>
        <w:spacing w:after="0"/>
        <w:rPr>
          <w:sz w:val="20"/>
          <w:szCs w:val="20"/>
          <w:color w:val="auto"/>
        </w:rPr>
      </w:pPr>
      <w:r>
        <w:rPr>
          <w:rFonts w:ascii="Arial" w:cs="Arial" w:eastAsia="Arial" w:hAnsi="Arial"/>
          <w:sz w:val="22"/>
          <w:szCs w:val="22"/>
          <w:b w:val="1"/>
          <w:bCs w:val="1"/>
          <w:color w:val="auto"/>
        </w:rPr>
        <w:t>Compliance</w:t>
      </w:r>
    </w:p>
    <w:p>
      <w:pPr>
        <w:spacing w:after="0" w:line="360" w:lineRule="exact"/>
        <w:rPr>
          <w:sz w:val="20"/>
          <w:szCs w:val="20"/>
          <w:color w:val="auto"/>
        </w:rPr>
      </w:pPr>
    </w:p>
    <w:p>
      <w:pPr>
        <w:ind w:left="220" w:right="120"/>
        <w:spacing w:after="0" w:line="296" w:lineRule="auto"/>
        <w:rPr>
          <w:sz w:val="20"/>
          <w:szCs w:val="20"/>
          <w:color w:val="auto"/>
        </w:rPr>
      </w:pPr>
      <w:r>
        <w:rPr>
          <w:rFonts w:ascii="Arial" w:cs="Arial" w:eastAsia="Arial" w:hAnsi="Arial"/>
          <w:sz w:val="14"/>
          <w:szCs w:val="14"/>
          <w:color w:val="auto"/>
        </w:rPr>
        <w:t>Oversee ethical and other risks associated with the Company’s compliance programs, with reporting by our Head of Compliance to our Governance Committee on an annual basis</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jc w:val="center"/>
        <w:ind w:left="-159"/>
        <w:spacing w:after="0"/>
        <w:rPr>
          <w:sz w:val="20"/>
          <w:szCs w:val="20"/>
          <w:color w:val="auto"/>
        </w:rPr>
      </w:pPr>
      <w:r>
        <w:rPr>
          <w:rFonts w:ascii="Arial" w:cs="Arial" w:eastAsia="Arial" w:hAnsi="Arial"/>
          <w:sz w:val="22"/>
          <w:szCs w:val="22"/>
          <w:b w:val="1"/>
          <w:bCs w:val="1"/>
          <w:color w:val="auto"/>
        </w:rPr>
        <w:t>Legal and Regulatory</w:t>
      </w:r>
    </w:p>
    <w:p>
      <w:pPr>
        <w:spacing w:after="0" w:line="360" w:lineRule="exact"/>
        <w:rPr>
          <w:sz w:val="20"/>
          <w:szCs w:val="20"/>
          <w:color w:val="auto"/>
        </w:rPr>
      </w:pPr>
    </w:p>
    <w:p>
      <w:pPr>
        <w:spacing w:after="0" w:line="303" w:lineRule="auto"/>
        <w:rPr>
          <w:sz w:val="20"/>
          <w:szCs w:val="20"/>
          <w:color w:val="auto"/>
        </w:rPr>
      </w:pPr>
      <w:r>
        <w:rPr>
          <w:rFonts w:ascii="Arial" w:cs="Arial" w:eastAsia="Arial" w:hAnsi="Arial"/>
          <w:sz w:val="14"/>
          <w:szCs w:val="14"/>
          <w:color w:val="auto"/>
        </w:rPr>
        <w:t>Oversee risk associated with legal and regulatory matters, with regular reporting by our General Counsel to the Audit Committee</w:t>
      </w:r>
    </w:p>
    <w:p>
      <w:pPr>
        <w:spacing w:after="0" w:line="200" w:lineRule="exact"/>
        <w:rPr>
          <w:sz w:val="20"/>
          <w:szCs w:val="20"/>
          <w:color w:val="auto"/>
        </w:rPr>
      </w:pPr>
    </w:p>
    <w:p>
      <w:pPr>
        <w:spacing w:after="0" w:line="345" w:lineRule="exact"/>
        <w:rPr>
          <w:sz w:val="20"/>
          <w:szCs w:val="20"/>
          <w:color w:val="auto"/>
        </w:rPr>
      </w:pPr>
    </w:p>
    <w:p>
      <w:pPr>
        <w:jc w:val="center"/>
        <w:ind w:left="-159"/>
        <w:spacing w:after="0"/>
        <w:rPr>
          <w:sz w:val="20"/>
          <w:szCs w:val="20"/>
          <w:color w:val="auto"/>
        </w:rPr>
      </w:pPr>
      <w:r>
        <w:rPr>
          <w:rFonts w:ascii="Arial" w:cs="Arial" w:eastAsia="Arial" w:hAnsi="Arial"/>
          <w:sz w:val="22"/>
          <w:szCs w:val="22"/>
          <w:b w:val="1"/>
          <w:bCs w:val="1"/>
          <w:color w:val="auto"/>
        </w:rPr>
        <w:t>Disclosure Committee</w:t>
      </w:r>
    </w:p>
    <w:p>
      <w:pPr>
        <w:spacing w:after="0" w:line="360" w:lineRule="exact"/>
        <w:rPr>
          <w:sz w:val="20"/>
          <w:szCs w:val="20"/>
          <w:color w:val="auto"/>
        </w:rPr>
      </w:pPr>
    </w:p>
    <w:p>
      <w:pPr>
        <w:ind w:right="20"/>
        <w:spacing w:after="0" w:line="296" w:lineRule="auto"/>
        <w:rPr>
          <w:sz w:val="20"/>
          <w:szCs w:val="20"/>
          <w:color w:val="auto"/>
        </w:rPr>
      </w:pPr>
      <w:r>
        <w:rPr>
          <w:rFonts w:ascii="Arial" w:cs="Arial" w:eastAsia="Arial" w:hAnsi="Arial"/>
          <w:sz w:val="14"/>
          <w:szCs w:val="14"/>
          <w:color w:val="auto"/>
        </w:rPr>
        <w:t>Assess risks related to the Company’s disclosure controls and procedures for public reporting, with regular reporting by the General Counsel and Global Controller to the Audit Committee</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jc w:val="center"/>
        <w:ind w:right="400"/>
        <w:spacing w:after="0"/>
        <w:rPr>
          <w:sz w:val="20"/>
          <w:szCs w:val="20"/>
          <w:color w:val="auto"/>
        </w:rPr>
      </w:pPr>
      <w:r>
        <w:rPr>
          <w:rFonts w:ascii="Arial" w:cs="Arial" w:eastAsia="Arial" w:hAnsi="Arial"/>
          <w:sz w:val="22"/>
          <w:szCs w:val="22"/>
          <w:b w:val="1"/>
          <w:bCs w:val="1"/>
          <w:color w:val="auto"/>
        </w:rPr>
        <w:t>Cybersecurity</w:t>
      </w:r>
    </w:p>
    <w:p>
      <w:pPr>
        <w:spacing w:after="0" w:line="360" w:lineRule="exact"/>
        <w:rPr>
          <w:sz w:val="20"/>
          <w:szCs w:val="20"/>
          <w:color w:val="auto"/>
        </w:rPr>
      </w:pPr>
    </w:p>
    <w:p>
      <w:pPr>
        <w:ind w:right="540"/>
        <w:spacing w:after="0" w:line="296" w:lineRule="auto"/>
        <w:rPr>
          <w:sz w:val="20"/>
          <w:szCs w:val="20"/>
          <w:color w:val="auto"/>
        </w:rPr>
      </w:pPr>
      <w:r>
        <w:rPr>
          <w:rFonts w:ascii="Arial" w:cs="Arial" w:eastAsia="Arial" w:hAnsi="Arial"/>
          <w:sz w:val="14"/>
          <w:szCs w:val="14"/>
          <w:color w:val="auto"/>
        </w:rPr>
        <w:t>Assess and mitigate risks posed by cybersecurity incidents and cyber-attacks impacting data and information systems, with regular reporting by our CISO to the Audit Committee</w:t>
      </w:r>
    </w:p>
    <w:p>
      <w:pPr>
        <w:spacing w:after="0" w:line="361" w:lineRule="exact"/>
        <w:rPr>
          <w:sz w:val="20"/>
          <w:szCs w:val="20"/>
          <w:color w:val="auto"/>
        </w:rPr>
      </w:pPr>
    </w:p>
    <w:p>
      <w:pPr>
        <w:jc w:val="center"/>
        <w:ind w:right="400"/>
        <w:spacing w:after="0"/>
        <w:rPr>
          <w:sz w:val="20"/>
          <w:szCs w:val="20"/>
          <w:color w:val="auto"/>
        </w:rPr>
      </w:pPr>
      <w:r>
        <w:rPr>
          <w:rFonts w:ascii="Arial" w:cs="Arial" w:eastAsia="Arial" w:hAnsi="Arial"/>
          <w:sz w:val="22"/>
          <w:szCs w:val="22"/>
          <w:b w:val="1"/>
          <w:bCs w:val="1"/>
          <w:color w:val="auto"/>
        </w:rPr>
        <w:t>Internal Audit</w:t>
      </w:r>
    </w:p>
    <w:p>
      <w:pPr>
        <w:spacing w:after="0" w:line="360" w:lineRule="exact"/>
        <w:rPr>
          <w:sz w:val="20"/>
          <w:szCs w:val="20"/>
          <w:color w:val="auto"/>
        </w:rPr>
      </w:pPr>
    </w:p>
    <w:p>
      <w:pPr>
        <w:ind w:right="300"/>
        <w:spacing w:after="0" w:line="287" w:lineRule="auto"/>
        <w:rPr>
          <w:sz w:val="20"/>
          <w:szCs w:val="20"/>
          <w:color w:val="auto"/>
        </w:rPr>
      </w:pPr>
      <w:r>
        <w:rPr>
          <w:rFonts w:ascii="Arial" w:cs="Arial" w:eastAsia="Arial" w:hAnsi="Arial"/>
          <w:sz w:val="14"/>
          <w:szCs w:val="14"/>
          <w:color w:val="auto"/>
        </w:rPr>
        <w:t>Provide independent assurance and closely coordinate with the Enterprise Risk Management Officer to ensure annual audit plan is informed by key risks, with regular reporting to the Audit Committee by the Head of Internal Audit</w:t>
      </w:r>
    </w:p>
    <w:p>
      <w:pPr>
        <w:spacing w:after="0" w:line="200" w:lineRule="exact"/>
        <w:rPr>
          <w:sz w:val="20"/>
          <w:szCs w:val="20"/>
          <w:color w:val="auto"/>
        </w:rPr>
      </w:pPr>
    </w:p>
    <w:p>
      <w:pPr>
        <w:sectPr>
          <w:pgSz w:w="11900" w:h="16838" w:orient="portrait"/>
          <w:cols w:equalWidth="0" w:num="3">
            <w:col w:w="3600" w:space="360"/>
            <w:col w:w="3140" w:space="460"/>
            <w:col w:w="3680"/>
          </w:cols>
          <w:pgMar w:left="320" w:top="292" w:right="339" w:bottom="1440" w:gutter="0" w:footer="0" w:header="0"/>
          <w:type w:val="continuous"/>
        </w:sectPr>
      </w:pP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Cybersecurity and Information Security Awareness</w:t>
      </w:r>
    </w:p>
    <w:p>
      <w:pPr>
        <w:spacing w:after="0" w:line="101"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Our Board recognizes that the security of our technology is integral to our products, business processes and infrastructure. We have an enterprise-wide IT security program designed to secure our technology assets, and we have implemented several measures to identify, assess and manage related risks. Our Chief Information Security Officer (“CISO”) manages this program in collaboration with our business and corporate teams. Our cybersecurity policies, standards and procedures align with industry standards, including the U.S. National Institute of Standards and Technology (“NIST”) cybersecurity framework and International Organization for Standardization (“ISO”) information security standards. The MSCI Information Security Management System has also achieved ISO/IEC 27001:2022 certification.</w:t>
      </w:r>
    </w:p>
    <w:p>
      <w:pPr>
        <w:spacing w:after="0" w:line="80"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Our management-level Information and Technology Risk Oversight Committee (“ITROC”), which is led by our CISO, and includes senior management leaders, provides oversight of key cybersecurity and technology risks. Our IT security program also includes an incident response plan that provides for how we detect, respond to and recover from cybersecurity incidents. The plan includes processes designed to triage, assess severity, investigate and remediate any incident, comply with potentially applicable legal obligations and mitigate damage to our brand and reputation.</w:t>
      </w:r>
    </w:p>
    <w:p>
      <w:pPr>
        <w:spacing w:after="0" w:line="77"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Quarterly, our CISO updates the Audit Committee on the Company’s IT security program, including an overview of any significant incidents, risks and trends, results from any third-party assessments, risk-mitigation activities, our incident response plan, and cybersecurity threat developments. This quarterly update is also made available to the full Board, and the Chair of the Audit Committee informs the Board of any key updates during quarterly reports to the Board.</w:t>
      </w:r>
    </w:p>
    <w:p>
      <w:pPr>
        <w:spacing w:after="0" w:line="2"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Board also conducts an annual education session on cybersecurity trends and risks. Additional information regarding our IT risk management is detailed in our 2024 Annual Report on Form 10-K.</w:t>
      </w:r>
    </w:p>
    <w:p>
      <w:pPr>
        <w:spacing w:after="0" w:line="5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Privacy Awareness</w:t>
      </w:r>
    </w:p>
    <w:p>
      <w:pPr>
        <w:spacing w:after="0" w:line="10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Integrated with our IT security program and our enterprise risk program is our global privacy program. Our privacy program is led by our Chief Privacy Officer and the members of the MSCI Privacy Office, which reports to our CISO, and has been developed based on industry standards, including the NIST Privacy Framework. Our Privacy Steering Committee meets on a quarterly basis to review key risks and trends, progress on key initiatives, focus topics and regulatory developments. We also regularly undertake privacy and data protection training and testing of our employees. Our CISO’s quarterly updates to the Audit Committee include any notable updates relating to our privacy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8420"/>
              <w:spacing w:after="0"/>
              <w:rPr>
                <w:sz w:val="20"/>
                <w:szCs w:val="20"/>
                <w:color w:val="auto"/>
              </w:rPr>
            </w:pPr>
            <w:r>
              <w:rPr>
                <w:rFonts w:ascii="Arial" w:cs="Arial" w:eastAsia="Arial" w:hAnsi="Arial"/>
                <w:sz w:val="14"/>
                <w:szCs w:val="14"/>
                <w:b w:val="1"/>
                <w:bCs w:val="1"/>
                <w:color w:val="1A3FD6"/>
              </w:rPr>
              <w:t>Corporate Governance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47</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Corporate Responsibility</w:t>
      </w:r>
    </w:p>
    <w:p>
      <w:pPr>
        <w:spacing w:after="0" w:line="181"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As a leader in providing sustainability and climate solutions to investors, we also aim to demonstrate leading corporate responsibility practices and policies that are meaningful to our various stakeholders, including our shareholders, clients and employees.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Our commitment to corporate responsibility is reflected in three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2825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Our Approach to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165735</wp:posOffset>
            </wp:positionV>
            <wp:extent cx="205740" cy="1028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05740" cy="10287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200" w:type="dxa"/>
            <w:vAlign w:val="bottom"/>
            <w:shd w:val="clear" w:color="auto" w:fill="EDF0FC"/>
          </w:tcPr>
          <w:p>
            <w:pPr>
              <w:spacing w:after="0"/>
              <w:rPr>
                <w:sz w:val="24"/>
                <w:szCs w:val="24"/>
                <w:color w:val="auto"/>
              </w:rPr>
            </w:pPr>
          </w:p>
        </w:tc>
        <w:tc>
          <w:tcPr>
            <w:tcW w:w="420" w:type="dxa"/>
            <w:vAlign w:val="bottom"/>
            <w:vMerge w:val="restart"/>
            <w:shd w:val="clear" w:color="auto" w:fill="EDF0FC"/>
          </w:tcPr>
          <w:p>
            <w:pPr>
              <w:jc w:val="right"/>
              <w:spacing w:after="0"/>
              <w:rPr>
                <w:sz w:val="20"/>
                <w:szCs w:val="20"/>
                <w:color w:val="auto"/>
              </w:rPr>
            </w:pPr>
            <w:r>
              <w:rPr>
                <w:rFonts w:ascii="Arial" w:cs="Arial" w:eastAsia="Arial" w:hAnsi="Arial"/>
                <w:sz w:val="54"/>
                <w:szCs w:val="54"/>
                <w:b w:val="1"/>
                <w:bCs w:val="1"/>
                <w:color w:val="1A3FD6"/>
              </w:rPr>
              <w:t>1</w:t>
            </w:r>
          </w:p>
        </w:tc>
        <w:tc>
          <w:tcPr>
            <w:tcW w:w="2820" w:type="dxa"/>
            <w:vAlign w:val="bottom"/>
            <w:vMerge w:val="restart"/>
            <w:shd w:val="clear" w:color="auto" w:fill="EDF0FC"/>
          </w:tcPr>
          <w:p>
            <w:pPr>
              <w:ind w:left="140"/>
              <w:spacing w:after="0"/>
              <w:rPr>
                <w:sz w:val="20"/>
                <w:szCs w:val="20"/>
                <w:color w:val="auto"/>
              </w:rPr>
            </w:pPr>
            <w:r>
              <w:rPr>
                <w:rFonts w:ascii="Arial" w:cs="Arial" w:eastAsia="Arial" w:hAnsi="Arial"/>
                <w:sz w:val="16"/>
                <w:szCs w:val="16"/>
                <w:b w:val="1"/>
                <w:bCs w:val="1"/>
                <w:color w:val="auto"/>
              </w:rPr>
              <w:t>ENVIRONMENTAL</w:t>
            </w:r>
          </w:p>
        </w:tc>
        <w:tc>
          <w:tcPr>
            <w:tcW w:w="280" w:type="dxa"/>
            <w:vAlign w:val="bottom"/>
            <w:tcBorders>
              <w:right w:val="single" w:sz="8" w:color="EDF0FC"/>
            </w:tcBorders>
            <w:shd w:val="clear" w:color="auto" w:fill="EDF0FC"/>
          </w:tcPr>
          <w:p>
            <w:pPr>
              <w:spacing w:after="0"/>
              <w:rPr>
                <w:sz w:val="24"/>
                <w:szCs w:val="24"/>
                <w:color w:val="auto"/>
              </w:rPr>
            </w:pPr>
          </w:p>
        </w:tc>
        <w:tc>
          <w:tcPr>
            <w:tcW w:w="680" w:type="dxa"/>
            <w:vAlign w:val="bottom"/>
            <w:gridSpan w:val="2"/>
            <w:vMerge w:val="restart"/>
            <w:shd w:val="clear" w:color="auto" w:fill="EDF0FC"/>
          </w:tcPr>
          <w:p>
            <w:pPr>
              <w:jc w:val="right"/>
              <w:ind w:right="60"/>
              <w:spacing w:after="0"/>
              <w:rPr>
                <w:sz w:val="20"/>
                <w:szCs w:val="20"/>
                <w:color w:val="auto"/>
              </w:rPr>
            </w:pPr>
            <w:r>
              <w:rPr>
                <w:rFonts w:ascii="Arial" w:cs="Arial" w:eastAsia="Arial" w:hAnsi="Arial"/>
                <w:sz w:val="54"/>
                <w:szCs w:val="54"/>
                <w:b w:val="1"/>
                <w:bCs w:val="1"/>
                <w:color w:val="1A3FD6"/>
              </w:rPr>
              <w:t>2</w:t>
            </w:r>
          </w:p>
        </w:tc>
        <w:tc>
          <w:tcPr>
            <w:tcW w:w="2820" w:type="dxa"/>
            <w:vAlign w:val="bottom"/>
            <w:vMerge w:val="restart"/>
            <w:shd w:val="clear" w:color="auto" w:fill="EDF0FC"/>
          </w:tcPr>
          <w:p>
            <w:pPr>
              <w:ind w:left="140"/>
              <w:spacing w:after="0"/>
              <w:rPr>
                <w:sz w:val="20"/>
                <w:szCs w:val="20"/>
                <w:color w:val="auto"/>
              </w:rPr>
            </w:pPr>
            <w:r>
              <w:rPr>
                <w:rFonts w:ascii="Arial" w:cs="Arial" w:eastAsia="Arial" w:hAnsi="Arial"/>
                <w:sz w:val="16"/>
                <w:szCs w:val="16"/>
                <w:b w:val="1"/>
                <w:bCs w:val="1"/>
                <w:color w:val="auto"/>
              </w:rPr>
              <w:t>SOCIAL</w:t>
            </w:r>
          </w:p>
        </w:tc>
        <w:tc>
          <w:tcPr>
            <w:tcW w:w="280" w:type="dxa"/>
            <w:vAlign w:val="bottom"/>
            <w:tcBorders>
              <w:right w:val="single" w:sz="8" w:color="EDF0FC"/>
            </w:tcBorders>
            <w:shd w:val="clear" w:color="auto" w:fill="EDF0FC"/>
          </w:tcPr>
          <w:p>
            <w:pPr>
              <w:spacing w:after="0"/>
              <w:rPr>
                <w:sz w:val="24"/>
                <w:szCs w:val="24"/>
                <w:color w:val="auto"/>
              </w:rPr>
            </w:pPr>
          </w:p>
        </w:tc>
        <w:tc>
          <w:tcPr>
            <w:tcW w:w="260" w:type="dxa"/>
            <w:vAlign w:val="bottom"/>
            <w:shd w:val="clear" w:color="auto" w:fill="EDF0FC"/>
          </w:tcPr>
          <w:p>
            <w:pPr>
              <w:spacing w:after="0"/>
              <w:rPr>
                <w:sz w:val="24"/>
                <w:szCs w:val="24"/>
                <w:color w:val="auto"/>
              </w:rPr>
            </w:pPr>
          </w:p>
        </w:tc>
        <w:tc>
          <w:tcPr>
            <w:tcW w:w="420" w:type="dxa"/>
            <w:vAlign w:val="bottom"/>
            <w:vMerge w:val="restart"/>
            <w:shd w:val="clear" w:color="auto" w:fill="EDF0FC"/>
          </w:tcPr>
          <w:p>
            <w:pPr>
              <w:jc w:val="right"/>
              <w:spacing w:after="0"/>
              <w:rPr>
                <w:sz w:val="20"/>
                <w:szCs w:val="20"/>
                <w:color w:val="auto"/>
              </w:rPr>
            </w:pPr>
            <w:r>
              <w:rPr>
                <w:rFonts w:ascii="Arial" w:cs="Arial" w:eastAsia="Arial" w:hAnsi="Arial"/>
                <w:sz w:val="54"/>
                <w:szCs w:val="54"/>
                <w:b w:val="1"/>
                <w:bCs w:val="1"/>
                <w:color w:val="1A3FD6"/>
              </w:rPr>
              <w:t>3</w:t>
            </w:r>
          </w:p>
        </w:tc>
        <w:tc>
          <w:tcPr>
            <w:tcW w:w="3060" w:type="dxa"/>
            <w:vAlign w:val="bottom"/>
            <w:vMerge w:val="restart"/>
            <w:shd w:val="clear" w:color="auto" w:fill="EDF0FC"/>
          </w:tcPr>
          <w:p>
            <w:pPr>
              <w:ind w:left="140"/>
              <w:spacing w:after="0"/>
              <w:rPr>
                <w:sz w:val="20"/>
                <w:szCs w:val="20"/>
                <w:color w:val="auto"/>
              </w:rPr>
            </w:pPr>
            <w:r>
              <w:rPr>
                <w:rFonts w:ascii="Arial" w:cs="Arial" w:eastAsia="Arial" w:hAnsi="Arial"/>
                <w:sz w:val="16"/>
                <w:szCs w:val="16"/>
                <w:b w:val="1"/>
                <w:bCs w:val="1"/>
                <w:color w:val="auto"/>
              </w:rPr>
              <w:t>GOVERNANCE</w:t>
            </w:r>
          </w:p>
        </w:tc>
        <w:tc>
          <w:tcPr>
            <w:tcW w:w="0" w:type="dxa"/>
            <w:vAlign w:val="bottom"/>
          </w:tcPr>
          <w:p>
            <w:pPr>
              <w:spacing w:after="0"/>
              <w:rPr>
                <w:sz w:val="1"/>
                <w:szCs w:val="1"/>
                <w:color w:val="auto"/>
              </w:rPr>
            </w:pPr>
          </w:p>
        </w:tc>
      </w:tr>
      <w:tr>
        <w:trPr>
          <w:trHeight w:val="284"/>
        </w:trPr>
        <w:tc>
          <w:tcPr>
            <w:tcW w:w="200" w:type="dxa"/>
            <w:vAlign w:val="bottom"/>
            <w:shd w:val="clear" w:color="auto" w:fill="EDF0FC"/>
          </w:tcPr>
          <w:p>
            <w:pPr>
              <w:spacing w:after="0"/>
              <w:rPr>
                <w:sz w:val="24"/>
                <w:szCs w:val="24"/>
                <w:color w:val="auto"/>
              </w:rPr>
            </w:pPr>
          </w:p>
        </w:tc>
        <w:tc>
          <w:tcPr>
            <w:tcW w:w="420" w:type="dxa"/>
            <w:vAlign w:val="bottom"/>
            <w:vMerge w:val="continue"/>
            <w:shd w:val="clear" w:color="auto" w:fill="EDF0FC"/>
          </w:tcPr>
          <w:p>
            <w:pPr>
              <w:spacing w:after="0"/>
              <w:rPr>
                <w:sz w:val="24"/>
                <w:szCs w:val="24"/>
                <w:color w:val="auto"/>
              </w:rPr>
            </w:pPr>
          </w:p>
        </w:tc>
        <w:tc>
          <w:tcPr>
            <w:tcW w:w="2820" w:type="dxa"/>
            <w:vAlign w:val="bottom"/>
            <w:vMerge w:val="continue"/>
            <w:shd w:val="clear" w:color="auto" w:fill="EDF0FC"/>
          </w:tcPr>
          <w:p>
            <w:pPr>
              <w:spacing w:after="0"/>
              <w:rPr>
                <w:sz w:val="24"/>
                <w:szCs w:val="24"/>
                <w:color w:val="auto"/>
              </w:rPr>
            </w:pPr>
          </w:p>
        </w:tc>
        <w:tc>
          <w:tcPr>
            <w:tcW w:w="280" w:type="dxa"/>
            <w:vAlign w:val="bottom"/>
            <w:tcBorders>
              <w:right w:val="single" w:sz="8" w:color="auto"/>
            </w:tcBorders>
            <w:shd w:val="clear" w:color="auto" w:fill="EDF0FC"/>
          </w:tcPr>
          <w:p>
            <w:pPr>
              <w:spacing w:after="0"/>
              <w:rPr>
                <w:sz w:val="24"/>
                <w:szCs w:val="24"/>
                <w:color w:val="auto"/>
              </w:rPr>
            </w:pPr>
          </w:p>
        </w:tc>
        <w:tc>
          <w:tcPr>
            <w:tcW w:w="680" w:type="dxa"/>
            <w:vAlign w:val="bottom"/>
            <w:gridSpan w:val="2"/>
            <w:vMerge w:val="continue"/>
            <w:shd w:val="clear" w:color="auto" w:fill="EDF0FC"/>
          </w:tcPr>
          <w:p>
            <w:pPr>
              <w:spacing w:after="0"/>
              <w:rPr>
                <w:sz w:val="24"/>
                <w:szCs w:val="24"/>
                <w:color w:val="auto"/>
              </w:rPr>
            </w:pPr>
          </w:p>
        </w:tc>
        <w:tc>
          <w:tcPr>
            <w:tcW w:w="2820" w:type="dxa"/>
            <w:vAlign w:val="bottom"/>
            <w:vMerge w:val="continue"/>
            <w:shd w:val="clear" w:color="auto" w:fill="EDF0FC"/>
          </w:tcPr>
          <w:p>
            <w:pPr>
              <w:spacing w:after="0"/>
              <w:rPr>
                <w:sz w:val="24"/>
                <w:szCs w:val="24"/>
                <w:color w:val="auto"/>
              </w:rPr>
            </w:pPr>
          </w:p>
        </w:tc>
        <w:tc>
          <w:tcPr>
            <w:tcW w:w="280" w:type="dxa"/>
            <w:vAlign w:val="bottom"/>
            <w:tcBorders>
              <w:right w:val="single" w:sz="8" w:color="auto"/>
            </w:tcBorders>
            <w:shd w:val="clear" w:color="auto" w:fill="EDF0FC"/>
          </w:tcPr>
          <w:p>
            <w:pPr>
              <w:spacing w:after="0"/>
              <w:rPr>
                <w:sz w:val="24"/>
                <w:szCs w:val="24"/>
                <w:color w:val="auto"/>
              </w:rPr>
            </w:pPr>
          </w:p>
        </w:tc>
        <w:tc>
          <w:tcPr>
            <w:tcW w:w="260" w:type="dxa"/>
            <w:vAlign w:val="bottom"/>
            <w:shd w:val="clear" w:color="auto" w:fill="EDF0FC"/>
          </w:tcPr>
          <w:p>
            <w:pPr>
              <w:spacing w:after="0"/>
              <w:rPr>
                <w:sz w:val="24"/>
                <w:szCs w:val="24"/>
                <w:color w:val="auto"/>
              </w:rPr>
            </w:pPr>
          </w:p>
        </w:tc>
        <w:tc>
          <w:tcPr>
            <w:tcW w:w="420" w:type="dxa"/>
            <w:vAlign w:val="bottom"/>
            <w:vMerge w:val="continue"/>
            <w:shd w:val="clear" w:color="auto" w:fill="EDF0FC"/>
          </w:tcPr>
          <w:p>
            <w:pPr>
              <w:spacing w:after="0"/>
              <w:rPr>
                <w:sz w:val="24"/>
                <w:szCs w:val="24"/>
                <w:color w:val="auto"/>
              </w:rPr>
            </w:pPr>
          </w:p>
        </w:tc>
        <w:tc>
          <w:tcPr>
            <w:tcW w:w="3060" w:type="dxa"/>
            <w:vAlign w:val="bottom"/>
            <w:vMerge w:val="continue"/>
            <w:shd w:val="clear" w:color="auto" w:fill="EDF0FC"/>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200" w:type="dxa"/>
            <w:vAlign w:val="bottom"/>
            <w:shd w:val="clear" w:color="auto" w:fill="EDF0FC"/>
          </w:tcPr>
          <w:p>
            <w:pPr>
              <w:spacing w:after="0"/>
              <w:rPr>
                <w:sz w:val="4"/>
                <w:szCs w:val="4"/>
                <w:color w:val="auto"/>
              </w:rPr>
            </w:pPr>
          </w:p>
        </w:tc>
        <w:tc>
          <w:tcPr>
            <w:tcW w:w="420" w:type="dxa"/>
            <w:vAlign w:val="bottom"/>
            <w:shd w:val="clear" w:color="auto" w:fill="EDF0FC"/>
          </w:tcPr>
          <w:p>
            <w:pPr>
              <w:spacing w:after="0"/>
              <w:rPr>
                <w:sz w:val="4"/>
                <w:szCs w:val="4"/>
                <w:color w:val="auto"/>
              </w:rPr>
            </w:pPr>
          </w:p>
        </w:tc>
        <w:tc>
          <w:tcPr>
            <w:tcW w:w="2820" w:type="dxa"/>
            <w:vAlign w:val="bottom"/>
            <w:vMerge w:val="continue"/>
            <w:shd w:val="clear" w:color="auto" w:fill="EDF0FC"/>
          </w:tcPr>
          <w:p>
            <w:pPr>
              <w:spacing w:after="0"/>
              <w:rPr>
                <w:sz w:val="4"/>
                <w:szCs w:val="4"/>
                <w:color w:val="auto"/>
              </w:rPr>
            </w:pPr>
          </w:p>
        </w:tc>
        <w:tc>
          <w:tcPr>
            <w:tcW w:w="280" w:type="dxa"/>
            <w:vAlign w:val="bottom"/>
            <w:tcBorders>
              <w:right w:val="single" w:sz="8" w:color="auto"/>
            </w:tcBorders>
            <w:shd w:val="clear" w:color="auto" w:fill="EDF0FC"/>
          </w:tcPr>
          <w:p>
            <w:pPr>
              <w:spacing w:after="0"/>
              <w:rPr>
                <w:sz w:val="4"/>
                <w:szCs w:val="4"/>
                <w:color w:val="auto"/>
              </w:rPr>
            </w:pPr>
          </w:p>
        </w:tc>
        <w:tc>
          <w:tcPr>
            <w:tcW w:w="260" w:type="dxa"/>
            <w:vAlign w:val="bottom"/>
            <w:shd w:val="clear" w:color="auto" w:fill="EDF0FC"/>
          </w:tcPr>
          <w:p>
            <w:pPr>
              <w:spacing w:after="0"/>
              <w:rPr>
                <w:sz w:val="4"/>
                <w:szCs w:val="4"/>
                <w:color w:val="auto"/>
              </w:rPr>
            </w:pPr>
          </w:p>
        </w:tc>
        <w:tc>
          <w:tcPr>
            <w:tcW w:w="420" w:type="dxa"/>
            <w:vAlign w:val="bottom"/>
            <w:shd w:val="clear" w:color="auto" w:fill="EDF0FC"/>
          </w:tcPr>
          <w:p>
            <w:pPr>
              <w:spacing w:after="0"/>
              <w:rPr>
                <w:sz w:val="4"/>
                <w:szCs w:val="4"/>
                <w:color w:val="auto"/>
              </w:rPr>
            </w:pPr>
          </w:p>
        </w:tc>
        <w:tc>
          <w:tcPr>
            <w:tcW w:w="2820" w:type="dxa"/>
            <w:vAlign w:val="bottom"/>
            <w:vMerge w:val="continue"/>
            <w:shd w:val="clear" w:color="auto" w:fill="EDF0FC"/>
          </w:tcPr>
          <w:p>
            <w:pPr>
              <w:spacing w:after="0"/>
              <w:rPr>
                <w:sz w:val="4"/>
                <w:szCs w:val="4"/>
                <w:color w:val="auto"/>
              </w:rPr>
            </w:pPr>
          </w:p>
        </w:tc>
        <w:tc>
          <w:tcPr>
            <w:tcW w:w="280" w:type="dxa"/>
            <w:vAlign w:val="bottom"/>
            <w:tcBorders>
              <w:right w:val="single" w:sz="8" w:color="auto"/>
            </w:tcBorders>
            <w:shd w:val="clear" w:color="auto" w:fill="EDF0FC"/>
          </w:tcPr>
          <w:p>
            <w:pPr>
              <w:spacing w:after="0"/>
              <w:rPr>
                <w:sz w:val="4"/>
                <w:szCs w:val="4"/>
                <w:color w:val="auto"/>
              </w:rPr>
            </w:pPr>
          </w:p>
        </w:tc>
        <w:tc>
          <w:tcPr>
            <w:tcW w:w="260" w:type="dxa"/>
            <w:vAlign w:val="bottom"/>
            <w:shd w:val="clear" w:color="auto" w:fill="EDF0FC"/>
          </w:tcPr>
          <w:p>
            <w:pPr>
              <w:spacing w:after="0"/>
              <w:rPr>
                <w:sz w:val="4"/>
                <w:szCs w:val="4"/>
                <w:color w:val="auto"/>
              </w:rPr>
            </w:pPr>
          </w:p>
        </w:tc>
        <w:tc>
          <w:tcPr>
            <w:tcW w:w="420" w:type="dxa"/>
            <w:vAlign w:val="bottom"/>
            <w:shd w:val="clear" w:color="auto" w:fill="EDF0FC"/>
          </w:tcPr>
          <w:p>
            <w:pPr>
              <w:spacing w:after="0"/>
              <w:rPr>
                <w:sz w:val="4"/>
                <w:szCs w:val="4"/>
                <w:color w:val="auto"/>
              </w:rPr>
            </w:pPr>
          </w:p>
        </w:tc>
        <w:tc>
          <w:tcPr>
            <w:tcW w:w="3060" w:type="dxa"/>
            <w:vAlign w:val="bottom"/>
            <w:vMerge w:val="continue"/>
            <w:shd w:val="clear" w:color="auto" w:fill="EDF0FC"/>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0" w:type="dxa"/>
            <w:vAlign w:val="bottom"/>
            <w:shd w:val="clear" w:color="auto" w:fill="EDF0FC"/>
          </w:tcPr>
          <w:p>
            <w:pPr>
              <w:spacing w:after="0"/>
              <w:rPr>
                <w:sz w:val="19"/>
                <w:szCs w:val="19"/>
                <w:color w:val="auto"/>
              </w:rPr>
            </w:pPr>
          </w:p>
        </w:tc>
        <w:tc>
          <w:tcPr>
            <w:tcW w:w="420" w:type="dxa"/>
            <w:vAlign w:val="bottom"/>
            <w:shd w:val="clear" w:color="auto" w:fill="EDF0FC"/>
          </w:tcPr>
          <w:p>
            <w:pPr>
              <w:spacing w:after="0"/>
              <w:rPr>
                <w:sz w:val="19"/>
                <w:szCs w:val="19"/>
                <w:color w:val="auto"/>
              </w:rPr>
            </w:pPr>
          </w:p>
        </w:tc>
        <w:tc>
          <w:tcPr>
            <w:tcW w:w="2820" w:type="dxa"/>
            <w:vAlign w:val="bottom"/>
            <w:shd w:val="clear" w:color="auto" w:fill="EDF0FC"/>
          </w:tcPr>
          <w:p>
            <w:pPr>
              <w:ind w:left="140"/>
              <w:spacing w:after="0"/>
              <w:rPr>
                <w:sz w:val="20"/>
                <w:szCs w:val="20"/>
                <w:color w:val="auto"/>
              </w:rPr>
            </w:pPr>
            <w:r>
              <w:rPr>
                <w:rFonts w:ascii="Arial" w:cs="Arial" w:eastAsia="Arial" w:hAnsi="Arial"/>
                <w:sz w:val="16"/>
                <w:szCs w:val="16"/>
                <w:b w:val="1"/>
                <w:bCs w:val="1"/>
                <w:color w:val="auto"/>
              </w:rPr>
              <w:t>SUSTAINABILITY</w:t>
            </w:r>
          </w:p>
        </w:tc>
        <w:tc>
          <w:tcPr>
            <w:tcW w:w="280" w:type="dxa"/>
            <w:vAlign w:val="bottom"/>
            <w:tcBorders>
              <w:right w:val="single" w:sz="8" w:color="auto"/>
            </w:tcBorders>
            <w:shd w:val="clear" w:color="auto" w:fill="EDF0FC"/>
          </w:tcPr>
          <w:p>
            <w:pPr>
              <w:spacing w:after="0"/>
              <w:rPr>
                <w:sz w:val="19"/>
                <w:szCs w:val="19"/>
                <w:color w:val="auto"/>
              </w:rPr>
            </w:pPr>
          </w:p>
        </w:tc>
        <w:tc>
          <w:tcPr>
            <w:tcW w:w="260" w:type="dxa"/>
            <w:vAlign w:val="bottom"/>
            <w:shd w:val="clear" w:color="auto" w:fill="EDF0FC"/>
          </w:tcPr>
          <w:p>
            <w:pPr>
              <w:spacing w:after="0"/>
              <w:rPr>
                <w:sz w:val="19"/>
                <w:szCs w:val="19"/>
                <w:color w:val="auto"/>
              </w:rPr>
            </w:pPr>
          </w:p>
        </w:tc>
        <w:tc>
          <w:tcPr>
            <w:tcW w:w="420" w:type="dxa"/>
            <w:vAlign w:val="bottom"/>
            <w:shd w:val="clear" w:color="auto" w:fill="EDF0FC"/>
          </w:tcPr>
          <w:p>
            <w:pPr>
              <w:spacing w:after="0"/>
              <w:rPr>
                <w:sz w:val="19"/>
                <w:szCs w:val="19"/>
                <w:color w:val="auto"/>
              </w:rPr>
            </w:pPr>
          </w:p>
        </w:tc>
        <w:tc>
          <w:tcPr>
            <w:tcW w:w="2820" w:type="dxa"/>
            <w:vAlign w:val="bottom"/>
            <w:shd w:val="clear" w:color="auto" w:fill="EDF0FC"/>
          </w:tcPr>
          <w:p>
            <w:pPr>
              <w:ind w:left="140"/>
              <w:spacing w:after="0"/>
              <w:rPr>
                <w:sz w:val="20"/>
                <w:szCs w:val="20"/>
                <w:color w:val="auto"/>
              </w:rPr>
            </w:pPr>
            <w:r>
              <w:rPr>
                <w:rFonts w:ascii="Arial" w:cs="Arial" w:eastAsia="Arial" w:hAnsi="Arial"/>
                <w:sz w:val="16"/>
                <w:szCs w:val="16"/>
                <w:b w:val="1"/>
                <w:bCs w:val="1"/>
                <w:color w:val="auto"/>
              </w:rPr>
              <w:t>PRACTICES</w:t>
            </w:r>
          </w:p>
        </w:tc>
        <w:tc>
          <w:tcPr>
            <w:tcW w:w="280" w:type="dxa"/>
            <w:vAlign w:val="bottom"/>
            <w:tcBorders>
              <w:right w:val="single" w:sz="8" w:color="auto"/>
            </w:tcBorders>
            <w:shd w:val="clear" w:color="auto" w:fill="EDF0FC"/>
          </w:tcPr>
          <w:p>
            <w:pPr>
              <w:spacing w:after="0"/>
              <w:rPr>
                <w:sz w:val="19"/>
                <w:szCs w:val="19"/>
                <w:color w:val="auto"/>
              </w:rPr>
            </w:pPr>
          </w:p>
        </w:tc>
        <w:tc>
          <w:tcPr>
            <w:tcW w:w="260" w:type="dxa"/>
            <w:vAlign w:val="bottom"/>
            <w:shd w:val="clear" w:color="auto" w:fill="EDF0FC"/>
          </w:tcPr>
          <w:p>
            <w:pPr>
              <w:spacing w:after="0"/>
              <w:rPr>
                <w:sz w:val="19"/>
                <w:szCs w:val="19"/>
                <w:color w:val="auto"/>
              </w:rPr>
            </w:pPr>
          </w:p>
        </w:tc>
        <w:tc>
          <w:tcPr>
            <w:tcW w:w="420" w:type="dxa"/>
            <w:vAlign w:val="bottom"/>
            <w:shd w:val="clear" w:color="auto" w:fill="EDF0FC"/>
          </w:tcPr>
          <w:p>
            <w:pPr>
              <w:spacing w:after="0"/>
              <w:rPr>
                <w:sz w:val="19"/>
                <w:szCs w:val="19"/>
                <w:color w:val="auto"/>
              </w:rPr>
            </w:pPr>
          </w:p>
        </w:tc>
        <w:tc>
          <w:tcPr>
            <w:tcW w:w="3060" w:type="dxa"/>
            <w:vAlign w:val="bottom"/>
            <w:shd w:val="clear" w:color="auto" w:fill="EDF0FC"/>
          </w:tcPr>
          <w:p>
            <w:pPr>
              <w:ind w:left="140"/>
              <w:spacing w:after="0"/>
              <w:rPr>
                <w:sz w:val="20"/>
                <w:szCs w:val="20"/>
                <w:color w:val="auto"/>
              </w:rPr>
            </w:pPr>
            <w:r>
              <w:rPr>
                <w:rFonts w:ascii="Arial" w:cs="Arial" w:eastAsia="Arial" w:hAnsi="Arial"/>
                <w:sz w:val="16"/>
                <w:szCs w:val="16"/>
                <w:b w:val="1"/>
                <w:bCs w:val="1"/>
                <w:color w:val="auto"/>
              </w:rPr>
              <w:t>PRACTICES</w:t>
            </w:r>
          </w:p>
        </w:tc>
        <w:tc>
          <w:tcPr>
            <w:tcW w:w="0" w:type="dxa"/>
            <w:vAlign w:val="bottom"/>
          </w:tcPr>
          <w:p>
            <w:pPr>
              <w:spacing w:after="0"/>
              <w:rPr>
                <w:sz w:val="1"/>
                <w:szCs w:val="1"/>
                <w:color w:val="auto"/>
              </w:rPr>
            </w:pPr>
          </w:p>
        </w:tc>
      </w:tr>
      <w:tr>
        <w:trPr>
          <w:trHeight w:val="177"/>
        </w:trPr>
        <w:tc>
          <w:tcPr>
            <w:tcW w:w="200" w:type="dxa"/>
            <w:vAlign w:val="bottom"/>
            <w:tcBorders>
              <w:bottom w:val="single" w:sz="8" w:color="EDF0FC"/>
            </w:tcBorders>
            <w:shd w:val="clear" w:color="auto" w:fill="EDF0FC"/>
          </w:tcPr>
          <w:p>
            <w:pPr>
              <w:spacing w:after="0"/>
              <w:rPr>
                <w:sz w:val="15"/>
                <w:szCs w:val="15"/>
                <w:color w:val="auto"/>
              </w:rPr>
            </w:pPr>
          </w:p>
        </w:tc>
        <w:tc>
          <w:tcPr>
            <w:tcW w:w="420" w:type="dxa"/>
            <w:vAlign w:val="bottom"/>
            <w:tcBorders>
              <w:bottom w:val="single" w:sz="8" w:color="00C4B3"/>
            </w:tcBorders>
            <w:shd w:val="clear" w:color="auto" w:fill="EDF0FC"/>
          </w:tcPr>
          <w:p>
            <w:pPr>
              <w:spacing w:after="0"/>
              <w:rPr>
                <w:sz w:val="15"/>
                <w:szCs w:val="15"/>
                <w:color w:val="auto"/>
              </w:rPr>
            </w:pPr>
          </w:p>
        </w:tc>
        <w:tc>
          <w:tcPr>
            <w:tcW w:w="2820" w:type="dxa"/>
            <w:vAlign w:val="bottom"/>
            <w:tcBorders>
              <w:bottom w:val="single" w:sz="8" w:color="EDF0FC"/>
            </w:tcBorders>
            <w:vMerge w:val="restart"/>
            <w:shd w:val="clear" w:color="auto" w:fill="EDF0FC"/>
          </w:tcPr>
          <w:p>
            <w:pPr>
              <w:ind w:left="140"/>
              <w:spacing w:after="0"/>
              <w:rPr>
                <w:sz w:val="20"/>
                <w:szCs w:val="20"/>
                <w:color w:val="auto"/>
              </w:rPr>
            </w:pPr>
            <w:r>
              <w:rPr>
                <w:rFonts w:ascii="Arial" w:cs="Arial" w:eastAsia="Arial" w:hAnsi="Arial"/>
                <w:sz w:val="16"/>
                <w:szCs w:val="16"/>
                <w:color w:val="auto"/>
              </w:rPr>
              <w:t>Manage carbon emissions and</w:t>
            </w:r>
          </w:p>
        </w:tc>
        <w:tc>
          <w:tcPr>
            <w:tcW w:w="280" w:type="dxa"/>
            <w:vAlign w:val="bottom"/>
            <w:tcBorders>
              <w:bottom w:val="single" w:sz="8" w:color="EDF0FC"/>
              <w:right w:val="single" w:sz="8" w:color="auto"/>
            </w:tcBorders>
            <w:shd w:val="clear" w:color="auto" w:fill="EDF0FC"/>
          </w:tcPr>
          <w:p>
            <w:pPr>
              <w:spacing w:after="0"/>
              <w:rPr>
                <w:sz w:val="15"/>
                <w:szCs w:val="15"/>
                <w:color w:val="auto"/>
              </w:rPr>
            </w:pPr>
          </w:p>
        </w:tc>
        <w:tc>
          <w:tcPr>
            <w:tcW w:w="260" w:type="dxa"/>
            <w:vAlign w:val="bottom"/>
            <w:tcBorders>
              <w:bottom w:val="single" w:sz="8" w:color="EDF0FC"/>
            </w:tcBorders>
            <w:shd w:val="clear" w:color="auto" w:fill="EDF0FC"/>
          </w:tcPr>
          <w:p>
            <w:pPr>
              <w:spacing w:after="0"/>
              <w:rPr>
                <w:sz w:val="15"/>
                <w:szCs w:val="15"/>
                <w:color w:val="auto"/>
              </w:rPr>
            </w:pPr>
          </w:p>
        </w:tc>
        <w:tc>
          <w:tcPr>
            <w:tcW w:w="420" w:type="dxa"/>
            <w:vAlign w:val="bottom"/>
            <w:tcBorders>
              <w:bottom w:val="single" w:sz="8" w:color="00C4B3"/>
            </w:tcBorders>
            <w:shd w:val="clear" w:color="auto" w:fill="EDF0FC"/>
          </w:tcPr>
          <w:p>
            <w:pPr>
              <w:spacing w:after="0"/>
              <w:rPr>
                <w:sz w:val="15"/>
                <w:szCs w:val="15"/>
                <w:color w:val="auto"/>
              </w:rPr>
            </w:pPr>
          </w:p>
        </w:tc>
        <w:tc>
          <w:tcPr>
            <w:tcW w:w="2820" w:type="dxa"/>
            <w:vAlign w:val="bottom"/>
            <w:tcBorders>
              <w:bottom w:val="single" w:sz="8" w:color="EDF0FC"/>
            </w:tcBorders>
            <w:vMerge w:val="restart"/>
            <w:shd w:val="clear" w:color="auto" w:fill="EDF0FC"/>
          </w:tcPr>
          <w:p>
            <w:pPr>
              <w:ind w:left="140"/>
              <w:spacing w:after="0"/>
              <w:rPr>
                <w:sz w:val="20"/>
                <w:szCs w:val="20"/>
                <w:color w:val="auto"/>
              </w:rPr>
            </w:pPr>
            <w:r>
              <w:rPr>
                <w:rFonts w:ascii="Arial" w:cs="Arial" w:eastAsia="Arial" w:hAnsi="Arial"/>
                <w:sz w:val="16"/>
                <w:szCs w:val="16"/>
                <w:color w:val="auto"/>
              </w:rPr>
              <w:t>Act responsibly and enable our</w:t>
            </w:r>
          </w:p>
        </w:tc>
        <w:tc>
          <w:tcPr>
            <w:tcW w:w="280" w:type="dxa"/>
            <w:vAlign w:val="bottom"/>
            <w:tcBorders>
              <w:bottom w:val="single" w:sz="8" w:color="EDF0FC"/>
              <w:right w:val="single" w:sz="8" w:color="auto"/>
            </w:tcBorders>
            <w:vMerge w:val="restart"/>
            <w:shd w:val="clear" w:color="auto" w:fill="EDF0FC"/>
          </w:tcPr>
          <w:p>
            <w:pPr>
              <w:spacing w:after="0"/>
              <w:rPr>
                <w:sz w:val="15"/>
                <w:szCs w:val="15"/>
                <w:color w:val="auto"/>
              </w:rPr>
            </w:pPr>
          </w:p>
        </w:tc>
        <w:tc>
          <w:tcPr>
            <w:tcW w:w="260" w:type="dxa"/>
            <w:vAlign w:val="bottom"/>
            <w:tcBorders>
              <w:bottom w:val="single" w:sz="8" w:color="EDF0FC"/>
            </w:tcBorders>
            <w:shd w:val="clear" w:color="auto" w:fill="EDF0FC"/>
          </w:tcPr>
          <w:p>
            <w:pPr>
              <w:spacing w:after="0"/>
              <w:rPr>
                <w:sz w:val="15"/>
                <w:szCs w:val="15"/>
                <w:color w:val="auto"/>
              </w:rPr>
            </w:pPr>
          </w:p>
        </w:tc>
        <w:tc>
          <w:tcPr>
            <w:tcW w:w="420" w:type="dxa"/>
            <w:vAlign w:val="bottom"/>
            <w:tcBorders>
              <w:bottom w:val="single" w:sz="8" w:color="00C4B3"/>
            </w:tcBorders>
            <w:shd w:val="clear" w:color="auto" w:fill="EDF0FC"/>
          </w:tcPr>
          <w:p>
            <w:pPr>
              <w:spacing w:after="0"/>
              <w:rPr>
                <w:sz w:val="15"/>
                <w:szCs w:val="15"/>
                <w:color w:val="auto"/>
              </w:rPr>
            </w:pPr>
          </w:p>
        </w:tc>
        <w:tc>
          <w:tcPr>
            <w:tcW w:w="3060" w:type="dxa"/>
            <w:vAlign w:val="bottom"/>
            <w:tcBorders>
              <w:bottom w:val="single" w:sz="8" w:color="EDF0FC"/>
            </w:tcBorders>
            <w:vMerge w:val="restart"/>
            <w:shd w:val="clear" w:color="auto" w:fill="EDF0FC"/>
          </w:tcPr>
          <w:p>
            <w:pPr>
              <w:ind w:left="140"/>
              <w:spacing w:after="0"/>
              <w:rPr>
                <w:sz w:val="20"/>
                <w:szCs w:val="20"/>
                <w:color w:val="auto"/>
              </w:rPr>
            </w:pPr>
            <w:r>
              <w:rPr>
                <w:rFonts w:ascii="Arial" w:cs="Arial" w:eastAsia="Arial" w:hAnsi="Arial"/>
                <w:sz w:val="16"/>
                <w:szCs w:val="16"/>
                <w:color w:val="auto"/>
              </w:rPr>
              <w:t>Implement policies and practices that</w:t>
            </w:r>
          </w:p>
        </w:tc>
        <w:tc>
          <w:tcPr>
            <w:tcW w:w="0" w:type="dxa"/>
            <w:vAlign w:val="bottom"/>
          </w:tcPr>
          <w:p>
            <w:pPr>
              <w:spacing w:after="0"/>
              <w:rPr>
                <w:sz w:val="1"/>
                <w:szCs w:val="1"/>
                <w:color w:val="auto"/>
              </w:rPr>
            </w:pPr>
          </w:p>
        </w:tc>
      </w:tr>
      <w:tr>
        <w:trPr>
          <w:trHeight w:val="106"/>
        </w:trPr>
        <w:tc>
          <w:tcPr>
            <w:tcW w:w="200" w:type="dxa"/>
            <w:vAlign w:val="bottom"/>
            <w:shd w:val="clear" w:color="auto" w:fill="EDF0FC"/>
          </w:tcPr>
          <w:p>
            <w:pPr>
              <w:spacing w:after="0"/>
              <w:rPr>
                <w:sz w:val="9"/>
                <w:szCs w:val="9"/>
                <w:color w:val="auto"/>
              </w:rPr>
            </w:pPr>
          </w:p>
        </w:tc>
        <w:tc>
          <w:tcPr>
            <w:tcW w:w="420" w:type="dxa"/>
            <w:vAlign w:val="bottom"/>
            <w:shd w:val="clear" w:color="auto" w:fill="EDF0FC"/>
          </w:tcPr>
          <w:p>
            <w:pPr>
              <w:spacing w:after="0"/>
              <w:rPr>
                <w:sz w:val="9"/>
                <w:szCs w:val="9"/>
                <w:color w:val="auto"/>
              </w:rPr>
            </w:pPr>
          </w:p>
        </w:tc>
        <w:tc>
          <w:tcPr>
            <w:tcW w:w="2820" w:type="dxa"/>
            <w:vAlign w:val="bottom"/>
            <w:vMerge w:val="continue"/>
            <w:shd w:val="clear" w:color="auto" w:fill="EDF0FC"/>
          </w:tcPr>
          <w:p>
            <w:pPr>
              <w:spacing w:after="0"/>
              <w:rPr>
                <w:sz w:val="9"/>
                <w:szCs w:val="9"/>
                <w:color w:val="auto"/>
              </w:rPr>
            </w:pPr>
          </w:p>
        </w:tc>
        <w:tc>
          <w:tcPr>
            <w:tcW w:w="280" w:type="dxa"/>
            <w:vAlign w:val="bottom"/>
            <w:tcBorders>
              <w:right w:val="single" w:sz="8" w:color="auto"/>
            </w:tcBorders>
            <w:shd w:val="clear" w:color="auto" w:fill="EDF0FC"/>
          </w:tcPr>
          <w:p>
            <w:pPr>
              <w:spacing w:after="0"/>
              <w:rPr>
                <w:sz w:val="9"/>
                <w:szCs w:val="9"/>
                <w:color w:val="auto"/>
              </w:rPr>
            </w:pPr>
          </w:p>
        </w:tc>
        <w:tc>
          <w:tcPr>
            <w:tcW w:w="260" w:type="dxa"/>
            <w:vAlign w:val="bottom"/>
            <w:shd w:val="clear" w:color="auto" w:fill="EDF0FC"/>
          </w:tcPr>
          <w:p>
            <w:pPr>
              <w:spacing w:after="0"/>
              <w:rPr>
                <w:sz w:val="9"/>
                <w:szCs w:val="9"/>
                <w:color w:val="auto"/>
              </w:rPr>
            </w:pPr>
          </w:p>
        </w:tc>
        <w:tc>
          <w:tcPr>
            <w:tcW w:w="420" w:type="dxa"/>
            <w:vAlign w:val="bottom"/>
            <w:shd w:val="clear" w:color="auto" w:fill="EDF0FC"/>
          </w:tcPr>
          <w:p>
            <w:pPr>
              <w:spacing w:after="0"/>
              <w:rPr>
                <w:sz w:val="9"/>
                <w:szCs w:val="9"/>
                <w:color w:val="auto"/>
              </w:rPr>
            </w:pPr>
          </w:p>
        </w:tc>
        <w:tc>
          <w:tcPr>
            <w:tcW w:w="2820" w:type="dxa"/>
            <w:vAlign w:val="bottom"/>
            <w:vMerge w:val="continue"/>
            <w:shd w:val="clear" w:color="auto" w:fill="EDF0FC"/>
          </w:tcPr>
          <w:p>
            <w:pPr>
              <w:spacing w:after="0"/>
              <w:rPr>
                <w:sz w:val="9"/>
                <w:szCs w:val="9"/>
                <w:color w:val="auto"/>
              </w:rPr>
            </w:pPr>
          </w:p>
        </w:tc>
        <w:tc>
          <w:tcPr>
            <w:tcW w:w="280" w:type="dxa"/>
            <w:vAlign w:val="bottom"/>
            <w:tcBorders>
              <w:right w:val="single" w:sz="8" w:color="auto"/>
            </w:tcBorders>
            <w:vMerge w:val="continue"/>
            <w:shd w:val="clear" w:color="auto" w:fill="EDF0FC"/>
          </w:tcPr>
          <w:p>
            <w:pPr>
              <w:spacing w:after="0"/>
              <w:rPr>
                <w:sz w:val="9"/>
                <w:szCs w:val="9"/>
                <w:color w:val="auto"/>
              </w:rPr>
            </w:pPr>
          </w:p>
        </w:tc>
        <w:tc>
          <w:tcPr>
            <w:tcW w:w="260" w:type="dxa"/>
            <w:vAlign w:val="bottom"/>
            <w:shd w:val="clear" w:color="auto" w:fill="EDF0FC"/>
          </w:tcPr>
          <w:p>
            <w:pPr>
              <w:spacing w:after="0"/>
              <w:rPr>
                <w:sz w:val="9"/>
                <w:szCs w:val="9"/>
                <w:color w:val="auto"/>
              </w:rPr>
            </w:pPr>
          </w:p>
        </w:tc>
        <w:tc>
          <w:tcPr>
            <w:tcW w:w="420" w:type="dxa"/>
            <w:vAlign w:val="bottom"/>
            <w:shd w:val="clear" w:color="auto" w:fill="EDF0FC"/>
          </w:tcPr>
          <w:p>
            <w:pPr>
              <w:spacing w:after="0"/>
              <w:rPr>
                <w:sz w:val="9"/>
                <w:szCs w:val="9"/>
                <w:color w:val="auto"/>
              </w:rPr>
            </w:pPr>
          </w:p>
        </w:tc>
        <w:tc>
          <w:tcPr>
            <w:tcW w:w="3060" w:type="dxa"/>
            <w:vAlign w:val="bottom"/>
            <w:vMerge w:val="continue"/>
            <w:shd w:val="clear" w:color="auto" w:fill="EDF0FC"/>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00" w:type="dxa"/>
            <w:vAlign w:val="bottom"/>
            <w:shd w:val="clear" w:color="auto" w:fill="EDF0FC"/>
          </w:tcPr>
          <w:p>
            <w:pPr>
              <w:spacing w:after="0"/>
              <w:rPr>
                <w:sz w:val="17"/>
                <w:szCs w:val="17"/>
                <w:color w:val="auto"/>
              </w:rPr>
            </w:pPr>
          </w:p>
        </w:tc>
        <w:tc>
          <w:tcPr>
            <w:tcW w:w="420" w:type="dxa"/>
            <w:vAlign w:val="bottom"/>
            <w:shd w:val="clear" w:color="auto" w:fill="EDF0FC"/>
          </w:tcPr>
          <w:p>
            <w:pPr>
              <w:spacing w:after="0"/>
              <w:rPr>
                <w:sz w:val="17"/>
                <w:szCs w:val="17"/>
                <w:color w:val="auto"/>
              </w:rPr>
            </w:pPr>
          </w:p>
        </w:tc>
        <w:tc>
          <w:tcPr>
            <w:tcW w:w="2820" w:type="dxa"/>
            <w:vAlign w:val="bottom"/>
            <w:shd w:val="clear" w:color="auto" w:fill="EDF0FC"/>
          </w:tcPr>
          <w:p>
            <w:pPr>
              <w:ind w:left="140"/>
              <w:spacing w:after="0"/>
              <w:rPr>
                <w:sz w:val="20"/>
                <w:szCs w:val="20"/>
                <w:color w:val="auto"/>
              </w:rPr>
            </w:pPr>
            <w:r>
              <w:rPr>
                <w:rFonts w:ascii="Arial" w:cs="Arial" w:eastAsia="Arial" w:hAnsi="Arial"/>
                <w:sz w:val="16"/>
                <w:szCs w:val="16"/>
                <w:color w:val="auto"/>
              </w:rPr>
              <w:t>climate risks and opportunities, and</w:t>
            </w:r>
          </w:p>
        </w:tc>
        <w:tc>
          <w:tcPr>
            <w:tcW w:w="280" w:type="dxa"/>
            <w:vAlign w:val="bottom"/>
            <w:tcBorders>
              <w:right w:val="single" w:sz="8" w:color="auto"/>
            </w:tcBorders>
            <w:shd w:val="clear" w:color="auto" w:fill="EDF0FC"/>
          </w:tcPr>
          <w:p>
            <w:pPr>
              <w:spacing w:after="0"/>
              <w:rPr>
                <w:sz w:val="17"/>
                <w:szCs w:val="17"/>
                <w:color w:val="auto"/>
              </w:rPr>
            </w:pPr>
          </w:p>
        </w:tc>
        <w:tc>
          <w:tcPr>
            <w:tcW w:w="260" w:type="dxa"/>
            <w:vAlign w:val="bottom"/>
            <w:shd w:val="clear" w:color="auto" w:fill="EDF0FC"/>
          </w:tcPr>
          <w:p>
            <w:pPr>
              <w:spacing w:after="0"/>
              <w:rPr>
                <w:sz w:val="17"/>
                <w:szCs w:val="17"/>
                <w:color w:val="auto"/>
              </w:rPr>
            </w:pPr>
          </w:p>
        </w:tc>
        <w:tc>
          <w:tcPr>
            <w:tcW w:w="420" w:type="dxa"/>
            <w:vAlign w:val="bottom"/>
            <w:shd w:val="clear" w:color="auto" w:fill="EDF0FC"/>
          </w:tcPr>
          <w:p>
            <w:pPr>
              <w:spacing w:after="0"/>
              <w:rPr>
                <w:sz w:val="17"/>
                <w:szCs w:val="17"/>
                <w:color w:val="auto"/>
              </w:rPr>
            </w:pPr>
          </w:p>
        </w:tc>
        <w:tc>
          <w:tcPr>
            <w:tcW w:w="2820" w:type="dxa"/>
            <w:vAlign w:val="bottom"/>
            <w:shd w:val="clear" w:color="auto" w:fill="EDF0FC"/>
          </w:tcPr>
          <w:p>
            <w:pPr>
              <w:ind w:left="140"/>
              <w:spacing w:after="0"/>
              <w:rPr>
                <w:sz w:val="20"/>
                <w:szCs w:val="20"/>
                <w:color w:val="auto"/>
              </w:rPr>
            </w:pPr>
            <w:r>
              <w:rPr>
                <w:rFonts w:ascii="Arial" w:cs="Arial" w:eastAsia="Arial" w:hAnsi="Arial"/>
                <w:sz w:val="16"/>
                <w:szCs w:val="16"/>
                <w:color w:val="auto"/>
              </w:rPr>
              <w:t>people to deliver innovative products</w:t>
            </w:r>
          </w:p>
        </w:tc>
        <w:tc>
          <w:tcPr>
            <w:tcW w:w="280" w:type="dxa"/>
            <w:vAlign w:val="bottom"/>
            <w:tcBorders>
              <w:right w:val="single" w:sz="8" w:color="auto"/>
            </w:tcBorders>
            <w:shd w:val="clear" w:color="auto" w:fill="EDF0FC"/>
          </w:tcPr>
          <w:p>
            <w:pPr>
              <w:spacing w:after="0"/>
              <w:rPr>
                <w:sz w:val="17"/>
                <w:szCs w:val="17"/>
                <w:color w:val="auto"/>
              </w:rPr>
            </w:pPr>
          </w:p>
        </w:tc>
        <w:tc>
          <w:tcPr>
            <w:tcW w:w="260" w:type="dxa"/>
            <w:vAlign w:val="bottom"/>
            <w:shd w:val="clear" w:color="auto" w:fill="EDF0FC"/>
          </w:tcPr>
          <w:p>
            <w:pPr>
              <w:spacing w:after="0"/>
              <w:rPr>
                <w:sz w:val="17"/>
                <w:szCs w:val="17"/>
                <w:color w:val="auto"/>
              </w:rPr>
            </w:pPr>
          </w:p>
        </w:tc>
        <w:tc>
          <w:tcPr>
            <w:tcW w:w="420" w:type="dxa"/>
            <w:vAlign w:val="bottom"/>
            <w:shd w:val="clear" w:color="auto" w:fill="EDF0FC"/>
          </w:tcPr>
          <w:p>
            <w:pPr>
              <w:spacing w:after="0"/>
              <w:rPr>
                <w:sz w:val="17"/>
                <w:szCs w:val="17"/>
                <w:color w:val="auto"/>
              </w:rPr>
            </w:pPr>
          </w:p>
        </w:tc>
        <w:tc>
          <w:tcPr>
            <w:tcW w:w="3060" w:type="dxa"/>
            <w:vAlign w:val="bottom"/>
            <w:shd w:val="clear" w:color="auto" w:fill="EDF0FC"/>
          </w:tcPr>
          <w:p>
            <w:pPr>
              <w:ind w:left="140"/>
              <w:spacing w:after="0"/>
              <w:rPr>
                <w:sz w:val="20"/>
                <w:szCs w:val="20"/>
                <w:color w:val="auto"/>
              </w:rPr>
            </w:pPr>
            <w:r>
              <w:rPr>
                <w:rFonts w:ascii="Arial" w:cs="Arial" w:eastAsia="Arial" w:hAnsi="Arial"/>
                <w:sz w:val="16"/>
                <w:szCs w:val="16"/>
                <w:color w:val="auto"/>
              </w:rPr>
              <w:t>reflect MSCI’s commitment to strong</w:t>
            </w:r>
          </w:p>
        </w:tc>
        <w:tc>
          <w:tcPr>
            <w:tcW w:w="0" w:type="dxa"/>
            <w:vAlign w:val="bottom"/>
          </w:tcPr>
          <w:p>
            <w:pPr>
              <w:spacing w:after="0"/>
              <w:rPr>
                <w:sz w:val="1"/>
                <w:szCs w:val="1"/>
                <w:color w:val="auto"/>
              </w:rPr>
            </w:pPr>
          </w:p>
        </w:tc>
      </w:tr>
      <w:tr>
        <w:trPr>
          <w:trHeight w:val="215"/>
        </w:trPr>
        <w:tc>
          <w:tcPr>
            <w:tcW w:w="200" w:type="dxa"/>
            <w:vAlign w:val="bottom"/>
            <w:shd w:val="clear" w:color="auto" w:fill="EDF0FC"/>
          </w:tcPr>
          <w:p>
            <w:pPr>
              <w:spacing w:after="0"/>
              <w:rPr>
                <w:sz w:val="18"/>
                <w:szCs w:val="18"/>
                <w:color w:val="auto"/>
              </w:rPr>
            </w:pPr>
          </w:p>
        </w:tc>
        <w:tc>
          <w:tcPr>
            <w:tcW w:w="420" w:type="dxa"/>
            <w:vAlign w:val="bottom"/>
            <w:shd w:val="clear" w:color="auto" w:fill="EDF0FC"/>
          </w:tcPr>
          <w:p>
            <w:pPr>
              <w:spacing w:after="0"/>
              <w:rPr>
                <w:sz w:val="18"/>
                <w:szCs w:val="18"/>
                <w:color w:val="auto"/>
              </w:rPr>
            </w:pPr>
          </w:p>
        </w:tc>
        <w:tc>
          <w:tcPr>
            <w:tcW w:w="2820" w:type="dxa"/>
            <w:vAlign w:val="bottom"/>
            <w:shd w:val="clear" w:color="auto" w:fill="EDF0FC"/>
          </w:tcPr>
          <w:p>
            <w:pPr>
              <w:ind w:left="140"/>
              <w:spacing w:after="0"/>
              <w:rPr>
                <w:sz w:val="20"/>
                <w:szCs w:val="20"/>
                <w:color w:val="auto"/>
              </w:rPr>
            </w:pPr>
            <w:r>
              <w:rPr>
                <w:rFonts w:ascii="Arial" w:cs="Arial" w:eastAsia="Arial" w:hAnsi="Arial"/>
                <w:sz w:val="16"/>
                <w:szCs w:val="16"/>
                <w:color w:val="auto"/>
              </w:rPr>
              <w:t>implement sustainable operational</w:t>
            </w:r>
          </w:p>
        </w:tc>
        <w:tc>
          <w:tcPr>
            <w:tcW w:w="280" w:type="dxa"/>
            <w:vAlign w:val="bottom"/>
            <w:tcBorders>
              <w:right w:val="single" w:sz="8" w:color="auto"/>
            </w:tcBorders>
            <w:shd w:val="clear" w:color="auto" w:fill="EDF0FC"/>
          </w:tcPr>
          <w:p>
            <w:pPr>
              <w:spacing w:after="0"/>
              <w:rPr>
                <w:sz w:val="18"/>
                <w:szCs w:val="18"/>
                <w:color w:val="auto"/>
              </w:rPr>
            </w:pPr>
          </w:p>
        </w:tc>
        <w:tc>
          <w:tcPr>
            <w:tcW w:w="260" w:type="dxa"/>
            <w:vAlign w:val="bottom"/>
            <w:shd w:val="clear" w:color="auto" w:fill="EDF0FC"/>
          </w:tcPr>
          <w:p>
            <w:pPr>
              <w:spacing w:after="0"/>
              <w:rPr>
                <w:sz w:val="18"/>
                <w:szCs w:val="18"/>
                <w:color w:val="auto"/>
              </w:rPr>
            </w:pPr>
          </w:p>
        </w:tc>
        <w:tc>
          <w:tcPr>
            <w:tcW w:w="420" w:type="dxa"/>
            <w:vAlign w:val="bottom"/>
            <w:shd w:val="clear" w:color="auto" w:fill="EDF0FC"/>
          </w:tcPr>
          <w:p>
            <w:pPr>
              <w:spacing w:after="0"/>
              <w:rPr>
                <w:sz w:val="18"/>
                <w:szCs w:val="18"/>
                <w:color w:val="auto"/>
              </w:rPr>
            </w:pPr>
          </w:p>
        </w:tc>
        <w:tc>
          <w:tcPr>
            <w:tcW w:w="2820" w:type="dxa"/>
            <w:vAlign w:val="bottom"/>
            <w:shd w:val="clear" w:color="auto" w:fill="EDF0FC"/>
          </w:tcPr>
          <w:p>
            <w:pPr>
              <w:ind w:left="140"/>
              <w:spacing w:after="0"/>
              <w:rPr>
                <w:sz w:val="20"/>
                <w:szCs w:val="20"/>
                <w:color w:val="auto"/>
              </w:rPr>
            </w:pPr>
            <w:r>
              <w:rPr>
                <w:rFonts w:ascii="Arial" w:cs="Arial" w:eastAsia="Arial" w:hAnsi="Arial"/>
                <w:sz w:val="16"/>
                <w:szCs w:val="16"/>
                <w:color w:val="auto"/>
              </w:rPr>
              <w:t>and research to the market</w:t>
            </w:r>
          </w:p>
        </w:tc>
        <w:tc>
          <w:tcPr>
            <w:tcW w:w="280" w:type="dxa"/>
            <w:vAlign w:val="bottom"/>
            <w:tcBorders>
              <w:right w:val="single" w:sz="8" w:color="auto"/>
            </w:tcBorders>
            <w:shd w:val="clear" w:color="auto" w:fill="EDF0FC"/>
          </w:tcPr>
          <w:p>
            <w:pPr>
              <w:spacing w:after="0"/>
              <w:rPr>
                <w:sz w:val="18"/>
                <w:szCs w:val="18"/>
                <w:color w:val="auto"/>
              </w:rPr>
            </w:pPr>
          </w:p>
        </w:tc>
        <w:tc>
          <w:tcPr>
            <w:tcW w:w="260" w:type="dxa"/>
            <w:vAlign w:val="bottom"/>
            <w:shd w:val="clear" w:color="auto" w:fill="EDF0FC"/>
          </w:tcPr>
          <w:p>
            <w:pPr>
              <w:spacing w:after="0"/>
              <w:rPr>
                <w:sz w:val="18"/>
                <w:szCs w:val="18"/>
                <w:color w:val="auto"/>
              </w:rPr>
            </w:pPr>
          </w:p>
        </w:tc>
        <w:tc>
          <w:tcPr>
            <w:tcW w:w="420" w:type="dxa"/>
            <w:vAlign w:val="bottom"/>
            <w:shd w:val="clear" w:color="auto" w:fill="EDF0FC"/>
          </w:tcPr>
          <w:p>
            <w:pPr>
              <w:spacing w:after="0"/>
              <w:rPr>
                <w:sz w:val="18"/>
                <w:szCs w:val="18"/>
                <w:color w:val="auto"/>
              </w:rPr>
            </w:pPr>
          </w:p>
        </w:tc>
        <w:tc>
          <w:tcPr>
            <w:tcW w:w="3060" w:type="dxa"/>
            <w:vAlign w:val="bottom"/>
            <w:shd w:val="clear" w:color="auto" w:fill="EDF0FC"/>
          </w:tcPr>
          <w:p>
            <w:pPr>
              <w:ind w:left="140"/>
              <w:spacing w:after="0"/>
              <w:rPr>
                <w:sz w:val="20"/>
                <w:szCs w:val="20"/>
                <w:color w:val="auto"/>
              </w:rPr>
            </w:pPr>
            <w:r>
              <w:rPr>
                <w:rFonts w:ascii="Arial" w:cs="Arial" w:eastAsia="Arial" w:hAnsi="Arial"/>
                <w:sz w:val="16"/>
                <w:szCs w:val="16"/>
                <w:color w:val="auto"/>
              </w:rPr>
              <w:t>governance</w:t>
            </w:r>
          </w:p>
        </w:tc>
        <w:tc>
          <w:tcPr>
            <w:tcW w:w="0" w:type="dxa"/>
            <w:vAlign w:val="bottom"/>
          </w:tcPr>
          <w:p>
            <w:pPr>
              <w:spacing w:after="0"/>
              <w:rPr>
                <w:sz w:val="1"/>
                <w:szCs w:val="1"/>
                <w:color w:val="auto"/>
              </w:rPr>
            </w:pPr>
          </w:p>
        </w:tc>
      </w:tr>
      <w:tr>
        <w:trPr>
          <w:trHeight w:val="216"/>
        </w:trPr>
        <w:tc>
          <w:tcPr>
            <w:tcW w:w="200" w:type="dxa"/>
            <w:vAlign w:val="bottom"/>
            <w:shd w:val="clear" w:color="auto" w:fill="EDF0FC"/>
          </w:tcPr>
          <w:p>
            <w:pPr>
              <w:spacing w:after="0"/>
              <w:rPr>
                <w:sz w:val="18"/>
                <w:szCs w:val="18"/>
                <w:color w:val="auto"/>
              </w:rPr>
            </w:pPr>
          </w:p>
        </w:tc>
        <w:tc>
          <w:tcPr>
            <w:tcW w:w="420" w:type="dxa"/>
            <w:vAlign w:val="bottom"/>
            <w:shd w:val="clear" w:color="auto" w:fill="EDF0FC"/>
          </w:tcPr>
          <w:p>
            <w:pPr>
              <w:spacing w:after="0"/>
              <w:rPr>
                <w:sz w:val="18"/>
                <w:szCs w:val="18"/>
                <w:color w:val="auto"/>
              </w:rPr>
            </w:pPr>
          </w:p>
        </w:tc>
        <w:tc>
          <w:tcPr>
            <w:tcW w:w="2820" w:type="dxa"/>
            <w:vAlign w:val="bottom"/>
            <w:shd w:val="clear" w:color="auto" w:fill="EDF0FC"/>
          </w:tcPr>
          <w:p>
            <w:pPr>
              <w:ind w:left="140"/>
              <w:spacing w:after="0"/>
              <w:rPr>
                <w:sz w:val="20"/>
                <w:szCs w:val="20"/>
                <w:color w:val="auto"/>
              </w:rPr>
            </w:pPr>
            <w:r>
              <w:rPr>
                <w:rFonts w:ascii="Arial" w:cs="Arial" w:eastAsia="Arial" w:hAnsi="Arial"/>
                <w:sz w:val="16"/>
                <w:szCs w:val="16"/>
                <w:color w:val="auto"/>
              </w:rPr>
              <w:t>practices</w:t>
            </w:r>
          </w:p>
        </w:tc>
        <w:tc>
          <w:tcPr>
            <w:tcW w:w="280" w:type="dxa"/>
            <w:vAlign w:val="bottom"/>
            <w:tcBorders>
              <w:right w:val="single" w:sz="8" w:color="auto"/>
            </w:tcBorders>
            <w:shd w:val="clear" w:color="auto" w:fill="EDF0FC"/>
          </w:tcPr>
          <w:p>
            <w:pPr>
              <w:spacing w:after="0"/>
              <w:rPr>
                <w:sz w:val="18"/>
                <w:szCs w:val="18"/>
                <w:color w:val="auto"/>
              </w:rPr>
            </w:pPr>
          </w:p>
        </w:tc>
        <w:tc>
          <w:tcPr>
            <w:tcW w:w="260" w:type="dxa"/>
            <w:vAlign w:val="bottom"/>
            <w:shd w:val="clear" w:color="auto" w:fill="EDF0FC"/>
          </w:tcPr>
          <w:p>
            <w:pPr>
              <w:spacing w:after="0"/>
              <w:rPr>
                <w:sz w:val="18"/>
                <w:szCs w:val="18"/>
                <w:color w:val="auto"/>
              </w:rPr>
            </w:pPr>
          </w:p>
        </w:tc>
        <w:tc>
          <w:tcPr>
            <w:tcW w:w="420" w:type="dxa"/>
            <w:vAlign w:val="bottom"/>
            <w:shd w:val="clear" w:color="auto" w:fill="EDF0FC"/>
          </w:tcPr>
          <w:p>
            <w:pPr>
              <w:spacing w:after="0"/>
              <w:rPr>
                <w:sz w:val="18"/>
                <w:szCs w:val="18"/>
                <w:color w:val="auto"/>
              </w:rPr>
            </w:pPr>
          </w:p>
        </w:tc>
        <w:tc>
          <w:tcPr>
            <w:tcW w:w="2820" w:type="dxa"/>
            <w:vAlign w:val="bottom"/>
            <w:shd w:val="clear" w:color="auto" w:fill="EDF0FC"/>
          </w:tcPr>
          <w:p>
            <w:pPr>
              <w:spacing w:after="0"/>
              <w:rPr>
                <w:sz w:val="18"/>
                <w:szCs w:val="18"/>
                <w:color w:val="auto"/>
              </w:rPr>
            </w:pPr>
          </w:p>
        </w:tc>
        <w:tc>
          <w:tcPr>
            <w:tcW w:w="280" w:type="dxa"/>
            <w:vAlign w:val="bottom"/>
            <w:tcBorders>
              <w:right w:val="single" w:sz="8" w:color="auto"/>
            </w:tcBorders>
            <w:shd w:val="clear" w:color="auto" w:fill="EDF0FC"/>
          </w:tcPr>
          <w:p>
            <w:pPr>
              <w:spacing w:after="0"/>
              <w:rPr>
                <w:sz w:val="18"/>
                <w:szCs w:val="18"/>
                <w:color w:val="auto"/>
              </w:rPr>
            </w:pPr>
          </w:p>
        </w:tc>
        <w:tc>
          <w:tcPr>
            <w:tcW w:w="260" w:type="dxa"/>
            <w:vAlign w:val="bottom"/>
            <w:shd w:val="clear" w:color="auto" w:fill="EDF0FC"/>
          </w:tcPr>
          <w:p>
            <w:pPr>
              <w:spacing w:after="0"/>
              <w:rPr>
                <w:sz w:val="18"/>
                <w:szCs w:val="18"/>
                <w:color w:val="auto"/>
              </w:rPr>
            </w:pPr>
          </w:p>
        </w:tc>
        <w:tc>
          <w:tcPr>
            <w:tcW w:w="420" w:type="dxa"/>
            <w:vAlign w:val="bottom"/>
            <w:shd w:val="clear" w:color="auto" w:fill="EDF0FC"/>
          </w:tcPr>
          <w:p>
            <w:pPr>
              <w:spacing w:after="0"/>
              <w:rPr>
                <w:sz w:val="18"/>
                <w:szCs w:val="18"/>
                <w:color w:val="auto"/>
              </w:rPr>
            </w:pPr>
          </w:p>
        </w:tc>
        <w:tc>
          <w:tcPr>
            <w:tcW w:w="3060" w:type="dxa"/>
            <w:vAlign w:val="bottom"/>
            <w:shd w:val="clear" w:color="auto" w:fill="EDF0FC"/>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0" w:type="dxa"/>
            <w:vAlign w:val="bottom"/>
            <w:shd w:val="clear" w:color="auto" w:fill="EDF0FC"/>
          </w:tcPr>
          <w:p>
            <w:pPr>
              <w:spacing w:after="0"/>
              <w:rPr>
                <w:sz w:val="15"/>
                <w:szCs w:val="15"/>
                <w:color w:val="auto"/>
              </w:rPr>
            </w:pPr>
          </w:p>
        </w:tc>
        <w:tc>
          <w:tcPr>
            <w:tcW w:w="420" w:type="dxa"/>
            <w:vAlign w:val="bottom"/>
            <w:shd w:val="clear" w:color="auto" w:fill="EDF0FC"/>
          </w:tcPr>
          <w:p>
            <w:pPr>
              <w:spacing w:after="0"/>
              <w:rPr>
                <w:sz w:val="15"/>
                <w:szCs w:val="15"/>
                <w:color w:val="auto"/>
              </w:rPr>
            </w:pPr>
          </w:p>
        </w:tc>
        <w:tc>
          <w:tcPr>
            <w:tcW w:w="2820" w:type="dxa"/>
            <w:vAlign w:val="bottom"/>
            <w:shd w:val="clear" w:color="auto" w:fill="EDF0FC"/>
          </w:tcPr>
          <w:p>
            <w:pPr>
              <w:spacing w:after="0"/>
              <w:rPr>
                <w:sz w:val="15"/>
                <w:szCs w:val="15"/>
                <w:color w:val="auto"/>
              </w:rPr>
            </w:pPr>
          </w:p>
        </w:tc>
        <w:tc>
          <w:tcPr>
            <w:tcW w:w="280" w:type="dxa"/>
            <w:vAlign w:val="bottom"/>
            <w:tcBorders>
              <w:right w:val="single" w:sz="8" w:color="auto"/>
            </w:tcBorders>
            <w:shd w:val="clear" w:color="auto" w:fill="EDF0FC"/>
          </w:tcPr>
          <w:p>
            <w:pPr>
              <w:spacing w:after="0"/>
              <w:rPr>
                <w:sz w:val="15"/>
                <w:szCs w:val="15"/>
                <w:color w:val="auto"/>
              </w:rPr>
            </w:pPr>
          </w:p>
        </w:tc>
        <w:tc>
          <w:tcPr>
            <w:tcW w:w="260" w:type="dxa"/>
            <w:vAlign w:val="bottom"/>
            <w:shd w:val="clear" w:color="auto" w:fill="EDF0FC"/>
          </w:tcPr>
          <w:p>
            <w:pPr>
              <w:spacing w:after="0"/>
              <w:rPr>
                <w:sz w:val="15"/>
                <w:szCs w:val="15"/>
                <w:color w:val="auto"/>
              </w:rPr>
            </w:pPr>
          </w:p>
        </w:tc>
        <w:tc>
          <w:tcPr>
            <w:tcW w:w="420" w:type="dxa"/>
            <w:vAlign w:val="bottom"/>
            <w:shd w:val="clear" w:color="auto" w:fill="EDF0FC"/>
          </w:tcPr>
          <w:p>
            <w:pPr>
              <w:spacing w:after="0"/>
              <w:rPr>
                <w:sz w:val="15"/>
                <w:szCs w:val="15"/>
                <w:color w:val="auto"/>
              </w:rPr>
            </w:pPr>
          </w:p>
        </w:tc>
        <w:tc>
          <w:tcPr>
            <w:tcW w:w="2820" w:type="dxa"/>
            <w:vAlign w:val="bottom"/>
            <w:shd w:val="clear" w:color="auto" w:fill="EDF0FC"/>
          </w:tcPr>
          <w:p>
            <w:pPr>
              <w:spacing w:after="0"/>
              <w:rPr>
                <w:sz w:val="15"/>
                <w:szCs w:val="15"/>
                <w:color w:val="auto"/>
              </w:rPr>
            </w:pPr>
          </w:p>
        </w:tc>
        <w:tc>
          <w:tcPr>
            <w:tcW w:w="280" w:type="dxa"/>
            <w:vAlign w:val="bottom"/>
            <w:tcBorders>
              <w:right w:val="single" w:sz="8" w:color="auto"/>
            </w:tcBorders>
            <w:shd w:val="clear" w:color="auto" w:fill="EDF0FC"/>
          </w:tcPr>
          <w:p>
            <w:pPr>
              <w:spacing w:after="0"/>
              <w:rPr>
                <w:sz w:val="15"/>
                <w:szCs w:val="15"/>
                <w:color w:val="auto"/>
              </w:rPr>
            </w:pPr>
          </w:p>
        </w:tc>
        <w:tc>
          <w:tcPr>
            <w:tcW w:w="260" w:type="dxa"/>
            <w:vAlign w:val="bottom"/>
            <w:shd w:val="clear" w:color="auto" w:fill="EDF0FC"/>
          </w:tcPr>
          <w:p>
            <w:pPr>
              <w:spacing w:after="0"/>
              <w:rPr>
                <w:sz w:val="15"/>
                <w:szCs w:val="15"/>
                <w:color w:val="auto"/>
              </w:rPr>
            </w:pPr>
          </w:p>
        </w:tc>
        <w:tc>
          <w:tcPr>
            <w:tcW w:w="420" w:type="dxa"/>
            <w:vAlign w:val="bottom"/>
            <w:shd w:val="clear" w:color="auto" w:fill="EDF0FC"/>
          </w:tcPr>
          <w:p>
            <w:pPr>
              <w:spacing w:after="0"/>
              <w:rPr>
                <w:sz w:val="15"/>
                <w:szCs w:val="15"/>
                <w:color w:val="auto"/>
              </w:rPr>
            </w:pPr>
          </w:p>
        </w:tc>
        <w:tc>
          <w:tcPr>
            <w:tcW w:w="3060" w:type="dxa"/>
            <w:vAlign w:val="bottom"/>
            <w:shd w:val="clear" w:color="auto" w:fill="ED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0" w:type="dxa"/>
            <w:vAlign w:val="bottom"/>
            <w:shd w:val="clear" w:color="auto" w:fill="EDF0FC"/>
          </w:tcPr>
          <w:p>
            <w:pPr>
              <w:spacing w:after="0"/>
              <w:rPr>
                <w:sz w:val="19"/>
                <w:szCs w:val="19"/>
                <w:color w:val="auto"/>
              </w:rPr>
            </w:pPr>
          </w:p>
        </w:tc>
        <w:tc>
          <w:tcPr>
            <w:tcW w:w="420" w:type="dxa"/>
            <w:vAlign w:val="bottom"/>
            <w:shd w:val="clear" w:color="auto" w:fill="EDF0FC"/>
          </w:tcPr>
          <w:p>
            <w:pPr>
              <w:spacing w:after="0"/>
              <w:rPr>
                <w:sz w:val="19"/>
                <w:szCs w:val="19"/>
                <w:color w:val="auto"/>
              </w:rPr>
            </w:pPr>
          </w:p>
        </w:tc>
        <w:tc>
          <w:tcPr>
            <w:tcW w:w="2820" w:type="dxa"/>
            <w:vAlign w:val="bottom"/>
            <w:shd w:val="clear" w:color="auto" w:fill="EDF0FC"/>
          </w:tcPr>
          <w:p>
            <w:pPr>
              <w:spacing w:after="0"/>
              <w:rPr>
                <w:sz w:val="19"/>
                <w:szCs w:val="19"/>
                <w:color w:val="auto"/>
              </w:rPr>
            </w:pPr>
          </w:p>
        </w:tc>
        <w:tc>
          <w:tcPr>
            <w:tcW w:w="280" w:type="dxa"/>
            <w:vAlign w:val="bottom"/>
            <w:tcBorders>
              <w:right w:val="single" w:sz="8" w:color="EDF0FC"/>
            </w:tcBorders>
            <w:shd w:val="clear" w:color="auto" w:fill="EDF0FC"/>
          </w:tcPr>
          <w:p>
            <w:pPr>
              <w:spacing w:after="0"/>
              <w:rPr>
                <w:sz w:val="19"/>
                <w:szCs w:val="19"/>
                <w:color w:val="auto"/>
              </w:rPr>
            </w:pPr>
          </w:p>
        </w:tc>
        <w:tc>
          <w:tcPr>
            <w:tcW w:w="260" w:type="dxa"/>
            <w:vAlign w:val="bottom"/>
            <w:shd w:val="clear" w:color="auto" w:fill="EDF0FC"/>
          </w:tcPr>
          <w:p>
            <w:pPr>
              <w:spacing w:after="0"/>
              <w:rPr>
                <w:sz w:val="19"/>
                <w:szCs w:val="19"/>
                <w:color w:val="auto"/>
              </w:rPr>
            </w:pPr>
          </w:p>
        </w:tc>
        <w:tc>
          <w:tcPr>
            <w:tcW w:w="420" w:type="dxa"/>
            <w:vAlign w:val="bottom"/>
            <w:shd w:val="clear" w:color="auto" w:fill="EDF0FC"/>
          </w:tcPr>
          <w:p>
            <w:pPr>
              <w:spacing w:after="0"/>
              <w:rPr>
                <w:sz w:val="19"/>
                <w:szCs w:val="19"/>
                <w:color w:val="auto"/>
              </w:rPr>
            </w:pPr>
          </w:p>
        </w:tc>
        <w:tc>
          <w:tcPr>
            <w:tcW w:w="2820" w:type="dxa"/>
            <w:vAlign w:val="bottom"/>
            <w:shd w:val="clear" w:color="auto" w:fill="EDF0FC"/>
          </w:tcPr>
          <w:p>
            <w:pPr>
              <w:spacing w:after="0"/>
              <w:rPr>
                <w:sz w:val="19"/>
                <w:szCs w:val="19"/>
                <w:color w:val="auto"/>
              </w:rPr>
            </w:pPr>
          </w:p>
        </w:tc>
        <w:tc>
          <w:tcPr>
            <w:tcW w:w="280" w:type="dxa"/>
            <w:vAlign w:val="bottom"/>
            <w:tcBorders>
              <w:right w:val="single" w:sz="8" w:color="EDF0FC"/>
            </w:tcBorders>
            <w:shd w:val="clear" w:color="auto" w:fill="EDF0FC"/>
          </w:tcPr>
          <w:p>
            <w:pPr>
              <w:spacing w:after="0"/>
              <w:rPr>
                <w:sz w:val="19"/>
                <w:szCs w:val="19"/>
                <w:color w:val="auto"/>
              </w:rPr>
            </w:pPr>
          </w:p>
        </w:tc>
        <w:tc>
          <w:tcPr>
            <w:tcW w:w="260" w:type="dxa"/>
            <w:vAlign w:val="bottom"/>
            <w:shd w:val="clear" w:color="auto" w:fill="EDF0FC"/>
          </w:tcPr>
          <w:p>
            <w:pPr>
              <w:spacing w:after="0"/>
              <w:rPr>
                <w:sz w:val="19"/>
                <w:szCs w:val="19"/>
                <w:color w:val="auto"/>
              </w:rPr>
            </w:pPr>
          </w:p>
        </w:tc>
        <w:tc>
          <w:tcPr>
            <w:tcW w:w="420" w:type="dxa"/>
            <w:vAlign w:val="bottom"/>
            <w:shd w:val="clear" w:color="auto" w:fill="EDF0FC"/>
          </w:tcPr>
          <w:p>
            <w:pPr>
              <w:spacing w:after="0"/>
              <w:rPr>
                <w:sz w:val="19"/>
                <w:szCs w:val="19"/>
                <w:color w:val="auto"/>
              </w:rPr>
            </w:pPr>
          </w:p>
        </w:tc>
        <w:tc>
          <w:tcPr>
            <w:tcW w:w="3060" w:type="dxa"/>
            <w:vAlign w:val="bottom"/>
            <w:shd w:val="clear" w:color="auto" w:fill="EDF0FC"/>
          </w:tcPr>
          <w:p>
            <w:pPr>
              <w:spacing w:after="0"/>
              <w:rPr>
                <w:sz w:val="19"/>
                <w:szCs w:val="19"/>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Corporate Responsibility Governance</w:t>
      </w:r>
    </w:p>
    <w:p>
      <w:pPr>
        <w:spacing w:after="0" w:line="186"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MSCI incorporates corporate responsibility into its strategy, reflecting our belief that sustainable practices are essential to long-term growth. In line with this focus, the Governance Committee oversees MSCI’s corporate responsibility strategy and activities, receiving regular updates from management on key initiatives and developments.</w:t>
      </w:r>
    </w:p>
    <w:p>
      <w:pPr>
        <w:spacing w:after="0" w:line="71"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color w:val="auto"/>
        </w:rPr>
        <w:t>Our Corporate Responsibility efforts are led by our Chief Responsibility Officer, who heads our Corporate Responsibility Committee and our Corporate Responsibility Advisory Council. Day-to-day implementation of our corporate responsibility initiatives is enabled by key functions across MSCI. These functions are represented on the Corporate Responsibility Committee, which reviews our corporate responsibility activities and key reports, and monitors industry trends.</w:t>
      </w:r>
    </w:p>
    <w:p>
      <w:pPr>
        <w:spacing w:after="0" w:line="59" w:lineRule="exact"/>
        <w:rPr>
          <w:sz w:val="20"/>
          <w:szCs w:val="20"/>
          <w:color w:val="auto"/>
        </w:rPr>
      </w:pPr>
    </w:p>
    <w:p>
      <w:pPr>
        <w:jc w:val="both"/>
        <w:ind w:right="380"/>
        <w:spacing w:after="0" w:line="301" w:lineRule="auto"/>
        <w:rPr>
          <w:sz w:val="20"/>
          <w:szCs w:val="20"/>
          <w:color w:val="auto"/>
        </w:rPr>
      </w:pPr>
      <w:r>
        <w:rPr>
          <w:rFonts w:ascii="Arial" w:cs="Arial" w:eastAsia="Arial" w:hAnsi="Arial"/>
          <w:sz w:val="16"/>
          <w:szCs w:val="16"/>
          <w:color w:val="auto"/>
        </w:rPr>
        <w:t>At the senior management level, our Corporate Responsibility Advisory Council consists of several of our senior executives that lead key functions that underpin our corporate responsibility strategy. This body provides input on significant corporate responsibility policies, actions and disclosures to ensure these items are aligned with MSCI’s mission and long-term strategy for sustainable growth.</w:t>
      </w:r>
    </w:p>
    <w:p>
      <w:pPr>
        <w:spacing w:after="0" w:line="30"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Risk Oversight of Corporate Responsibility</w:t>
      </w:r>
    </w:p>
    <w:p>
      <w:pPr>
        <w:spacing w:after="0" w:line="200"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MSCI’s EROC is also integrated into our corporate responsibility governance. The EROC oversees MSCI’s risk-management activities to ensure that MSCI has an effective process designed to identify, evaluate and manage risks that may have an adverse impact on MSCI’s ability to achieve its operational and strategic objectives. Climate-related risks, including transition and physical climate risks, are integrated into MSCI’s ERM reporting. The Audit Committee receives a quarterly update from the Enterprise Risk Management Officer on the work of the EROC.</w:t>
      </w:r>
    </w:p>
    <w:p>
      <w:pPr>
        <w:spacing w:after="0" w:line="59"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Additional information on our corporate responsibility efforts, including our published sustainability reports and carbon-emissions reporting, can be found on our Corporate Responsibility website (</w:t>
      </w:r>
      <w:r>
        <w:rPr>
          <w:rFonts w:ascii="Arial" w:cs="Arial" w:eastAsia="Arial" w:hAnsi="Arial"/>
          <w:sz w:val="16"/>
          <w:szCs w:val="16"/>
          <w:color w:val="1A3FD6"/>
        </w:rPr>
        <w:t>https://www.msci.com/who-we-are/corporate-responsibility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49" w:name="page50"/>
    <w:bookmarkEnd w:id="49"/>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48</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8"/>
          <w:szCs w:val="28"/>
          <w:b w:val="1"/>
          <w:bCs w:val="1"/>
          <w:color w:val="1A3FD6"/>
        </w:rPr>
        <w:t>The Board’s Oversight of Corporate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15175" cy="2825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15175" cy="282575"/>
                    </a:xfrm>
                    <a:prstGeom prst="rect">
                      <a:avLst/>
                    </a:prstGeom>
                    <a:noFill/>
                  </pic:spPr>
                </pic:pic>
              </a:graphicData>
            </a:graphic>
          </wp:anchor>
        </w:drawing>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15175" cy="28975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15175" cy="289750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1A3FD6"/>
        </w:rPr>
        <w:t>Governance Committee</w:t>
      </w:r>
    </w:p>
    <w:p>
      <w:pPr>
        <w:spacing w:after="0" w:line="158" w:lineRule="exact"/>
        <w:rPr>
          <w:sz w:val="20"/>
          <w:szCs w:val="20"/>
          <w:color w:val="auto"/>
        </w:rPr>
      </w:pPr>
    </w:p>
    <w:p>
      <w:pPr>
        <w:jc w:val="both"/>
        <w:ind w:left="400" w:right="440" w:hanging="199"/>
        <w:spacing w:after="0" w:line="305" w:lineRule="auto"/>
        <w:tabs>
          <w:tab w:leader="none" w:pos="391" w:val="left"/>
        </w:tabs>
        <w:numPr>
          <w:ilvl w:val="0"/>
          <w:numId w:val="53"/>
        </w:numPr>
        <w:rPr>
          <w:rFonts w:ascii="Arial" w:cs="Arial" w:eastAsia="Arial" w:hAnsi="Arial"/>
          <w:sz w:val="14"/>
          <w:szCs w:val="14"/>
          <w:color w:val="1A3FD6"/>
        </w:rPr>
      </w:pPr>
      <w:r>
        <w:rPr>
          <w:rFonts w:ascii="Arial" w:cs="Arial" w:eastAsia="Arial" w:hAnsi="Arial"/>
          <w:sz w:val="14"/>
          <w:szCs w:val="14"/>
          <w:color w:val="auto"/>
        </w:rPr>
        <w:t>Chief Responsibility Officer provides quarterly updates</w:t>
      </w:r>
    </w:p>
    <w:p>
      <w:pPr>
        <w:spacing w:after="0" w:line="9" w:lineRule="exact"/>
        <w:rPr>
          <w:rFonts w:ascii="Arial" w:cs="Arial" w:eastAsia="Arial" w:hAnsi="Arial"/>
          <w:sz w:val="14"/>
          <w:szCs w:val="14"/>
          <w:color w:val="1A3FD6"/>
        </w:rPr>
      </w:pPr>
    </w:p>
    <w:p>
      <w:pPr>
        <w:jc w:val="both"/>
        <w:ind w:left="400" w:right="260" w:hanging="199"/>
        <w:spacing w:after="0" w:line="303" w:lineRule="auto"/>
        <w:tabs>
          <w:tab w:leader="none" w:pos="391" w:val="left"/>
        </w:tabs>
        <w:numPr>
          <w:ilvl w:val="0"/>
          <w:numId w:val="53"/>
        </w:numPr>
        <w:rPr>
          <w:rFonts w:ascii="Arial" w:cs="Arial" w:eastAsia="Arial" w:hAnsi="Arial"/>
          <w:sz w:val="14"/>
          <w:szCs w:val="14"/>
          <w:color w:val="1A3FD6"/>
        </w:rPr>
      </w:pPr>
      <w:r>
        <w:rPr>
          <w:rFonts w:ascii="Arial" w:cs="Arial" w:eastAsia="Arial" w:hAnsi="Arial"/>
          <w:sz w:val="14"/>
          <w:szCs w:val="14"/>
          <w:color w:val="auto"/>
        </w:rPr>
        <w:t>Corporate Secretary oversees annual review of charters and Board policies</w:t>
      </w:r>
    </w:p>
    <w:p>
      <w:pPr>
        <w:spacing w:after="0" w:line="11" w:lineRule="exact"/>
        <w:rPr>
          <w:rFonts w:ascii="Arial" w:cs="Arial" w:eastAsia="Arial" w:hAnsi="Arial"/>
          <w:sz w:val="14"/>
          <w:szCs w:val="14"/>
          <w:color w:val="1A3FD6"/>
        </w:rPr>
      </w:pPr>
    </w:p>
    <w:p>
      <w:pPr>
        <w:ind w:left="400" w:right="280" w:hanging="199"/>
        <w:spacing w:after="0" w:line="322" w:lineRule="auto"/>
        <w:tabs>
          <w:tab w:leader="none" w:pos="391" w:val="left"/>
        </w:tabs>
        <w:numPr>
          <w:ilvl w:val="0"/>
          <w:numId w:val="53"/>
        </w:numPr>
        <w:rPr>
          <w:rFonts w:ascii="Arial" w:cs="Arial" w:eastAsia="Arial" w:hAnsi="Arial"/>
          <w:sz w:val="14"/>
          <w:szCs w:val="14"/>
          <w:color w:val="1A3FD6"/>
        </w:rPr>
      </w:pPr>
      <w:r>
        <w:rPr>
          <w:rFonts w:ascii="Arial" w:cs="Arial" w:eastAsia="Arial" w:hAnsi="Arial"/>
          <w:sz w:val="14"/>
          <w:szCs w:val="14"/>
          <w:color w:val="auto"/>
        </w:rPr>
        <w:t>Head of Compliance provides annual update</w:t>
      </w:r>
    </w:p>
    <w:p>
      <w:pPr>
        <w:ind w:left="400" w:hanging="199"/>
        <w:spacing w:after="0" w:line="305" w:lineRule="auto"/>
        <w:tabs>
          <w:tab w:leader="none" w:pos="391" w:val="left"/>
        </w:tabs>
        <w:numPr>
          <w:ilvl w:val="0"/>
          <w:numId w:val="53"/>
        </w:numPr>
        <w:rPr>
          <w:rFonts w:ascii="Arial" w:cs="Arial" w:eastAsia="Arial" w:hAnsi="Arial"/>
          <w:sz w:val="14"/>
          <w:szCs w:val="14"/>
          <w:color w:val="1A3FD6"/>
        </w:rPr>
      </w:pPr>
      <w:r>
        <w:rPr>
          <w:rFonts w:ascii="Arial" w:cs="Arial" w:eastAsia="Arial" w:hAnsi="Arial"/>
          <w:sz w:val="14"/>
          <w:szCs w:val="14"/>
          <w:color w:val="auto"/>
        </w:rPr>
        <w:t>General Counsel oversees annual review of governance trends</w:t>
      </w:r>
    </w:p>
    <w:p>
      <w:pPr>
        <w:spacing w:after="0" w:line="9" w:lineRule="exact"/>
        <w:rPr>
          <w:rFonts w:ascii="Arial" w:cs="Arial" w:eastAsia="Arial" w:hAnsi="Arial"/>
          <w:sz w:val="14"/>
          <w:szCs w:val="14"/>
          <w:color w:val="1A3FD6"/>
        </w:rPr>
      </w:pPr>
    </w:p>
    <w:p>
      <w:pPr>
        <w:ind w:left="400" w:right="40" w:hanging="199"/>
        <w:spacing w:after="0" w:line="290" w:lineRule="auto"/>
        <w:tabs>
          <w:tab w:leader="none" w:pos="391" w:val="left"/>
        </w:tabs>
        <w:numPr>
          <w:ilvl w:val="0"/>
          <w:numId w:val="53"/>
        </w:numPr>
        <w:rPr>
          <w:rFonts w:ascii="Arial" w:cs="Arial" w:eastAsia="Arial" w:hAnsi="Arial"/>
          <w:sz w:val="14"/>
          <w:szCs w:val="14"/>
          <w:color w:val="1A3FD6"/>
        </w:rPr>
      </w:pPr>
      <w:r>
        <w:rPr>
          <w:rFonts w:ascii="Arial" w:cs="Arial" w:eastAsia="Arial" w:hAnsi="Arial"/>
          <w:sz w:val="14"/>
          <w:szCs w:val="14"/>
          <w:color w:val="auto"/>
        </w:rPr>
        <w:t>Governance Committee oversees shareholder engagement on corporate responsibility, including participation by independent Board members in annual engagement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43"/>
        </w:trPr>
        <w:tc>
          <w:tcPr>
            <w:tcW w:w="2900" w:type="dxa"/>
            <w:vAlign w:val="bottom"/>
            <w:tcBorders>
              <w:left w:val="single" w:sz="8" w:color="0626A9"/>
              <w:right w:val="single" w:sz="8" w:color="0626A9"/>
            </w:tcBorders>
            <w:gridSpan w:val="2"/>
          </w:tcPr>
          <w:p>
            <w:pPr>
              <w:ind w:left="280"/>
              <w:spacing w:after="0"/>
              <w:rPr>
                <w:sz w:val="20"/>
                <w:szCs w:val="20"/>
                <w:color w:val="auto"/>
              </w:rPr>
            </w:pPr>
            <w:r>
              <w:rPr>
                <w:rFonts w:ascii="Arial" w:cs="Arial" w:eastAsia="Arial" w:hAnsi="Arial"/>
                <w:sz w:val="16"/>
                <w:szCs w:val="16"/>
                <w:b w:val="1"/>
                <w:bCs w:val="1"/>
                <w:color w:val="1A3FD6"/>
              </w:rPr>
              <w:t>Compensation Committee</w:t>
            </w:r>
          </w:p>
        </w:tc>
        <w:tc>
          <w:tcPr>
            <w:tcW w:w="240" w:type="dxa"/>
            <w:vAlign w:val="bottom"/>
          </w:tcPr>
          <w:p>
            <w:pPr>
              <w:spacing w:after="0"/>
              <w:rPr>
                <w:sz w:val="21"/>
                <w:szCs w:val="21"/>
                <w:color w:val="auto"/>
              </w:rPr>
            </w:pPr>
          </w:p>
        </w:tc>
        <w:tc>
          <w:tcPr>
            <w:tcW w:w="2660" w:type="dxa"/>
            <w:vAlign w:val="bottom"/>
            <w:tcBorders>
              <w:right w:val="single" w:sz="8" w:color="0626A9"/>
            </w:tcBorders>
            <w:gridSpan w:val="2"/>
          </w:tcPr>
          <w:p>
            <w:pPr>
              <w:ind w:left="20"/>
              <w:spacing w:after="0"/>
              <w:rPr>
                <w:sz w:val="20"/>
                <w:szCs w:val="20"/>
                <w:color w:val="auto"/>
              </w:rPr>
            </w:pPr>
            <w:r>
              <w:rPr>
                <w:rFonts w:ascii="Arial" w:cs="Arial" w:eastAsia="Arial" w:hAnsi="Arial"/>
                <w:sz w:val="16"/>
                <w:szCs w:val="16"/>
                <w:b w:val="1"/>
                <w:bCs w:val="1"/>
                <w:color w:val="1A3FD6"/>
              </w:rPr>
              <w:t>Audit Committee</w:t>
            </w:r>
          </w:p>
        </w:tc>
        <w:tc>
          <w:tcPr>
            <w:tcW w:w="240" w:type="dxa"/>
            <w:vAlign w:val="bottom"/>
          </w:tcPr>
          <w:p>
            <w:pPr>
              <w:spacing w:after="0"/>
              <w:rPr>
                <w:sz w:val="21"/>
                <w:szCs w:val="21"/>
                <w:color w:val="auto"/>
              </w:rPr>
            </w:pPr>
          </w:p>
        </w:tc>
        <w:tc>
          <w:tcPr>
            <w:tcW w:w="2440" w:type="dxa"/>
            <w:vAlign w:val="bottom"/>
          </w:tcPr>
          <w:p>
            <w:pPr>
              <w:ind w:left="20"/>
              <w:spacing w:after="0"/>
              <w:rPr>
                <w:sz w:val="20"/>
                <w:szCs w:val="20"/>
                <w:color w:val="auto"/>
              </w:rPr>
            </w:pPr>
            <w:r>
              <w:rPr>
                <w:rFonts w:ascii="Arial" w:cs="Arial" w:eastAsia="Arial" w:hAnsi="Arial"/>
                <w:sz w:val="16"/>
                <w:szCs w:val="16"/>
                <w:b w:val="1"/>
                <w:bCs w:val="1"/>
                <w:color w:val="1A3FD6"/>
              </w:rPr>
              <w:t>Strategy Committee</w:t>
            </w:r>
          </w:p>
        </w:tc>
        <w:tc>
          <w:tcPr>
            <w:tcW w:w="0" w:type="dxa"/>
            <w:vAlign w:val="bottom"/>
          </w:tcPr>
          <w:p>
            <w:pPr>
              <w:spacing w:after="0"/>
              <w:rPr>
                <w:sz w:val="1"/>
                <w:szCs w:val="1"/>
                <w:color w:val="auto"/>
              </w:rPr>
            </w:pPr>
          </w:p>
        </w:tc>
      </w:tr>
      <w:tr>
        <w:trPr>
          <w:trHeight w:val="95"/>
        </w:trPr>
        <w:tc>
          <w:tcPr>
            <w:tcW w:w="400" w:type="dxa"/>
            <w:vAlign w:val="bottom"/>
            <w:tcBorders>
              <w:left w:val="single" w:sz="8" w:color="0626A9"/>
            </w:tcBorders>
            <w:shd w:val="clear" w:color="auto" w:fill="EEEEF7"/>
          </w:tcPr>
          <w:p>
            <w:pPr>
              <w:spacing w:after="0"/>
              <w:rPr>
                <w:sz w:val="8"/>
                <w:szCs w:val="8"/>
                <w:color w:val="auto"/>
              </w:rPr>
            </w:pPr>
          </w:p>
        </w:tc>
        <w:tc>
          <w:tcPr>
            <w:tcW w:w="2500" w:type="dxa"/>
            <w:vAlign w:val="bottom"/>
            <w:tcBorders>
              <w:right w:val="single" w:sz="8" w:color="0626A9"/>
            </w:tcBorders>
            <w:shd w:val="clear" w:color="auto" w:fill="EEEEF7"/>
          </w:tcPr>
          <w:p>
            <w:pPr>
              <w:spacing w:after="0"/>
              <w:rPr>
                <w:sz w:val="8"/>
                <w:szCs w:val="8"/>
                <w:color w:val="auto"/>
              </w:rPr>
            </w:pPr>
          </w:p>
        </w:tc>
        <w:tc>
          <w:tcPr>
            <w:tcW w:w="240" w:type="dxa"/>
            <w:vAlign w:val="bottom"/>
            <w:shd w:val="clear" w:color="auto" w:fill="EEEEF7"/>
          </w:tcPr>
          <w:p>
            <w:pPr>
              <w:spacing w:after="0"/>
              <w:rPr>
                <w:sz w:val="8"/>
                <w:szCs w:val="8"/>
                <w:color w:val="auto"/>
              </w:rPr>
            </w:pPr>
          </w:p>
        </w:tc>
        <w:tc>
          <w:tcPr>
            <w:tcW w:w="140" w:type="dxa"/>
            <w:vAlign w:val="bottom"/>
            <w:shd w:val="clear" w:color="auto" w:fill="EEEEF7"/>
          </w:tcPr>
          <w:p>
            <w:pPr>
              <w:spacing w:after="0"/>
              <w:rPr>
                <w:sz w:val="8"/>
                <w:szCs w:val="8"/>
                <w:color w:val="auto"/>
              </w:rPr>
            </w:pPr>
          </w:p>
        </w:tc>
        <w:tc>
          <w:tcPr>
            <w:tcW w:w="2520" w:type="dxa"/>
            <w:vAlign w:val="bottom"/>
            <w:tcBorders>
              <w:right w:val="single" w:sz="8" w:color="0626A9"/>
            </w:tcBorders>
            <w:shd w:val="clear" w:color="auto" w:fill="EEEEF7"/>
          </w:tcPr>
          <w:p>
            <w:pPr>
              <w:spacing w:after="0"/>
              <w:rPr>
                <w:sz w:val="8"/>
                <w:szCs w:val="8"/>
                <w:color w:val="auto"/>
              </w:rPr>
            </w:pPr>
          </w:p>
        </w:tc>
        <w:tc>
          <w:tcPr>
            <w:tcW w:w="240" w:type="dxa"/>
            <w:vAlign w:val="bottom"/>
            <w:shd w:val="clear" w:color="auto" w:fill="EEEEF7"/>
          </w:tcPr>
          <w:p>
            <w:pPr>
              <w:spacing w:after="0"/>
              <w:rPr>
                <w:sz w:val="8"/>
                <w:szCs w:val="8"/>
                <w:color w:val="auto"/>
              </w:rPr>
            </w:pPr>
          </w:p>
        </w:tc>
        <w:tc>
          <w:tcPr>
            <w:tcW w:w="2440" w:type="dxa"/>
            <w:vAlign w:val="bottom"/>
            <w:shd w:val="clear" w:color="auto" w:fill="EEEEF7"/>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400" w:type="dxa"/>
            <w:vAlign w:val="bottom"/>
            <w:tcBorders>
              <w:left w:val="single" w:sz="8" w:color="0626A9"/>
            </w:tcBorders>
            <w:shd w:val="clear" w:color="auto" w:fill="EDEDF8"/>
          </w:tcPr>
          <w:p>
            <w:pPr>
              <w:ind w:left="280"/>
              <w:spacing w:after="0"/>
              <w:rPr>
                <w:sz w:val="20"/>
                <w:szCs w:val="20"/>
                <w:color w:val="auto"/>
              </w:rPr>
            </w:pPr>
            <w:r>
              <w:rPr>
                <w:rFonts w:ascii="Arial" w:cs="Arial" w:eastAsia="Arial" w:hAnsi="Arial"/>
                <w:sz w:val="14"/>
                <w:szCs w:val="14"/>
                <w:color w:val="1A3FD6"/>
              </w:rPr>
              <w:t>•</w:t>
            </w:r>
          </w:p>
        </w:tc>
        <w:tc>
          <w:tcPr>
            <w:tcW w:w="2500" w:type="dxa"/>
            <w:vAlign w:val="bottom"/>
            <w:tcBorders>
              <w:right w:val="single" w:sz="8" w:color="0626A9"/>
            </w:tcBorders>
            <w:shd w:val="clear" w:color="auto" w:fill="EDEDF8"/>
          </w:tcPr>
          <w:p>
            <w:pPr>
              <w:ind w:left="60"/>
              <w:spacing w:after="0"/>
              <w:rPr>
                <w:sz w:val="20"/>
                <w:szCs w:val="20"/>
                <w:color w:val="auto"/>
              </w:rPr>
            </w:pPr>
            <w:r>
              <w:rPr>
                <w:rFonts w:ascii="Arial" w:cs="Arial" w:eastAsia="Arial" w:hAnsi="Arial"/>
                <w:sz w:val="14"/>
                <w:szCs w:val="14"/>
                <w:color w:val="auto"/>
              </w:rPr>
              <w:t>Chief Human Resources Officer</w:t>
            </w:r>
          </w:p>
        </w:tc>
        <w:tc>
          <w:tcPr>
            <w:tcW w:w="240" w:type="dxa"/>
            <w:vAlign w:val="bottom"/>
            <w:shd w:val="clear" w:color="auto" w:fill="EDEDF8"/>
          </w:tcPr>
          <w:p>
            <w:pPr>
              <w:spacing w:after="0"/>
              <w:rPr>
                <w:sz w:val="16"/>
                <w:szCs w:val="16"/>
                <w:color w:val="auto"/>
              </w:rPr>
            </w:pPr>
          </w:p>
        </w:tc>
        <w:tc>
          <w:tcPr>
            <w:tcW w:w="140" w:type="dxa"/>
            <w:vAlign w:val="bottom"/>
            <w:shd w:val="clear" w:color="auto" w:fill="EEEEF7"/>
          </w:tcPr>
          <w:p>
            <w:pPr>
              <w:ind w:left="20"/>
              <w:spacing w:after="0"/>
              <w:rPr>
                <w:sz w:val="20"/>
                <w:szCs w:val="20"/>
                <w:color w:val="auto"/>
              </w:rPr>
            </w:pPr>
            <w:r>
              <w:rPr>
                <w:rFonts w:ascii="Arial" w:cs="Arial" w:eastAsia="Arial" w:hAnsi="Arial"/>
                <w:sz w:val="14"/>
                <w:szCs w:val="14"/>
                <w:color w:val="1A3FD6"/>
              </w:rPr>
              <w:t>•</w:t>
            </w:r>
          </w:p>
        </w:tc>
        <w:tc>
          <w:tcPr>
            <w:tcW w:w="2520" w:type="dxa"/>
            <w:vAlign w:val="bottom"/>
            <w:tcBorders>
              <w:right w:val="single" w:sz="8" w:color="0626A9"/>
            </w:tcBorders>
            <w:shd w:val="clear" w:color="auto" w:fill="EEEEF7"/>
          </w:tcPr>
          <w:p>
            <w:pPr>
              <w:ind w:left="60"/>
              <w:spacing w:after="0"/>
              <w:rPr>
                <w:sz w:val="20"/>
                <w:szCs w:val="20"/>
                <w:color w:val="auto"/>
              </w:rPr>
            </w:pPr>
            <w:r>
              <w:rPr>
                <w:rFonts w:ascii="Arial" w:cs="Arial" w:eastAsia="Arial" w:hAnsi="Arial"/>
                <w:sz w:val="14"/>
                <w:szCs w:val="14"/>
                <w:color w:val="auto"/>
              </w:rPr>
              <w:t>CFO and Global Controller report</w:t>
            </w:r>
          </w:p>
        </w:tc>
        <w:tc>
          <w:tcPr>
            <w:tcW w:w="240" w:type="dxa"/>
            <w:vAlign w:val="bottom"/>
            <w:shd w:val="clear" w:color="auto" w:fill="EDEDF8"/>
          </w:tcPr>
          <w:p>
            <w:pPr>
              <w:spacing w:after="0"/>
              <w:rPr>
                <w:sz w:val="16"/>
                <w:szCs w:val="16"/>
                <w:color w:val="auto"/>
              </w:rPr>
            </w:pPr>
          </w:p>
        </w:tc>
        <w:tc>
          <w:tcPr>
            <w:tcW w:w="2440" w:type="dxa"/>
            <w:vAlign w:val="bottom"/>
            <w:shd w:val="clear" w:color="auto" w:fill="EEEEF7"/>
          </w:tcPr>
          <w:p>
            <w:pPr>
              <w:ind w:left="20"/>
              <w:spacing w:after="0"/>
              <w:rPr>
                <w:sz w:val="20"/>
                <w:szCs w:val="20"/>
                <w:color w:val="auto"/>
              </w:rPr>
            </w:pPr>
            <w:r>
              <w:rPr>
                <w:rFonts w:ascii="Arial" w:cs="Arial" w:eastAsia="Arial" w:hAnsi="Arial"/>
                <w:sz w:val="14"/>
                <w:szCs w:val="14"/>
                <w:color w:val="1A3FD6"/>
              </w:rPr>
              <w:t xml:space="preserve">•  </w:t>
            </w:r>
            <w:r>
              <w:rPr>
                <w:rFonts w:ascii="Arial" w:cs="Arial" w:eastAsia="Arial" w:hAnsi="Arial"/>
                <w:sz w:val="14"/>
                <w:szCs w:val="14"/>
                <w:color w:val="000000"/>
              </w:rPr>
              <w:t>Ensures that relevant climate</w:t>
            </w:r>
          </w:p>
        </w:tc>
        <w:tc>
          <w:tcPr>
            <w:tcW w:w="0" w:type="dxa"/>
            <w:vAlign w:val="bottom"/>
          </w:tcPr>
          <w:p>
            <w:pPr>
              <w:spacing w:after="0"/>
              <w:rPr>
                <w:sz w:val="1"/>
                <w:szCs w:val="1"/>
                <w:color w:val="auto"/>
              </w:rPr>
            </w:pPr>
          </w:p>
        </w:tc>
      </w:tr>
      <w:tr>
        <w:trPr>
          <w:trHeight w:val="189"/>
        </w:trPr>
        <w:tc>
          <w:tcPr>
            <w:tcW w:w="400" w:type="dxa"/>
            <w:vAlign w:val="bottom"/>
            <w:tcBorders>
              <w:left w:val="single" w:sz="8" w:color="0626A9"/>
            </w:tcBorders>
            <w:shd w:val="clear" w:color="auto" w:fill="EDEDF8"/>
          </w:tcPr>
          <w:p>
            <w:pPr>
              <w:spacing w:after="0"/>
              <w:rPr>
                <w:sz w:val="16"/>
                <w:szCs w:val="16"/>
                <w:color w:val="auto"/>
              </w:rPr>
            </w:pPr>
          </w:p>
        </w:tc>
        <w:tc>
          <w:tcPr>
            <w:tcW w:w="2500" w:type="dxa"/>
            <w:vAlign w:val="bottom"/>
            <w:tcBorders>
              <w:right w:val="single" w:sz="8" w:color="0626A9"/>
            </w:tcBorders>
            <w:shd w:val="clear" w:color="auto" w:fill="EDEDF8"/>
          </w:tcPr>
          <w:p>
            <w:pPr>
              <w:ind w:left="80"/>
              <w:spacing w:after="0"/>
              <w:rPr>
                <w:sz w:val="20"/>
                <w:szCs w:val="20"/>
                <w:color w:val="auto"/>
              </w:rPr>
            </w:pPr>
            <w:r>
              <w:rPr>
                <w:rFonts w:ascii="Arial" w:cs="Arial" w:eastAsia="Arial" w:hAnsi="Arial"/>
                <w:sz w:val="14"/>
                <w:szCs w:val="14"/>
                <w:color w:val="auto"/>
              </w:rPr>
              <w:t>and Head of Talent report on senior</w:t>
            </w:r>
          </w:p>
        </w:tc>
        <w:tc>
          <w:tcPr>
            <w:tcW w:w="240" w:type="dxa"/>
            <w:vAlign w:val="bottom"/>
            <w:shd w:val="clear" w:color="auto" w:fill="EDEDF8"/>
          </w:tcPr>
          <w:p>
            <w:pPr>
              <w:spacing w:after="0"/>
              <w:rPr>
                <w:sz w:val="16"/>
                <w:szCs w:val="16"/>
                <w:color w:val="auto"/>
              </w:rPr>
            </w:pPr>
          </w:p>
        </w:tc>
        <w:tc>
          <w:tcPr>
            <w:tcW w:w="140" w:type="dxa"/>
            <w:vAlign w:val="bottom"/>
            <w:shd w:val="clear" w:color="auto" w:fill="EEEEF7"/>
          </w:tcPr>
          <w:p>
            <w:pPr>
              <w:spacing w:after="0"/>
              <w:rPr>
                <w:sz w:val="16"/>
                <w:szCs w:val="16"/>
                <w:color w:val="auto"/>
              </w:rPr>
            </w:pPr>
          </w:p>
        </w:tc>
        <w:tc>
          <w:tcPr>
            <w:tcW w:w="2520" w:type="dxa"/>
            <w:vAlign w:val="bottom"/>
            <w:tcBorders>
              <w:right w:val="single" w:sz="8" w:color="0626A9"/>
            </w:tcBorders>
            <w:shd w:val="clear" w:color="auto" w:fill="EEEEF7"/>
          </w:tcPr>
          <w:p>
            <w:pPr>
              <w:ind w:left="80"/>
              <w:spacing w:after="0"/>
              <w:rPr>
                <w:sz w:val="20"/>
                <w:szCs w:val="20"/>
                <w:color w:val="auto"/>
              </w:rPr>
            </w:pPr>
            <w:r>
              <w:rPr>
                <w:rFonts w:ascii="Arial" w:cs="Arial" w:eastAsia="Arial" w:hAnsi="Arial"/>
                <w:sz w:val="14"/>
                <w:szCs w:val="14"/>
                <w:color w:val="auto"/>
              </w:rPr>
              <w:t>on quarterly earnings, including</w:t>
            </w:r>
          </w:p>
        </w:tc>
        <w:tc>
          <w:tcPr>
            <w:tcW w:w="240" w:type="dxa"/>
            <w:vAlign w:val="bottom"/>
            <w:shd w:val="clear" w:color="auto" w:fill="EDEDF8"/>
          </w:tcPr>
          <w:p>
            <w:pPr>
              <w:spacing w:after="0"/>
              <w:rPr>
                <w:sz w:val="16"/>
                <w:szCs w:val="16"/>
                <w:color w:val="auto"/>
              </w:rPr>
            </w:pPr>
          </w:p>
        </w:tc>
        <w:tc>
          <w:tcPr>
            <w:tcW w:w="2440" w:type="dxa"/>
            <w:vAlign w:val="bottom"/>
            <w:shd w:val="clear" w:color="auto" w:fill="EEEEF7"/>
          </w:tcPr>
          <w:p>
            <w:pPr>
              <w:ind w:left="220"/>
              <w:spacing w:after="0"/>
              <w:rPr>
                <w:sz w:val="20"/>
                <w:szCs w:val="20"/>
                <w:color w:val="auto"/>
              </w:rPr>
            </w:pPr>
            <w:r>
              <w:rPr>
                <w:rFonts w:ascii="Arial" w:cs="Arial" w:eastAsia="Arial" w:hAnsi="Arial"/>
                <w:sz w:val="14"/>
                <w:szCs w:val="14"/>
                <w:color w:val="auto"/>
              </w:rPr>
              <w:t>opportunities and</w:t>
            </w:r>
          </w:p>
        </w:tc>
        <w:tc>
          <w:tcPr>
            <w:tcW w:w="0" w:type="dxa"/>
            <w:vAlign w:val="bottom"/>
          </w:tcPr>
          <w:p>
            <w:pPr>
              <w:spacing w:after="0"/>
              <w:rPr>
                <w:sz w:val="1"/>
                <w:szCs w:val="1"/>
                <w:color w:val="auto"/>
              </w:rPr>
            </w:pPr>
          </w:p>
        </w:tc>
      </w:tr>
      <w:tr>
        <w:trPr>
          <w:trHeight w:val="189"/>
        </w:trPr>
        <w:tc>
          <w:tcPr>
            <w:tcW w:w="400" w:type="dxa"/>
            <w:vAlign w:val="bottom"/>
            <w:tcBorders>
              <w:left w:val="single" w:sz="8" w:color="0626A9"/>
            </w:tcBorders>
            <w:shd w:val="clear" w:color="auto" w:fill="EDEDF8"/>
          </w:tcPr>
          <w:p>
            <w:pPr>
              <w:spacing w:after="0"/>
              <w:rPr>
                <w:sz w:val="16"/>
                <w:szCs w:val="16"/>
                <w:color w:val="auto"/>
              </w:rPr>
            </w:pPr>
          </w:p>
        </w:tc>
        <w:tc>
          <w:tcPr>
            <w:tcW w:w="2500" w:type="dxa"/>
            <w:vAlign w:val="bottom"/>
            <w:tcBorders>
              <w:right w:val="single" w:sz="8" w:color="0626A9"/>
            </w:tcBorders>
            <w:shd w:val="clear" w:color="auto" w:fill="EDEDF8"/>
          </w:tcPr>
          <w:p>
            <w:pPr>
              <w:ind w:left="80"/>
              <w:spacing w:after="0"/>
              <w:rPr>
                <w:sz w:val="20"/>
                <w:szCs w:val="20"/>
                <w:color w:val="auto"/>
              </w:rPr>
            </w:pPr>
            <w:r>
              <w:rPr>
                <w:rFonts w:ascii="Arial" w:cs="Arial" w:eastAsia="Arial" w:hAnsi="Arial"/>
                <w:sz w:val="14"/>
                <w:szCs w:val="14"/>
                <w:color w:val="auto"/>
              </w:rPr>
              <w:t>leader succession and progression</w:t>
            </w:r>
          </w:p>
        </w:tc>
        <w:tc>
          <w:tcPr>
            <w:tcW w:w="240" w:type="dxa"/>
            <w:vAlign w:val="bottom"/>
            <w:shd w:val="clear" w:color="auto" w:fill="EDEDF8"/>
          </w:tcPr>
          <w:p>
            <w:pPr>
              <w:spacing w:after="0"/>
              <w:rPr>
                <w:sz w:val="16"/>
                <w:szCs w:val="16"/>
                <w:color w:val="auto"/>
              </w:rPr>
            </w:pPr>
          </w:p>
        </w:tc>
        <w:tc>
          <w:tcPr>
            <w:tcW w:w="140" w:type="dxa"/>
            <w:vAlign w:val="bottom"/>
            <w:shd w:val="clear" w:color="auto" w:fill="EEEEF7"/>
          </w:tcPr>
          <w:p>
            <w:pPr>
              <w:spacing w:after="0"/>
              <w:rPr>
                <w:sz w:val="16"/>
                <w:szCs w:val="16"/>
                <w:color w:val="auto"/>
              </w:rPr>
            </w:pPr>
          </w:p>
        </w:tc>
        <w:tc>
          <w:tcPr>
            <w:tcW w:w="2520" w:type="dxa"/>
            <w:vAlign w:val="bottom"/>
            <w:tcBorders>
              <w:right w:val="single" w:sz="8" w:color="0626A9"/>
            </w:tcBorders>
            <w:shd w:val="clear" w:color="auto" w:fill="EEEEF7"/>
          </w:tcPr>
          <w:p>
            <w:pPr>
              <w:ind w:left="80"/>
              <w:spacing w:after="0"/>
              <w:rPr>
                <w:sz w:val="20"/>
                <w:szCs w:val="20"/>
                <w:color w:val="auto"/>
              </w:rPr>
            </w:pPr>
            <w:r>
              <w:rPr>
                <w:rFonts w:ascii="Arial" w:cs="Arial" w:eastAsia="Arial" w:hAnsi="Arial"/>
                <w:sz w:val="14"/>
                <w:szCs w:val="14"/>
                <w:color w:val="auto"/>
              </w:rPr>
              <w:t>review process and key issues</w:t>
            </w:r>
          </w:p>
        </w:tc>
        <w:tc>
          <w:tcPr>
            <w:tcW w:w="240" w:type="dxa"/>
            <w:vAlign w:val="bottom"/>
            <w:shd w:val="clear" w:color="auto" w:fill="EDEDF8"/>
          </w:tcPr>
          <w:p>
            <w:pPr>
              <w:spacing w:after="0"/>
              <w:rPr>
                <w:sz w:val="16"/>
                <w:szCs w:val="16"/>
                <w:color w:val="auto"/>
              </w:rPr>
            </w:pPr>
          </w:p>
        </w:tc>
        <w:tc>
          <w:tcPr>
            <w:tcW w:w="2440" w:type="dxa"/>
            <w:vAlign w:val="bottom"/>
            <w:shd w:val="clear" w:color="auto" w:fill="EEEEF7"/>
          </w:tcPr>
          <w:p>
            <w:pPr>
              <w:ind w:left="220"/>
              <w:spacing w:after="0"/>
              <w:rPr>
                <w:sz w:val="20"/>
                <w:szCs w:val="20"/>
                <w:color w:val="auto"/>
              </w:rPr>
            </w:pPr>
            <w:r>
              <w:rPr>
                <w:rFonts w:ascii="Arial" w:cs="Arial" w:eastAsia="Arial" w:hAnsi="Arial"/>
                <w:sz w:val="14"/>
                <w:szCs w:val="14"/>
                <w:color w:val="auto"/>
              </w:rPr>
              <w:t>considerations are integrated</w:t>
            </w:r>
          </w:p>
        </w:tc>
        <w:tc>
          <w:tcPr>
            <w:tcW w:w="0" w:type="dxa"/>
            <w:vAlign w:val="bottom"/>
          </w:tcPr>
          <w:p>
            <w:pPr>
              <w:spacing w:after="0"/>
              <w:rPr>
                <w:sz w:val="1"/>
                <w:szCs w:val="1"/>
                <w:color w:val="auto"/>
              </w:rPr>
            </w:pPr>
          </w:p>
        </w:tc>
      </w:tr>
      <w:tr>
        <w:trPr>
          <w:trHeight w:val="190"/>
        </w:trPr>
        <w:tc>
          <w:tcPr>
            <w:tcW w:w="400" w:type="dxa"/>
            <w:vAlign w:val="bottom"/>
            <w:tcBorders>
              <w:left w:val="single" w:sz="8" w:color="0626A9"/>
            </w:tcBorders>
            <w:shd w:val="clear" w:color="auto" w:fill="EDEDF8"/>
          </w:tcPr>
          <w:p>
            <w:pPr>
              <w:spacing w:after="0"/>
              <w:rPr>
                <w:sz w:val="16"/>
                <w:szCs w:val="16"/>
                <w:color w:val="auto"/>
              </w:rPr>
            </w:pPr>
          </w:p>
        </w:tc>
        <w:tc>
          <w:tcPr>
            <w:tcW w:w="2500" w:type="dxa"/>
            <w:vAlign w:val="bottom"/>
            <w:tcBorders>
              <w:right w:val="single" w:sz="8" w:color="0626A9"/>
            </w:tcBorders>
            <w:shd w:val="clear" w:color="auto" w:fill="EDEDF8"/>
          </w:tcPr>
          <w:p>
            <w:pPr>
              <w:ind w:left="80"/>
              <w:spacing w:after="0"/>
              <w:rPr>
                <w:sz w:val="20"/>
                <w:szCs w:val="20"/>
                <w:color w:val="auto"/>
              </w:rPr>
            </w:pPr>
            <w:r>
              <w:rPr>
                <w:rFonts w:ascii="Arial" w:cs="Arial" w:eastAsia="Arial" w:hAnsi="Arial"/>
                <w:sz w:val="14"/>
                <w:szCs w:val="14"/>
                <w:color w:val="auto"/>
              </w:rPr>
              <w:t>planning</w:t>
            </w:r>
          </w:p>
        </w:tc>
        <w:tc>
          <w:tcPr>
            <w:tcW w:w="240" w:type="dxa"/>
            <w:vAlign w:val="bottom"/>
            <w:shd w:val="clear" w:color="auto" w:fill="EDEDF8"/>
          </w:tcPr>
          <w:p>
            <w:pPr>
              <w:spacing w:after="0"/>
              <w:rPr>
                <w:sz w:val="16"/>
                <w:szCs w:val="16"/>
                <w:color w:val="auto"/>
              </w:rPr>
            </w:pPr>
          </w:p>
        </w:tc>
        <w:tc>
          <w:tcPr>
            <w:tcW w:w="140" w:type="dxa"/>
            <w:vAlign w:val="bottom"/>
            <w:vMerge w:val="restart"/>
            <w:shd w:val="clear" w:color="auto" w:fill="EEEEF7"/>
          </w:tcPr>
          <w:p>
            <w:pPr>
              <w:ind w:left="20"/>
              <w:spacing w:after="0"/>
              <w:rPr>
                <w:sz w:val="20"/>
                <w:szCs w:val="20"/>
                <w:color w:val="auto"/>
              </w:rPr>
            </w:pPr>
            <w:r>
              <w:rPr>
                <w:rFonts w:ascii="Arial" w:cs="Arial" w:eastAsia="Arial" w:hAnsi="Arial"/>
                <w:sz w:val="14"/>
                <w:szCs w:val="14"/>
                <w:color w:val="1A3FD6"/>
              </w:rPr>
              <w:t>•</w:t>
            </w:r>
          </w:p>
        </w:tc>
        <w:tc>
          <w:tcPr>
            <w:tcW w:w="2520" w:type="dxa"/>
            <w:vAlign w:val="bottom"/>
            <w:tcBorders>
              <w:right w:val="single" w:sz="8" w:color="0626A9"/>
            </w:tcBorders>
            <w:vMerge w:val="restart"/>
            <w:shd w:val="clear" w:color="auto" w:fill="EEEEF7"/>
          </w:tcPr>
          <w:p>
            <w:pPr>
              <w:ind w:left="60"/>
              <w:spacing w:after="0"/>
              <w:rPr>
                <w:sz w:val="20"/>
                <w:szCs w:val="20"/>
                <w:color w:val="auto"/>
              </w:rPr>
            </w:pPr>
            <w:r>
              <w:rPr>
                <w:rFonts w:ascii="Arial" w:cs="Arial" w:eastAsia="Arial" w:hAnsi="Arial"/>
                <w:sz w:val="14"/>
                <w:szCs w:val="14"/>
                <w:color w:val="auto"/>
              </w:rPr>
              <w:t>Independent Auditor oversees</w:t>
            </w:r>
          </w:p>
        </w:tc>
        <w:tc>
          <w:tcPr>
            <w:tcW w:w="240" w:type="dxa"/>
            <w:vAlign w:val="bottom"/>
            <w:shd w:val="clear" w:color="auto" w:fill="EDEDF8"/>
          </w:tcPr>
          <w:p>
            <w:pPr>
              <w:spacing w:after="0"/>
              <w:rPr>
                <w:sz w:val="16"/>
                <w:szCs w:val="16"/>
                <w:color w:val="auto"/>
              </w:rPr>
            </w:pPr>
          </w:p>
        </w:tc>
        <w:tc>
          <w:tcPr>
            <w:tcW w:w="2440" w:type="dxa"/>
            <w:vAlign w:val="bottom"/>
            <w:shd w:val="clear" w:color="auto" w:fill="EEEEF7"/>
          </w:tcPr>
          <w:p>
            <w:pPr>
              <w:ind w:left="220"/>
              <w:spacing w:after="0"/>
              <w:rPr>
                <w:sz w:val="20"/>
                <w:szCs w:val="20"/>
                <w:color w:val="auto"/>
              </w:rPr>
            </w:pPr>
            <w:r>
              <w:rPr>
                <w:rFonts w:ascii="Arial" w:cs="Arial" w:eastAsia="Arial" w:hAnsi="Arial"/>
                <w:sz w:val="14"/>
                <w:szCs w:val="14"/>
                <w:color w:val="auto"/>
              </w:rPr>
              <w:t>into our business strategy</w:t>
            </w:r>
          </w:p>
        </w:tc>
        <w:tc>
          <w:tcPr>
            <w:tcW w:w="0" w:type="dxa"/>
            <w:vAlign w:val="bottom"/>
          </w:tcPr>
          <w:p>
            <w:pPr>
              <w:spacing w:after="0"/>
              <w:rPr>
                <w:sz w:val="1"/>
                <w:szCs w:val="1"/>
                <w:color w:val="auto"/>
              </w:rPr>
            </w:pPr>
          </w:p>
        </w:tc>
      </w:tr>
      <w:tr>
        <w:trPr>
          <w:trHeight w:val="53"/>
        </w:trPr>
        <w:tc>
          <w:tcPr>
            <w:tcW w:w="400" w:type="dxa"/>
            <w:vAlign w:val="bottom"/>
            <w:tcBorders>
              <w:left w:val="single" w:sz="8" w:color="0626A9"/>
            </w:tcBorders>
            <w:shd w:val="clear" w:color="auto" w:fill="EDEDF8"/>
          </w:tcPr>
          <w:p>
            <w:pPr>
              <w:spacing w:after="0"/>
              <w:rPr>
                <w:sz w:val="4"/>
                <w:szCs w:val="4"/>
                <w:color w:val="auto"/>
              </w:rPr>
            </w:pPr>
          </w:p>
        </w:tc>
        <w:tc>
          <w:tcPr>
            <w:tcW w:w="2500" w:type="dxa"/>
            <w:vAlign w:val="bottom"/>
            <w:tcBorders>
              <w:right w:val="single" w:sz="8" w:color="0626A9"/>
            </w:tcBorders>
            <w:shd w:val="clear" w:color="auto" w:fill="EDEDF8"/>
          </w:tcPr>
          <w:p>
            <w:pPr>
              <w:spacing w:after="0"/>
              <w:rPr>
                <w:sz w:val="4"/>
                <w:szCs w:val="4"/>
                <w:color w:val="auto"/>
              </w:rPr>
            </w:pPr>
          </w:p>
        </w:tc>
        <w:tc>
          <w:tcPr>
            <w:tcW w:w="240" w:type="dxa"/>
            <w:vAlign w:val="bottom"/>
            <w:shd w:val="clear" w:color="auto" w:fill="EDEDF8"/>
          </w:tcPr>
          <w:p>
            <w:pPr>
              <w:spacing w:after="0"/>
              <w:rPr>
                <w:sz w:val="4"/>
                <w:szCs w:val="4"/>
                <w:color w:val="auto"/>
              </w:rPr>
            </w:pPr>
          </w:p>
        </w:tc>
        <w:tc>
          <w:tcPr>
            <w:tcW w:w="140" w:type="dxa"/>
            <w:vAlign w:val="bottom"/>
            <w:vMerge w:val="continue"/>
            <w:shd w:val="clear" w:color="auto" w:fill="EEEEF7"/>
          </w:tcPr>
          <w:p>
            <w:pPr>
              <w:spacing w:after="0"/>
              <w:rPr>
                <w:sz w:val="4"/>
                <w:szCs w:val="4"/>
                <w:color w:val="auto"/>
              </w:rPr>
            </w:pPr>
          </w:p>
        </w:tc>
        <w:tc>
          <w:tcPr>
            <w:tcW w:w="2520" w:type="dxa"/>
            <w:vAlign w:val="bottom"/>
            <w:tcBorders>
              <w:right w:val="single" w:sz="8" w:color="0626A9"/>
            </w:tcBorders>
            <w:vMerge w:val="continue"/>
            <w:shd w:val="clear" w:color="auto" w:fill="EEEEF7"/>
          </w:tcPr>
          <w:p>
            <w:pPr>
              <w:spacing w:after="0"/>
              <w:rPr>
                <w:sz w:val="4"/>
                <w:szCs w:val="4"/>
                <w:color w:val="auto"/>
              </w:rPr>
            </w:pPr>
          </w:p>
        </w:tc>
        <w:tc>
          <w:tcPr>
            <w:tcW w:w="240" w:type="dxa"/>
            <w:vAlign w:val="bottom"/>
            <w:shd w:val="clear" w:color="auto" w:fill="EDEDF8"/>
          </w:tcPr>
          <w:p>
            <w:pPr>
              <w:spacing w:after="0"/>
              <w:rPr>
                <w:sz w:val="4"/>
                <w:szCs w:val="4"/>
                <w:color w:val="auto"/>
              </w:rPr>
            </w:pPr>
          </w:p>
        </w:tc>
        <w:tc>
          <w:tcPr>
            <w:tcW w:w="2440" w:type="dxa"/>
            <w:vAlign w:val="bottom"/>
            <w:shd w:val="clear" w:color="auto" w:fill="EEEEF7"/>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0626A9"/>
            </w:tcBorders>
            <w:shd w:val="clear" w:color="auto" w:fill="EDEDF8"/>
          </w:tcPr>
          <w:p>
            <w:pPr>
              <w:ind w:left="280"/>
              <w:spacing w:after="0"/>
              <w:rPr>
                <w:sz w:val="20"/>
                <w:szCs w:val="20"/>
                <w:color w:val="auto"/>
              </w:rPr>
            </w:pPr>
            <w:r>
              <w:rPr>
                <w:rFonts w:ascii="Arial" w:cs="Arial" w:eastAsia="Arial" w:hAnsi="Arial"/>
                <w:sz w:val="14"/>
                <w:szCs w:val="14"/>
                <w:color w:val="1A3FD6"/>
              </w:rPr>
              <w:t>•</w:t>
            </w:r>
          </w:p>
        </w:tc>
        <w:tc>
          <w:tcPr>
            <w:tcW w:w="2500" w:type="dxa"/>
            <w:vAlign w:val="bottom"/>
            <w:tcBorders>
              <w:right w:val="single" w:sz="8" w:color="0626A9"/>
            </w:tcBorders>
            <w:shd w:val="clear" w:color="auto" w:fill="EDEDF8"/>
          </w:tcPr>
          <w:p>
            <w:pPr>
              <w:ind w:left="60"/>
              <w:spacing w:after="0"/>
              <w:rPr>
                <w:sz w:val="20"/>
                <w:szCs w:val="20"/>
                <w:color w:val="auto"/>
              </w:rPr>
            </w:pPr>
            <w:r>
              <w:rPr>
                <w:rFonts w:ascii="Arial" w:cs="Arial" w:eastAsia="Arial" w:hAnsi="Arial"/>
                <w:sz w:val="14"/>
                <w:szCs w:val="14"/>
                <w:color w:val="auto"/>
              </w:rPr>
              <w:t>Chief Responsibility Officer</w:t>
            </w:r>
          </w:p>
        </w:tc>
        <w:tc>
          <w:tcPr>
            <w:tcW w:w="240" w:type="dxa"/>
            <w:vAlign w:val="bottom"/>
            <w:shd w:val="clear" w:color="auto" w:fill="EDEDF8"/>
          </w:tcPr>
          <w:p>
            <w:pPr>
              <w:spacing w:after="0"/>
              <w:rPr>
                <w:sz w:val="16"/>
                <w:szCs w:val="16"/>
                <w:color w:val="auto"/>
              </w:rPr>
            </w:pPr>
          </w:p>
        </w:tc>
        <w:tc>
          <w:tcPr>
            <w:tcW w:w="140" w:type="dxa"/>
            <w:vAlign w:val="bottom"/>
            <w:shd w:val="clear" w:color="auto" w:fill="EEEEF7"/>
          </w:tcPr>
          <w:p>
            <w:pPr>
              <w:spacing w:after="0"/>
              <w:rPr>
                <w:sz w:val="16"/>
                <w:szCs w:val="16"/>
                <w:color w:val="auto"/>
              </w:rPr>
            </w:pPr>
          </w:p>
        </w:tc>
        <w:tc>
          <w:tcPr>
            <w:tcW w:w="2520" w:type="dxa"/>
            <w:vAlign w:val="bottom"/>
            <w:tcBorders>
              <w:right w:val="single" w:sz="8" w:color="0626A9"/>
            </w:tcBorders>
            <w:shd w:val="clear" w:color="auto" w:fill="EEEEF7"/>
          </w:tcPr>
          <w:p>
            <w:pPr>
              <w:ind w:left="80"/>
              <w:spacing w:after="0"/>
              <w:rPr>
                <w:sz w:val="20"/>
                <w:szCs w:val="20"/>
                <w:color w:val="auto"/>
              </w:rPr>
            </w:pPr>
            <w:r>
              <w:rPr>
                <w:rFonts w:ascii="Arial" w:cs="Arial" w:eastAsia="Arial" w:hAnsi="Arial"/>
                <w:sz w:val="14"/>
                <w:szCs w:val="14"/>
                <w:color w:val="auto"/>
              </w:rPr>
              <w:t>integrity in financial reporting</w:t>
            </w:r>
          </w:p>
        </w:tc>
        <w:tc>
          <w:tcPr>
            <w:tcW w:w="240" w:type="dxa"/>
            <w:vAlign w:val="bottom"/>
            <w:shd w:val="clear" w:color="auto" w:fill="EDEDF8"/>
          </w:tcPr>
          <w:p>
            <w:pPr>
              <w:spacing w:after="0"/>
              <w:rPr>
                <w:sz w:val="16"/>
                <w:szCs w:val="16"/>
                <w:color w:val="auto"/>
              </w:rPr>
            </w:pPr>
          </w:p>
        </w:tc>
        <w:tc>
          <w:tcPr>
            <w:tcW w:w="2440" w:type="dxa"/>
            <w:vAlign w:val="bottom"/>
            <w:shd w:val="clear" w:color="auto" w:fill="EEEEF7"/>
          </w:tcPr>
          <w:p>
            <w:pPr>
              <w:ind w:left="20"/>
              <w:spacing w:after="0"/>
              <w:rPr>
                <w:sz w:val="20"/>
                <w:szCs w:val="20"/>
                <w:color w:val="auto"/>
              </w:rPr>
            </w:pPr>
            <w:r>
              <w:rPr>
                <w:rFonts w:ascii="Arial" w:cs="Arial" w:eastAsia="Arial" w:hAnsi="Arial"/>
                <w:sz w:val="14"/>
                <w:szCs w:val="14"/>
                <w:color w:val="1A3FD6"/>
              </w:rPr>
              <w:t xml:space="preserve">•  </w:t>
            </w:r>
            <w:r>
              <w:rPr>
                <w:rFonts w:ascii="Arial" w:cs="Arial" w:eastAsia="Arial" w:hAnsi="Arial"/>
                <w:sz w:val="14"/>
                <w:szCs w:val="14"/>
                <w:color w:val="000000"/>
              </w:rPr>
              <w:t>Advises on key partnership</w:t>
            </w:r>
          </w:p>
        </w:tc>
        <w:tc>
          <w:tcPr>
            <w:tcW w:w="0" w:type="dxa"/>
            <w:vAlign w:val="bottom"/>
          </w:tcPr>
          <w:p>
            <w:pPr>
              <w:spacing w:after="0"/>
              <w:rPr>
                <w:sz w:val="1"/>
                <w:szCs w:val="1"/>
                <w:color w:val="auto"/>
              </w:rPr>
            </w:pPr>
          </w:p>
        </w:tc>
      </w:tr>
      <w:tr>
        <w:trPr>
          <w:trHeight w:val="190"/>
        </w:trPr>
        <w:tc>
          <w:tcPr>
            <w:tcW w:w="400" w:type="dxa"/>
            <w:vAlign w:val="bottom"/>
            <w:tcBorders>
              <w:left w:val="single" w:sz="8" w:color="0626A9"/>
            </w:tcBorders>
            <w:shd w:val="clear" w:color="auto" w:fill="EDEDF8"/>
          </w:tcPr>
          <w:p>
            <w:pPr>
              <w:spacing w:after="0"/>
              <w:rPr>
                <w:sz w:val="16"/>
                <w:szCs w:val="16"/>
                <w:color w:val="auto"/>
              </w:rPr>
            </w:pPr>
          </w:p>
        </w:tc>
        <w:tc>
          <w:tcPr>
            <w:tcW w:w="2500" w:type="dxa"/>
            <w:vAlign w:val="bottom"/>
            <w:tcBorders>
              <w:right w:val="single" w:sz="8" w:color="0626A9"/>
            </w:tcBorders>
            <w:shd w:val="clear" w:color="auto" w:fill="EDEDF8"/>
          </w:tcPr>
          <w:p>
            <w:pPr>
              <w:ind w:left="80"/>
              <w:spacing w:after="0"/>
              <w:rPr>
                <w:sz w:val="20"/>
                <w:szCs w:val="20"/>
                <w:color w:val="auto"/>
              </w:rPr>
            </w:pPr>
            <w:r>
              <w:rPr>
                <w:rFonts w:ascii="Arial" w:cs="Arial" w:eastAsia="Arial" w:hAnsi="Arial"/>
                <w:sz w:val="14"/>
                <w:szCs w:val="14"/>
                <w:color w:val="auto"/>
              </w:rPr>
              <w:t>provides updates on employee</w:t>
            </w:r>
          </w:p>
        </w:tc>
        <w:tc>
          <w:tcPr>
            <w:tcW w:w="240" w:type="dxa"/>
            <w:vAlign w:val="bottom"/>
            <w:shd w:val="clear" w:color="auto" w:fill="EDEDF8"/>
          </w:tcPr>
          <w:p>
            <w:pPr>
              <w:spacing w:after="0"/>
              <w:rPr>
                <w:sz w:val="16"/>
                <w:szCs w:val="16"/>
                <w:color w:val="auto"/>
              </w:rPr>
            </w:pPr>
          </w:p>
        </w:tc>
        <w:tc>
          <w:tcPr>
            <w:tcW w:w="2660" w:type="dxa"/>
            <w:vAlign w:val="bottom"/>
            <w:tcBorders>
              <w:right w:val="single" w:sz="8" w:color="0626A9"/>
            </w:tcBorders>
            <w:gridSpan w:val="2"/>
            <w:vMerge w:val="restart"/>
            <w:shd w:val="clear" w:color="auto" w:fill="EEEEF7"/>
          </w:tcPr>
          <w:p>
            <w:pPr>
              <w:ind w:left="20"/>
              <w:spacing w:after="0"/>
              <w:rPr>
                <w:sz w:val="20"/>
                <w:szCs w:val="20"/>
                <w:color w:val="auto"/>
              </w:rPr>
            </w:pPr>
            <w:r>
              <w:rPr>
                <w:rFonts w:ascii="Arial" w:cs="Arial" w:eastAsia="Arial" w:hAnsi="Arial"/>
                <w:sz w:val="14"/>
                <w:szCs w:val="14"/>
                <w:color w:val="1A3FD6"/>
              </w:rPr>
              <w:t xml:space="preserve">•  </w:t>
            </w:r>
            <w:r>
              <w:rPr>
                <w:rFonts w:ascii="Arial" w:cs="Arial" w:eastAsia="Arial" w:hAnsi="Arial"/>
                <w:sz w:val="14"/>
                <w:szCs w:val="14"/>
                <w:color w:val="000000"/>
              </w:rPr>
              <w:t>Head of Internal Audit reports to</w:t>
            </w:r>
          </w:p>
        </w:tc>
        <w:tc>
          <w:tcPr>
            <w:tcW w:w="240" w:type="dxa"/>
            <w:vAlign w:val="bottom"/>
            <w:shd w:val="clear" w:color="auto" w:fill="EDEDF8"/>
          </w:tcPr>
          <w:p>
            <w:pPr>
              <w:spacing w:after="0"/>
              <w:rPr>
                <w:sz w:val="16"/>
                <w:szCs w:val="16"/>
                <w:color w:val="auto"/>
              </w:rPr>
            </w:pPr>
          </w:p>
        </w:tc>
        <w:tc>
          <w:tcPr>
            <w:tcW w:w="2440" w:type="dxa"/>
            <w:vAlign w:val="bottom"/>
            <w:shd w:val="clear" w:color="auto" w:fill="EEEEF7"/>
          </w:tcPr>
          <w:p>
            <w:pPr>
              <w:ind w:left="220"/>
              <w:spacing w:after="0"/>
              <w:rPr>
                <w:sz w:val="20"/>
                <w:szCs w:val="20"/>
                <w:color w:val="auto"/>
              </w:rPr>
            </w:pPr>
            <w:r>
              <w:rPr>
                <w:rFonts w:ascii="Arial" w:cs="Arial" w:eastAsia="Arial" w:hAnsi="Arial"/>
                <w:sz w:val="14"/>
                <w:szCs w:val="14"/>
                <w:color w:val="auto"/>
              </w:rPr>
              <w:t>and acquisition opportunities</w:t>
            </w:r>
          </w:p>
        </w:tc>
        <w:tc>
          <w:tcPr>
            <w:tcW w:w="0" w:type="dxa"/>
            <w:vAlign w:val="bottom"/>
          </w:tcPr>
          <w:p>
            <w:pPr>
              <w:spacing w:after="0"/>
              <w:rPr>
                <w:sz w:val="1"/>
                <w:szCs w:val="1"/>
                <w:color w:val="auto"/>
              </w:rPr>
            </w:pPr>
          </w:p>
        </w:tc>
      </w:tr>
      <w:tr>
        <w:trPr>
          <w:trHeight w:val="53"/>
        </w:trPr>
        <w:tc>
          <w:tcPr>
            <w:tcW w:w="400" w:type="dxa"/>
            <w:vAlign w:val="bottom"/>
            <w:tcBorders>
              <w:left w:val="single" w:sz="8" w:color="0626A9"/>
            </w:tcBorders>
            <w:shd w:val="clear" w:color="auto" w:fill="EDEDF8"/>
          </w:tcPr>
          <w:p>
            <w:pPr>
              <w:spacing w:after="0"/>
              <w:rPr>
                <w:sz w:val="4"/>
                <w:szCs w:val="4"/>
                <w:color w:val="auto"/>
              </w:rPr>
            </w:pPr>
          </w:p>
        </w:tc>
        <w:tc>
          <w:tcPr>
            <w:tcW w:w="2500" w:type="dxa"/>
            <w:vAlign w:val="bottom"/>
            <w:tcBorders>
              <w:right w:val="single" w:sz="8" w:color="0626A9"/>
            </w:tcBorders>
            <w:vMerge w:val="restart"/>
            <w:shd w:val="clear" w:color="auto" w:fill="EDEDF8"/>
          </w:tcPr>
          <w:p>
            <w:pPr>
              <w:ind w:left="80"/>
              <w:spacing w:after="0"/>
              <w:rPr>
                <w:sz w:val="20"/>
                <w:szCs w:val="20"/>
                <w:color w:val="auto"/>
              </w:rPr>
            </w:pPr>
            <w:r>
              <w:rPr>
                <w:rFonts w:ascii="Arial" w:cs="Arial" w:eastAsia="Arial" w:hAnsi="Arial"/>
                <w:sz w:val="14"/>
                <w:szCs w:val="14"/>
                <w:color w:val="auto"/>
              </w:rPr>
              <w:t>engagement and culture</w:t>
            </w:r>
          </w:p>
        </w:tc>
        <w:tc>
          <w:tcPr>
            <w:tcW w:w="240" w:type="dxa"/>
            <w:vAlign w:val="bottom"/>
            <w:shd w:val="clear" w:color="auto" w:fill="EDEDF8"/>
          </w:tcPr>
          <w:p>
            <w:pPr>
              <w:spacing w:after="0"/>
              <w:rPr>
                <w:sz w:val="4"/>
                <w:szCs w:val="4"/>
                <w:color w:val="auto"/>
              </w:rPr>
            </w:pPr>
          </w:p>
        </w:tc>
        <w:tc>
          <w:tcPr>
            <w:tcW w:w="2660" w:type="dxa"/>
            <w:vAlign w:val="bottom"/>
            <w:tcBorders>
              <w:right w:val="single" w:sz="8" w:color="0626A9"/>
            </w:tcBorders>
            <w:gridSpan w:val="2"/>
            <w:vMerge w:val="continue"/>
            <w:shd w:val="clear" w:color="auto" w:fill="EEEEF7"/>
          </w:tcPr>
          <w:p>
            <w:pPr>
              <w:spacing w:after="0"/>
              <w:rPr>
                <w:sz w:val="4"/>
                <w:szCs w:val="4"/>
                <w:color w:val="auto"/>
              </w:rPr>
            </w:pPr>
          </w:p>
        </w:tc>
        <w:tc>
          <w:tcPr>
            <w:tcW w:w="240" w:type="dxa"/>
            <w:vAlign w:val="bottom"/>
            <w:shd w:val="clear" w:color="auto" w:fill="EDEDF8"/>
          </w:tcPr>
          <w:p>
            <w:pPr>
              <w:spacing w:after="0"/>
              <w:rPr>
                <w:sz w:val="4"/>
                <w:szCs w:val="4"/>
                <w:color w:val="auto"/>
              </w:rPr>
            </w:pPr>
          </w:p>
        </w:tc>
        <w:tc>
          <w:tcPr>
            <w:tcW w:w="2440" w:type="dxa"/>
            <w:vAlign w:val="bottom"/>
            <w:vMerge w:val="restart"/>
            <w:shd w:val="clear" w:color="auto" w:fill="EEEEF7"/>
          </w:tcPr>
          <w:p>
            <w:pPr>
              <w:ind w:left="220"/>
              <w:spacing w:after="0"/>
              <w:rPr>
                <w:sz w:val="20"/>
                <w:szCs w:val="20"/>
                <w:color w:val="auto"/>
              </w:rPr>
            </w:pPr>
            <w:r>
              <w:rPr>
                <w:rFonts w:ascii="Arial" w:cs="Arial" w:eastAsia="Arial" w:hAnsi="Arial"/>
                <w:sz w:val="14"/>
                <w:szCs w:val="14"/>
                <w:color w:val="auto"/>
              </w:rPr>
              <w:t>that support strategic priorities</w:t>
            </w:r>
          </w:p>
        </w:tc>
        <w:tc>
          <w:tcPr>
            <w:tcW w:w="0" w:type="dxa"/>
            <w:vAlign w:val="bottom"/>
          </w:tcPr>
          <w:p>
            <w:pPr>
              <w:spacing w:after="0"/>
              <w:rPr>
                <w:sz w:val="1"/>
                <w:szCs w:val="1"/>
                <w:color w:val="auto"/>
              </w:rPr>
            </w:pPr>
          </w:p>
        </w:tc>
      </w:tr>
      <w:tr>
        <w:trPr>
          <w:trHeight w:val="137"/>
        </w:trPr>
        <w:tc>
          <w:tcPr>
            <w:tcW w:w="400" w:type="dxa"/>
            <w:vAlign w:val="bottom"/>
            <w:tcBorders>
              <w:left w:val="single" w:sz="8" w:color="0626A9"/>
            </w:tcBorders>
            <w:shd w:val="clear" w:color="auto" w:fill="EDEDF8"/>
          </w:tcPr>
          <w:p>
            <w:pPr>
              <w:spacing w:after="0"/>
              <w:rPr>
                <w:sz w:val="11"/>
                <w:szCs w:val="11"/>
                <w:color w:val="auto"/>
              </w:rPr>
            </w:pPr>
          </w:p>
        </w:tc>
        <w:tc>
          <w:tcPr>
            <w:tcW w:w="2500" w:type="dxa"/>
            <w:vAlign w:val="bottom"/>
            <w:tcBorders>
              <w:right w:val="single" w:sz="8" w:color="0626A9"/>
            </w:tcBorders>
            <w:vMerge w:val="continue"/>
            <w:shd w:val="clear" w:color="auto" w:fill="EDEDF8"/>
          </w:tcPr>
          <w:p>
            <w:pPr>
              <w:spacing w:after="0"/>
              <w:rPr>
                <w:sz w:val="11"/>
                <w:szCs w:val="11"/>
                <w:color w:val="auto"/>
              </w:rPr>
            </w:pPr>
          </w:p>
        </w:tc>
        <w:tc>
          <w:tcPr>
            <w:tcW w:w="240" w:type="dxa"/>
            <w:vAlign w:val="bottom"/>
            <w:shd w:val="clear" w:color="auto" w:fill="EDEDF8"/>
          </w:tcPr>
          <w:p>
            <w:pPr>
              <w:spacing w:after="0"/>
              <w:rPr>
                <w:sz w:val="11"/>
                <w:szCs w:val="11"/>
                <w:color w:val="auto"/>
              </w:rPr>
            </w:pPr>
          </w:p>
        </w:tc>
        <w:tc>
          <w:tcPr>
            <w:tcW w:w="140" w:type="dxa"/>
            <w:vAlign w:val="bottom"/>
            <w:shd w:val="clear" w:color="auto" w:fill="EEEEF7"/>
          </w:tcPr>
          <w:p>
            <w:pPr>
              <w:spacing w:after="0"/>
              <w:rPr>
                <w:sz w:val="11"/>
                <w:szCs w:val="11"/>
                <w:color w:val="auto"/>
              </w:rPr>
            </w:pPr>
          </w:p>
        </w:tc>
        <w:tc>
          <w:tcPr>
            <w:tcW w:w="2520" w:type="dxa"/>
            <w:vAlign w:val="bottom"/>
            <w:tcBorders>
              <w:right w:val="single" w:sz="8" w:color="0626A9"/>
            </w:tcBorders>
            <w:vMerge w:val="restart"/>
            <w:shd w:val="clear" w:color="auto" w:fill="EEEEF7"/>
          </w:tcPr>
          <w:p>
            <w:pPr>
              <w:ind w:left="80"/>
              <w:spacing w:after="0"/>
              <w:rPr>
                <w:sz w:val="20"/>
                <w:szCs w:val="20"/>
                <w:color w:val="auto"/>
              </w:rPr>
            </w:pPr>
            <w:r>
              <w:rPr>
                <w:rFonts w:ascii="Arial" w:cs="Arial" w:eastAsia="Arial" w:hAnsi="Arial"/>
                <w:sz w:val="14"/>
                <w:szCs w:val="14"/>
                <w:color w:val="auto"/>
              </w:rPr>
              <w:t>Audit Committee and provides</w:t>
            </w:r>
          </w:p>
        </w:tc>
        <w:tc>
          <w:tcPr>
            <w:tcW w:w="240" w:type="dxa"/>
            <w:vAlign w:val="bottom"/>
            <w:shd w:val="clear" w:color="auto" w:fill="EDEDF8"/>
          </w:tcPr>
          <w:p>
            <w:pPr>
              <w:spacing w:after="0"/>
              <w:rPr>
                <w:sz w:val="11"/>
                <w:szCs w:val="11"/>
                <w:color w:val="auto"/>
              </w:rPr>
            </w:pPr>
          </w:p>
        </w:tc>
        <w:tc>
          <w:tcPr>
            <w:tcW w:w="2440" w:type="dxa"/>
            <w:vAlign w:val="bottom"/>
            <w:vMerge w:val="continue"/>
            <w:shd w:val="clear" w:color="auto" w:fill="EEEEF7"/>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400" w:type="dxa"/>
            <w:vAlign w:val="bottom"/>
            <w:tcBorders>
              <w:left w:val="single" w:sz="8" w:color="0626A9"/>
            </w:tcBorders>
            <w:shd w:val="clear" w:color="auto" w:fill="EDEDF8"/>
          </w:tcPr>
          <w:p>
            <w:pPr>
              <w:spacing w:after="0"/>
              <w:rPr>
                <w:sz w:val="4"/>
                <w:szCs w:val="4"/>
                <w:color w:val="auto"/>
              </w:rPr>
            </w:pPr>
          </w:p>
        </w:tc>
        <w:tc>
          <w:tcPr>
            <w:tcW w:w="2500" w:type="dxa"/>
            <w:vAlign w:val="bottom"/>
            <w:tcBorders>
              <w:right w:val="single" w:sz="8" w:color="0626A9"/>
            </w:tcBorders>
            <w:shd w:val="clear" w:color="auto" w:fill="EDEDF8"/>
          </w:tcPr>
          <w:p>
            <w:pPr>
              <w:spacing w:after="0"/>
              <w:rPr>
                <w:sz w:val="4"/>
                <w:szCs w:val="4"/>
                <w:color w:val="auto"/>
              </w:rPr>
            </w:pPr>
          </w:p>
        </w:tc>
        <w:tc>
          <w:tcPr>
            <w:tcW w:w="240" w:type="dxa"/>
            <w:vAlign w:val="bottom"/>
            <w:shd w:val="clear" w:color="auto" w:fill="EDEDF8"/>
          </w:tcPr>
          <w:p>
            <w:pPr>
              <w:spacing w:after="0"/>
              <w:rPr>
                <w:sz w:val="4"/>
                <w:szCs w:val="4"/>
                <w:color w:val="auto"/>
              </w:rPr>
            </w:pPr>
          </w:p>
        </w:tc>
        <w:tc>
          <w:tcPr>
            <w:tcW w:w="140" w:type="dxa"/>
            <w:vAlign w:val="bottom"/>
            <w:shd w:val="clear" w:color="auto" w:fill="EEEEF7"/>
          </w:tcPr>
          <w:p>
            <w:pPr>
              <w:spacing w:after="0"/>
              <w:rPr>
                <w:sz w:val="4"/>
                <w:szCs w:val="4"/>
                <w:color w:val="auto"/>
              </w:rPr>
            </w:pPr>
          </w:p>
        </w:tc>
        <w:tc>
          <w:tcPr>
            <w:tcW w:w="2520" w:type="dxa"/>
            <w:vAlign w:val="bottom"/>
            <w:tcBorders>
              <w:right w:val="single" w:sz="8" w:color="0626A9"/>
            </w:tcBorders>
            <w:vMerge w:val="continue"/>
            <w:shd w:val="clear" w:color="auto" w:fill="EEEEF7"/>
          </w:tcPr>
          <w:p>
            <w:pPr>
              <w:spacing w:after="0"/>
              <w:rPr>
                <w:sz w:val="4"/>
                <w:szCs w:val="4"/>
                <w:color w:val="auto"/>
              </w:rPr>
            </w:pPr>
          </w:p>
        </w:tc>
        <w:tc>
          <w:tcPr>
            <w:tcW w:w="240" w:type="dxa"/>
            <w:vAlign w:val="bottom"/>
            <w:shd w:val="clear" w:color="auto" w:fill="EDEDF8"/>
          </w:tcPr>
          <w:p>
            <w:pPr>
              <w:spacing w:after="0"/>
              <w:rPr>
                <w:sz w:val="4"/>
                <w:szCs w:val="4"/>
                <w:color w:val="auto"/>
              </w:rPr>
            </w:pPr>
          </w:p>
        </w:tc>
        <w:tc>
          <w:tcPr>
            <w:tcW w:w="2440" w:type="dxa"/>
            <w:vAlign w:val="bottom"/>
            <w:shd w:val="clear" w:color="auto" w:fill="EEEEF7"/>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0" w:type="dxa"/>
            <w:vAlign w:val="bottom"/>
            <w:tcBorders>
              <w:left w:val="single" w:sz="8" w:color="0626A9"/>
            </w:tcBorders>
            <w:shd w:val="clear" w:color="auto" w:fill="EDEDF8"/>
          </w:tcPr>
          <w:p>
            <w:pPr>
              <w:ind w:left="280"/>
              <w:spacing w:after="0"/>
              <w:rPr>
                <w:sz w:val="20"/>
                <w:szCs w:val="20"/>
                <w:color w:val="auto"/>
              </w:rPr>
            </w:pPr>
            <w:r>
              <w:rPr>
                <w:rFonts w:ascii="Arial" w:cs="Arial" w:eastAsia="Arial" w:hAnsi="Arial"/>
                <w:sz w:val="14"/>
                <w:szCs w:val="14"/>
                <w:color w:val="1A3FD6"/>
              </w:rPr>
              <w:t>•</w:t>
            </w:r>
          </w:p>
        </w:tc>
        <w:tc>
          <w:tcPr>
            <w:tcW w:w="2500" w:type="dxa"/>
            <w:vAlign w:val="bottom"/>
            <w:tcBorders>
              <w:right w:val="single" w:sz="8" w:color="0626A9"/>
            </w:tcBorders>
            <w:shd w:val="clear" w:color="auto" w:fill="EDEDF8"/>
          </w:tcPr>
          <w:p>
            <w:pPr>
              <w:ind w:left="60"/>
              <w:spacing w:after="0"/>
              <w:rPr>
                <w:sz w:val="20"/>
                <w:szCs w:val="20"/>
                <w:color w:val="auto"/>
              </w:rPr>
            </w:pPr>
            <w:r>
              <w:rPr>
                <w:rFonts w:ascii="Arial" w:cs="Arial" w:eastAsia="Arial" w:hAnsi="Arial"/>
                <w:sz w:val="14"/>
                <w:szCs w:val="14"/>
                <w:color w:val="auto"/>
              </w:rPr>
              <w:t>Head of Compensation</w:t>
            </w:r>
          </w:p>
        </w:tc>
        <w:tc>
          <w:tcPr>
            <w:tcW w:w="240" w:type="dxa"/>
            <w:vAlign w:val="bottom"/>
            <w:shd w:val="clear" w:color="auto" w:fill="EDEDF8"/>
          </w:tcPr>
          <w:p>
            <w:pPr>
              <w:spacing w:after="0"/>
              <w:rPr>
                <w:sz w:val="15"/>
                <w:szCs w:val="15"/>
                <w:color w:val="auto"/>
              </w:rPr>
            </w:pPr>
          </w:p>
        </w:tc>
        <w:tc>
          <w:tcPr>
            <w:tcW w:w="140" w:type="dxa"/>
            <w:vAlign w:val="bottom"/>
            <w:shd w:val="clear" w:color="auto" w:fill="EEEEF7"/>
          </w:tcPr>
          <w:p>
            <w:pPr>
              <w:spacing w:after="0"/>
              <w:rPr>
                <w:sz w:val="15"/>
                <w:szCs w:val="15"/>
                <w:color w:val="auto"/>
              </w:rPr>
            </w:pPr>
          </w:p>
        </w:tc>
        <w:tc>
          <w:tcPr>
            <w:tcW w:w="2520" w:type="dxa"/>
            <w:vAlign w:val="bottom"/>
            <w:tcBorders>
              <w:right w:val="single" w:sz="8" w:color="0626A9"/>
            </w:tcBorders>
            <w:shd w:val="clear" w:color="auto" w:fill="EEEEF7"/>
          </w:tcPr>
          <w:p>
            <w:pPr>
              <w:ind w:left="80"/>
              <w:spacing w:after="0"/>
              <w:rPr>
                <w:sz w:val="20"/>
                <w:szCs w:val="20"/>
                <w:color w:val="auto"/>
              </w:rPr>
            </w:pPr>
            <w:r>
              <w:rPr>
                <w:rFonts w:ascii="Arial" w:cs="Arial" w:eastAsia="Arial" w:hAnsi="Arial"/>
                <w:sz w:val="14"/>
                <w:szCs w:val="14"/>
                <w:color w:val="auto"/>
              </w:rPr>
              <w:t>quarterly updates on relevant audit</w:t>
            </w:r>
          </w:p>
        </w:tc>
        <w:tc>
          <w:tcPr>
            <w:tcW w:w="240" w:type="dxa"/>
            <w:vAlign w:val="bottom"/>
            <w:shd w:val="clear" w:color="auto" w:fill="EDEDF8"/>
          </w:tcPr>
          <w:p>
            <w:pPr>
              <w:spacing w:after="0"/>
              <w:rPr>
                <w:sz w:val="15"/>
                <w:szCs w:val="15"/>
                <w:color w:val="auto"/>
              </w:rPr>
            </w:pPr>
          </w:p>
        </w:tc>
        <w:tc>
          <w:tcPr>
            <w:tcW w:w="2440" w:type="dxa"/>
            <w:vAlign w:val="bottom"/>
            <w:shd w:val="clear" w:color="auto" w:fill="EEEEF7"/>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0626A9"/>
            </w:tcBorders>
            <w:shd w:val="clear" w:color="auto" w:fill="EDEDF8"/>
          </w:tcPr>
          <w:p>
            <w:pPr>
              <w:spacing w:after="0"/>
              <w:rPr>
                <w:sz w:val="16"/>
                <w:szCs w:val="16"/>
                <w:color w:val="auto"/>
              </w:rPr>
            </w:pPr>
          </w:p>
        </w:tc>
        <w:tc>
          <w:tcPr>
            <w:tcW w:w="2500" w:type="dxa"/>
            <w:vAlign w:val="bottom"/>
            <w:tcBorders>
              <w:right w:val="single" w:sz="8" w:color="0626A9"/>
            </w:tcBorders>
            <w:shd w:val="clear" w:color="auto" w:fill="EDEDF8"/>
          </w:tcPr>
          <w:p>
            <w:pPr>
              <w:ind w:left="80"/>
              <w:spacing w:after="0"/>
              <w:rPr>
                <w:sz w:val="20"/>
                <w:szCs w:val="20"/>
                <w:color w:val="auto"/>
              </w:rPr>
            </w:pPr>
            <w:r>
              <w:rPr>
                <w:rFonts w:ascii="Arial" w:cs="Arial" w:eastAsia="Arial" w:hAnsi="Arial"/>
                <w:sz w:val="14"/>
                <w:szCs w:val="14"/>
                <w:color w:val="auto"/>
              </w:rPr>
              <w:t>and Benefits incorporates the</w:t>
            </w:r>
          </w:p>
        </w:tc>
        <w:tc>
          <w:tcPr>
            <w:tcW w:w="240" w:type="dxa"/>
            <w:vAlign w:val="bottom"/>
            <w:shd w:val="clear" w:color="auto" w:fill="EDEDF8"/>
          </w:tcPr>
          <w:p>
            <w:pPr>
              <w:spacing w:after="0"/>
              <w:rPr>
                <w:sz w:val="16"/>
                <w:szCs w:val="16"/>
                <w:color w:val="auto"/>
              </w:rPr>
            </w:pPr>
          </w:p>
        </w:tc>
        <w:tc>
          <w:tcPr>
            <w:tcW w:w="140" w:type="dxa"/>
            <w:vAlign w:val="bottom"/>
            <w:shd w:val="clear" w:color="auto" w:fill="EEEEF7"/>
          </w:tcPr>
          <w:p>
            <w:pPr>
              <w:spacing w:after="0"/>
              <w:rPr>
                <w:sz w:val="16"/>
                <w:szCs w:val="16"/>
                <w:color w:val="auto"/>
              </w:rPr>
            </w:pPr>
          </w:p>
        </w:tc>
        <w:tc>
          <w:tcPr>
            <w:tcW w:w="2520" w:type="dxa"/>
            <w:vAlign w:val="bottom"/>
            <w:tcBorders>
              <w:right w:val="single" w:sz="8" w:color="0626A9"/>
            </w:tcBorders>
            <w:shd w:val="clear" w:color="auto" w:fill="EEEEF7"/>
          </w:tcPr>
          <w:p>
            <w:pPr>
              <w:ind w:left="80"/>
              <w:spacing w:after="0"/>
              <w:rPr>
                <w:sz w:val="20"/>
                <w:szCs w:val="20"/>
                <w:color w:val="auto"/>
              </w:rPr>
            </w:pPr>
            <w:r>
              <w:rPr>
                <w:rFonts w:ascii="Arial" w:cs="Arial" w:eastAsia="Arial" w:hAnsi="Arial"/>
                <w:sz w:val="14"/>
                <w:szCs w:val="14"/>
                <w:color w:val="auto"/>
              </w:rPr>
              <w:t>activities, findings and assurance</w:t>
            </w:r>
          </w:p>
        </w:tc>
        <w:tc>
          <w:tcPr>
            <w:tcW w:w="240" w:type="dxa"/>
            <w:vAlign w:val="bottom"/>
            <w:shd w:val="clear" w:color="auto" w:fill="EDEDF8"/>
          </w:tcPr>
          <w:p>
            <w:pPr>
              <w:spacing w:after="0"/>
              <w:rPr>
                <w:sz w:val="16"/>
                <w:szCs w:val="16"/>
                <w:color w:val="auto"/>
              </w:rPr>
            </w:pPr>
          </w:p>
        </w:tc>
        <w:tc>
          <w:tcPr>
            <w:tcW w:w="2440" w:type="dxa"/>
            <w:vAlign w:val="bottom"/>
            <w:shd w:val="clear" w:color="auto" w:fill="EEEEF7"/>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0626A9"/>
            </w:tcBorders>
            <w:shd w:val="clear" w:color="auto" w:fill="EDEDF8"/>
          </w:tcPr>
          <w:p>
            <w:pPr>
              <w:spacing w:after="0"/>
              <w:rPr>
                <w:sz w:val="16"/>
                <w:szCs w:val="16"/>
                <w:color w:val="auto"/>
              </w:rPr>
            </w:pPr>
          </w:p>
        </w:tc>
        <w:tc>
          <w:tcPr>
            <w:tcW w:w="2500" w:type="dxa"/>
            <w:vAlign w:val="bottom"/>
            <w:tcBorders>
              <w:right w:val="single" w:sz="8" w:color="0626A9"/>
            </w:tcBorders>
            <w:shd w:val="clear" w:color="auto" w:fill="EDEDF8"/>
          </w:tcPr>
          <w:p>
            <w:pPr>
              <w:ind w:left="80"/>
              <w:spacing w:after="0"/>
              <w:rPr>
                <w:sz w:val="20"/>
                <w:szCs w:val="20"/>
                <w:color w:val="auto"/>
              </w:rPr>
            </w:pPr>
            <w:r>
              <w:rPr>
                <w:rFonts w:ascii="Arial" w:cs="Arial" w:eastAsia="Arial" w:hAnsi="Arial"/>
                <w:sz w:val="14"/>
                <w:szCs w:val="14"/>
                <w:color w:val="auto"/>
              </w:rPr>
              <w:t>Compensation Committee’s</w:t>
            </w:r>
          </w:p>
        </w:tc>
        <w:tc>
          <w:tcPr>
            <w:tcW w:w="240" w:type="dxa"/>
            <w:vAlign w:val="bottom"/>
            <w:shd w:val="clear" w:color="auto" w:fill="EDEDF8"/>
          </w:tcPr>
          <w:p>
            <w:pPr>
              <w:spacing w:after="0"/>
              <w:rPr>
                <w:sz w:val="16"/>
                <w:szCs w:val="16"/>
                <w:color w:val="auto"/>
              </w:rPr>
            </w:pPr>
          </w:p>
        </w:tc>
        <w:tc>
          <w:tcPr>
            <w:tcW w:w="140" w:type="dxa"/>
            <w:vAlign w:val="bottom"/>
            <w:vMerge w:val="restart"/>
            <w:shd w:val="clear" w:color="auto" w:fill="EEEEF7"/>
          </w:tcPr>
          <w:p>
            <w:pPr>
              <w:ind w:left="20"/>
              <w:spacing w:after="0"/>
              <w:rPr>
                <w:sz w:val="20"/>
                <w:szCs w:val="20"/>
                <w:color w:val="auto"/>
              </w:rPr>
            </w:pPr>
            <w:r>
              <w:rPr>
                <w:rFonts w:ascii="Arial" w:cs="Arial" w:eastAsia="Arial" w:hAnsi="Arial"/>
                <w:sz w:val="14"/>
                <w:szCs w:val="14"/>
                <w:color w:val="1A3FD6"/>
              </w:rPr>
              <w:t>•</w:t>
            </w:r>
          </w:p>
        </w:tc>
        <w:tc>
          <w:tcPr>
            <w:tcW w:w="2520" w:type="dxa"/>
            <w:vAlign w:val="bottom"/>
            <w:tcBorders>
              <w:right w:val="single" w:sz="8" w:color="0626A9"/>
            </w:tcBorders>
            <w:vMerge w:val="restart"/>
            <w:shd w:val="clear" w:color="auto" w:fill="EEEEF7"/>
          </w:tcPr>
          <w:p>
            <w:pPr>
              <w:ind w:left="60"/>
              <w:spacing w:after="0"/>
              <w:rPr>
                <w:sz w:val="20"/>
                <w:szCs w:val="20"/>
                <w:color w:val="auto"/>
              </w:rPr>
            </w:pPr>
            <w:r>
              <w:rPr>
                <w:rFonts w:ascii="Arial" w:cs="Arial" w:eastAsia="Arial" w:hAnsi="Arial"/>
                <w:sz w:val="14"/>
                <w:szCs w:val="14"/>
                <w:color w:val="auto"/>
              </w:rPr>
              <w:t>Enterprise Risk Management</w:t>
            </w:r>
          </w:p>
        </w:tc>
        <w:tc>
          <w:tcPr>
            <w:tcW w:w="240" w:type="dxa"/>
            <w:vAlign w:val="bottom"/>
            <w:shd w:val="clear" w:color="auto" w:fill="EDEDF8"/>
          </w:tcPr>
          <w:p>
            <w:pPr>
              <w:spacing w:after="0"/>
              <w:rPr>
                <w:sz w:val="16"/>
                <w:szCs w:val="16"/>
                <w:color w:val="auto"/>
              </w:rPr>
            </w:pPr>
          </w:p>
        </w:tc>
        <w:tc>
          <w:tcPr>
            <w:tcW w:w="2440" w:type="dxa"/>
            <w:vAlign w:val="bottom"/>
            <w:shd w:val="clear" w:color="auto" w:fill="EEEEF7"/>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00" w:type="dxa"/>
            <w:vAlign w:val="bottom"/>
            <w:tcBorders>
              <w:left w:val="single" w:sz="8" w:color="0626A9"/>
            </w:tcBorders>
            <w:shd w:val="clear" w:color="auto" w:fill="EDEDF8"/>
          </w:tcPr>
          <w:p>
            <w:pPr>
              <w:spacing w:after="0"/>
              <w:rPr>
                <w:sz w:val="4"/>
                <w:szCs w:val="4"/>
                <w:color w:val="auto"/>
              </w:rPr>
            </w:pPr>
          </w:p>
        </w:tc>
        <w:tc>
          <w:tcPr>
            <w:tcW w:w="2500" w:type="dxa"/>
            <w:vAlign w:val="bottom"/>
            <w:tcBorders>
              <w:right w:val="single" w:sz="8" w:color="0626A9"/>
            </w:tcBorders>
            <w:vMerge w:val="restart"/>
            <w:shd w:val="clear" w:color="auto" w:fill="EDEDF8"/>
          </w:tcPr>
          <w:p>
            <w:pPr>
              <w:ind w:left="80"/>
              <w:spacing w:after="0"/>
              <w:rPr>
                <w:sz w:val="20"/>
                <w:szCs w:val="20"/>
                <w:color w:val="auto"/>
              </w:rPr>
            </w:pPr>
            <w:r>
              <w:rPr>
                <w:rFonts w:ascii="Arial" w:cs="Arial" w:eastAsia="Arial" w:hAnsi="Arial"/>
                <w:sz w:val="14"/>
                <w:szCs w:val="14"/>
                <w:color w:val="auto"/>
              </w:rPr>
              <w:t>recommendations into executive</w:t>
            </w:r>
          </w:p>
        </w:tc>
        <w:tc>
          <w:tcPr>
            <w:tcW w:w="240" w:type="dxa"/>
            <w:vAlign w:val="bottom"/>
            <w:shd w:val="clear" w:color="auto" w:fill="EDEDF8"/>
          </w:tcPr>
          <w:p>
            <w:pPr>
              <w:spacing w:after="0"/>
              <w:rPr>
                <w:sz w:val="4"/>
                <w:szCs w:val="4"/>
                <w:color w:val="auto"/>
              </w:rPr>
            </w:pPr>
          </w:p>
        </w:tc>
        <w:tc>
          <w:tcPr>
            <w:tcW w:w="140" w:type="dxa"/>
            <w:vAlign w:val="bottom"/>
            <w:vMerge w:val="continue"/>
            <w:shd w:val="clear" w:color="auto" w:fill="EEEEF7"/>
          </w:tcPr>
          <w:p>
            <w:pPr>
              <w:spacing w:after="0"/>
              <w:rPr>
                <w:sz w:val="4"/>
                <w:szCs w:val="4"/>
                <w:color w:val="auto"/>
              </w:rPr>
            </w:pPr>
          </w:p>
        </w:tc>
        <w:tc>
          <w:tcPr>
            <w:tcW w:w="2520" w:type="dxa"/>
            <w:vAlign w:val="bottom"/>
            <w:tcBorders>
              <w:right w:val="single" w:sz="8" w:color="0626A9"/>
            </w:tcBorders>
            <w:vMerge w:val="continue"/>
            <w:shd w:val="clear" w:color="auto" w:fill="EEEEF7"/>
          </w:tcPr>
          <w:p>
            <w:pPr>
              <w:spacing w:after="0"/>
              <w:rPr>
                <w:sz w:val="4"/>
                <w:szCs w:val="4"/>
                <w:color w:val="auto"/>
              </w:rPr>
            </w:pPr>
          </w:p>
        </w:tc>
        <w:tc>
          <w:tcPr>
            <w:tcW w:w="240" w:type="dxa"/>
            <w:vAlign w:val="bottom"/>
            <w:shd w:val="clear" w:color="auto" w:fill="EDEDF8"/>
          </w:tcPr>
          <w:p>
            <w:pPr>
              <w:spacing w:after="0"/>
              <w:rPr>
                <w:sz w:val="4"/>
                <w:szCs w:val="4"/>
                <w:color w:val="auto"/>
              </w:rPr>
            </w:pPr>
          </w:p>
        </w:tc>
        <w:tc>
          <w:tcPr>
            <w:tcW w:w="2440" w:type="dxa"/>
            <w:vAlign w:val="bottom"/>
            <w:shd w:val="clear" w:color="auto" w:fill="EEEEF7"/>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400" w:type="dxa"/>
            <w:vAlign w:val="bottom"/>
            <w:tcBorders>
              <w:left w:val="single" w:sz="8" w:color="0626A9"/>
            </w:tcBorders>
            <w:shd w:val="clear" w:color="auto" w:fill="EDEDF8"/>
          </w:tcPr>
          <w:p>
            <w:pPr>
              <w:spacing w:after="0"/>
              <w:rPr>
                <w:sz w:val="11"/>
                <w:szCs w:val="11"/>
                <w:color w:val="auto"/>
              </w:rPr>
            </w:pPr>
          </w:p>
        </w:tc>
        <w:tc>
          <w:tcPr>
            <w:tcW w:w="2500" w:type="dxa"/>
            <w:vAlign w:val="bottom"/>
            <w:tcBorders>
              <w:right w:val="single" w:sz="8" w:color="0626A9"/>
            </w:tcBorders>
            <w:vMerge w:val="continue"/>
            <w:shd w:val="clear" w:color="auto" w:fill="EDEDF8"/>
          </w:tcPr>
          <w:p>
            <w:pPr>
              <w:spacing w:after="0"/>
              <w:rPr>
                <w:sz w:val="11"/>
                <w:szCs w:val="11"/>
                <w:color w:val="auto"/>
              </w:rPr>
            </w:pPr>
          </w:p>
        </w:tc>
        <w:tc>
          <w:tcPr>
            <w:tcW w:w="240" w:type="dxa"/>
            <w:vAlign w:val="bottom"/>
            <w:shd w:val="clear" w:color="auto" w:fill="EDEDF8"/>
          </w:tcPr>
          <w:p>
            <w:pPr>
              <w:spacing w:after="0"/>
              <w:rPr>
                <w:sz w:val="11"/>
                <w:szCs w:val="11"/>
                <w:color w:val="auto"/>
              </w:rPr>
            </w:pPr>
          </w:p>
        </w:tc>
        <w:tc>
          <w:tcPr>
            <w:tcW w:w="140" w:type="dxa"/>
            <w:vAlign w:val="bottom"/>
            <w:shd w:val="clear" w:color="auto" w:fill="EEEEF7"/>
          </w:tcPr>
          <w:p>
            <w:pPr>
              <w:spacing w:after="0"/>
              <w:rPr>
                <w:sz w:val="11"/>
                <w:szCs w:val="11"/>
                <w:color w:val="auto"/>
              </w:rPr>
            </w:pPr>
          </w:p>
        </w:tc>
        <w:tc>
          <w:tcPr>
            <w:tcW w:w="2520" w:type="dxa"/>
            <w:vAlign w:val="bottom"/>
            <w:tcBorders>
              <w:right w:val="single" w:sz="8" w:color="0626A9"/>
            </w:tcBorders>
            <w:vMerge w:val="restart"/>
            <w:shd w:val="clear" w:color="auto" w:fill="EEEEF7"/>
          </w:tcPr>
          <w:p>
            <w:pPr>
              <w:ind w:left="80"/>
              <w:spacing w:after="0"/>
              <w:rPr>
                <w:sz w:val="20"/>
                <w:szCs w:val="20"/>
                <w:color w:val="auto"/>
              </w:rPr>
            </w:pPr>
            <w:r>
              <w:rPr>
                <w:rFonts w:ascii="Arial" w:cs="Arial" w:eastAsia="Arial" w:hAnsi="Arial"/>
                <w:sz w:val="14"/>
                <w:szCs w:val="14"/>
                <w:color w:val="auto"/>
              </w:rPr>
              <w:t>Officer and CISO provide quarterly</w:t>
            </w:r>
          </w:p>
        </w:tc>
        <w:tc>
          <w:tcPr>
            <w:tcW w:w="240" w:type="dxa"/>
            <w:vAlign w:val="bottom"/>
            <w:shd w:val="clear" w:color="auto" w:fill="EDEDF8"/>
          </w:tcPr>
          <w:p>
            <w:pPr>
              <w:spacing w:after="0"/>
              <w:rPr>
                <w:sz w:val="11"/>
                <w:szCs w:val="11"/>
                <w:color w:val="auto"/>
              </w:rPr>
            </w:pPr>
          </w:p>
        </w:tc>
        <w:tc>
          <w:tcPr>
            <w:tcW w:w="2440" w:type="dxa"/>
            <w:vAlign w:val="bottom"/>
            <w:shd w:val="clear" w:color="auto" w:fill="EEEEF7"/>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400" w:type="dxa"/>
            <w:vAlign w:val="bottom"/>
            <w:tcBorders>
              <w:left w:val="single" w:sz="8" w:color="0626A9"/>
            </w:tcBorders>
            <w:shd w:val="clear" w:color="auto" w:fill="EDEDF8"/>
          </w:tcPr>
          <w:p>
            <w:pPr>
              <w:spacing w:after="0"/>
              <w:rPr>
                <w:sz w:val="4"/>
                <w:szCs w:val="4"/>
                <w:color w:val="auto"/>
              </w:rPr>
            </w:pPr>
          </w:p>
        </w:tc>
        <w:tc>
          <w:tcPr>
            <w:tcW w:w="2500" w:type="dxa"/>
            <w:vAlign w:val="bottom"/>
            <w:tcBorders>
              <w:right w:val="single" w:sz="8" w:color="0626A9"/>
            </w:tcBorders>
            <w:vMerge w:val="restart"/>
            <w:shd w:val="clear" w:color="auto" w:fill="EDEDF8"/>
          </w:tcPr>
          <w:p>
            <w:pPr>
              <w:ind w:left="80"/>
              <w:spacing w:after="0"/>
              <w:rPr>
                <w:sz w:val="20"/>
                <w:szCs w:val="20"/>
                <w:color w:val="auto"/>
              </w:rPr>
            </w:pPr>
            <w:r>
              <w:rPr>
                <w:rFonts w:ascii="Arial" w:cs="Arial" w:eastAsia="Arial" w:hAnsi="Arial"/>
                <w:sz w:val="14"/>
                <w:szCs w:val="14"/>
                <w:color w:val="auto"/>
              </w:rPr>
              <w:t>compensation program</w:t>
            </w:r>
          </w:p>
        </w:tc>
        <w:tc>
          <w:tcPr>
            <w:tcW w:w="240" w:type="dxa"/>
            <w:vAlign w:val="bottom"/>
            <w:shd w:val="clear" w:color="auto" w:fill="EDEDF8"/>
          </w:tcPr>
          <w:p>
            <w:pPr>
              <w:spacing w:after="0"/>
              <w:rPr>
                <w:sz w:val="4"/>
                <w:szCs w:val="4"/>
                <w:color w:val="auto"/>
              </w:rPr>
            </w:pPr>
          </w:p>
        </w:tc>
        <w:tc>
          <w:tcPr>
            <w:tcW w:w="140" w:type="dxa"/>
            <w:vAlign w:val="bottom"/>
            <w:shd w:val="clear" w:color="auto" w:fill="EEEEF7"/>
          </w:tcPr>
          <w:p>
            <w:pPr>
              <w:spacing w:after="0"/>
              <w:rPr>
                <w:sz w:val="4"/>
                <w:szCs w:val="4"/>
                <w:color w:val="auto"/>
              </w:rPr>
            </w:pPr>
          </w:p>
        </w:tc>
        <w:tc>
          <w:tcPr>
            <w:tcW w:w="2520" w:type="dxa"/>
            <w:vAlign w:val="bottom"/>
            <w:tcBorders>
              <w:right w:val="single" w:sz="8" w:color="0626A9"/>
            </w:tcBorders>
            <w:vMerge w:val="continue"/>
            <w:shd w:val="clear" w:color="auto" w:fill="EEEEF7"/>
          </w:tcPr>
          <w:p>
            <w:pPr>
              <w:spacing w:after="0"/>
              <w:rPr>
                <w:sz w:val="4"/>
                <w:szCs w:val="4"/>
                <w:color w:val="auto"/>
              </w:rPr>
            </w:pPr>
          </w:p>
        </w:tc>
        <w:tc>
          <w:tcPr>
            <w:tcW w:w="240" w:type="dxa"/>
            <w:vAlign w:val="bottom"/>
            <w:shd w:val="clear" w:color="auto" w:fill="EDEDF8"/>
          </w:tcPr>
          <w:p>
            <w:pPr>
              <w:spacing w:after="0"/>
              <w:rPr>
                <w:sz w:val="4"/>
                <w:szCs w:val="4"/>
                <w:color w:val="auto"/>
              </w:rPr>
            </w:pPr>
          </w:p>
        </w:tc>
        <w:tc>
          <w:tcPr>
            <w:tcW w:w="2440" w:type="dxa"/>
            <w:vAlign w:val="bottom"/>
            <w:shd w:val="clear" w:color="auto" w:fill="EEEEF7"/>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400" w:type="dxa"/>
            <w:vAlign w:val="bottom"/>
            <w:tcBorders>
              <w:left w:val="single" w:sz="8" w:color="0626A9"/>
            </w:tcBorders>
            <w:shd w:val="clear" w:color="auto" w:fill="EDEDF8"/>
          </w:tcPr>
          <w:p>
            <w:pPr>
              <w:spacing w:after="0"/>
              <w:rPr>
                <w:sz w:val="12"/>
                <w:szCs w:val="12"/>
                <w:color w:val="auto"/>
              </w:rPr>
            </w:pPr>
          </w:p>
        </w:tc>
        <w:tc>
          <w:tcPr>
            <w:tcW w:w="2500" w:type="dxa"/>
            <w:vAlign w:val="bottom"/>
            <w:tcBorders>
              <w:right w:val="single" w:sz="8" w:color="0626A9"/>
            </w:tcBorders>
            <w:vMerge w:val="continue"/>
            <w:shd w:val="clear" w:color="auto" w:fill="EDEDF8"/>
          </w:tcPr>
          <w:p>
            <w:pPr>
              <w:spacing w:after="0"/>
              <w:rPr>
                <w:sz w:val="12"/>
                <w:szCs w:val="12"/>
                <w:color w:val="auto"/>
              </w:rPr>
            </w:pPr>
          </w:p>
        </w:tc>
        <w:tc>
          <w:tcPr>
            <w:tcW w:w="240" w:type="dxa"/>
            <w:vAlign w:val="bottom"/>
            <w:shd w:val="clear" w:color="auto" w:fill="EDEDF8"/>
          </w:tcPr>
          <w:p>
            <w:pPr>
              <w:spacing w:after="0"/>
              <w:rPr>
                <w:sz w:val="12"/>
                <w:szCs w:val="12"/>
                <w:color w:val="auto"/>
              </w:rPr>
            </w:pPr>
          </w:p>
        </w:tc>
        <w:tc>
          <w:tcPr>
            <w:tcW w:w="140" w:type="dxa"/>
            <w:vAlign w:val="bottom"/>
            <w:shd w:val="clear" w:color="auto" w:fill="EEEEF7"/>
          </w:tcPr>
          <w:p>
            <w:pPr>
              <w:spacing w:after="0"/>
              <w:rPr>
                <w:sz w:val="12"/>
                <w:szCs w:val="12"/>
                <w:color w:val="auto"/>
              </w:rPr>
            </w:pPr>
          </w:p>
        </w:tc>
        <w:tc>
          <w:tcPr>
            <w:tcW w:w="2520" w:type="dxa"/>
            <w:vAlign w:val="bottom"/>
            <w:tcBorders>
              <w:right w:val="single" w:sz="8" w:color="0626A9"/>
            </w:tcBorders>
            <w:vMerge w:val="restart"/>
            <w:shd w:val="clear" w:color="auto" w:fill="EEEEF7"/>
          </w:tcPr>
          <w:p>
            <w:pPr>
              <w:ind w:left="80"/>
              <w:spacing w:after="0"/>
              <w:rPr>
                <w:sz w:val="20"/>
                <w:szCs w:val="20"/>
                <w:color w:val="auto"/>
              </w:rPr>
            </w:pPr>
            <w:r>
              <w:rPr>
                <w:rFonts w:ascii="Arial" w:cs="Arial" w:eastAsia="Arial" w:hAnsi="Arial"/>
                <w:sz w:val="14"/>
                <w:szCs w:val="14"/>
                <w:color w:val="auto"/>
              </w:rPr>
              <w:t>updates</w:t>
            </w:r>
          </w:p>
        </w:tc>
        <w:tc>
          <w:tcPr>
            <w:tcW w:w="240" w:type="dxa"/>
            <w:vAlign w:val="bottom"/>
            <w:shd w:val="clear" w:color="auto" w:fill="EDEDF8"/>
          </w:tcPr>
          <w:p>
            <w:pPr>
              <w:spacing w:after="0"/>
              <w:rPr>
                <w:sz w:val="12"/>
                <w:szCs w:val="12"/>
                <w:color w:val="auto"/>
              </w:rPr>
            </w:pPr>
          </w:p>
        </w:tc>
        <w:tc>
          <w:tcPr>
            <w:tcW w:w="2440" w:type="dxa"/>
            <w:vAlign w:val="bottom"/>
            <w:shd w:val="clear" w:color="auto" w:fill="EEEEF7"/>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400" w:type="dxa"/>
            <w:vAlign w:val="bottom"/>
            <w:tcBorders>
              <w:left w:val="single" w:sz="8" w:color="0626A9"/>
            </w:tcBorders>
            <w:vMerge w:val="restart"/>
            <w:shd w:val="clear" w:color="auto" w:fill="EDEDF8"/>
          </w:tcPr>
          <w:p>
            <w:pPr>
              <w:ind w:left="280"/>
              <w:spacing w:after="0"/>
              <w:rPr>
                <w:sz w:val="20"/>
                <w:szCs w:val="20"/>
                <w:color w:val="auto"/>
              </w:rPr>
            </w:pPr>
            <w:r>
              <w:rPr>
                <w:rFonts w:ascii="Arial" w:cs="Arial" w:eastAsia="Arial" w:hAnsi="Arial"/>
                <w:sz w:val="14"/>
                <w:szCs w:val="14"/>
                <w:color w:val="1A3FD6"/>
              </w:rPr>
              <w:t>•</w:t>
            </w:r>
          </w:p>
        </w:tc>
        <w:tc>
          <w:tcPr>
            <w:tcW w:w="2500" w:type="dxa"/>
            <w:vAlign w:val="bottom"/>
            <w:tcBorders>
              <w:right w:val="single" w:sz="8" w:color="0626A9"/>
            </w:tcBorders>
            <w:vMerge w:val="restart"/>
            <w:shd w:val="clear" w:color="auto" w:fill="EDEDF8"/>
          </w:tcPr>
          <w:p>
            <w:pPr>
              <w:ind w:left="60"/>
              <w:spacing w:after="0"/>
              <w:rPr>
                <w:sz w:val="20"/>
                <w:szCs w:val="20"/>
                <w:color w:val="auto"/>
              </w:rPr>
            </w:pPr>
            <w:r>
              <w:rPr>
                <w:rFonts w:ascii="Arial" w:cs="Arial" w:eastAsia="Arial" w:hAnsi="Arial"/>
                <w:sz w:val="14"/>
                <w:szCs w:val="14"/>
                <w:color w:val="auto"/>
              </w:rPr>
              <w:t>Compensation Consultant advises</w:t>
            </w:r>
          </w:p>
        </w:tc>
        <w:tc>
          <w:tcPr>
            <w:tcW w:w="240" w:type="dxa"/>
            <w:vAlign w:val="bottom"/>
            <w:shd w:val="clear" w:color="auto" w:fill="EDEDF8"/>
          </w:tcPr>
          <w:p>
            <w:pPr>
              <w:spacing w:after="0"/>
              <w:rPr>
                <w:sz w:val="4"/>
                <w:szCs w:val="4"/>
                <w:color w:val="auto"/>
              </w:rPr>
            </w:pPr>
          </w:p>
        </w:tc>
        <w:tc>
          <w:tcPr>
            <w:tcW w:w="140" w:type="dxa"/>
            <w:vAlign w:val="bottom"/>
            <w:shd w:val="clear" w:color="auto" w:fill="EEEEF7"/>
          </w:tcPr>
          <w:p>
            <w:pPr>
              <w:spacing w:after="0"/>
              <w:rPr>
                <w:sz w:val="4"/>
                <w:szCs w:val="4"/>
                <w:color w:val="auto"/>
              </w:rPr>
            </w:pPr>
          </w:p>
        </w:tc>
        <w:tc>
          <w:tcPr>
            <w:tcW w:w="2520" w:type="dxa"/>
            <w:vAlign w:val="bottom"/>
            <w:tcBorders>
              <w:right w:val="single" w:sz="8" w:color="0626A9"/>
            </w:tcBorders>
            <w:vMerge w:val="continue"/>
            <w:shd w:val="clear" w:color="auto" w:fill="EEEEF7"/>
          </w:tcPr>
          <w:p>
            <w:pPr>
              <w:spacing w:after="0"/>
              <w:rPr>
                <w:sz w:val="4"/>
                <w:szCs w:val="4"/>
                <w:color w:val="auto"/>
              </w:rPr>
            </w:pPr>
          </w:p>
        </w:tc>
        <w:tc>
          <w:tcPr>
            <w:tcW w:w="240" w:type="dxa"/>
            <w:vAlign w:val="bottom"/>
            <w:shd w:val="clear" w:color="auto" w:fill="EDEDF8"/>
          </w:tcPr>
          <w:p>
            <w:pPr>
              <w:spacing w:after="0"/>
              <w:rPr>
                <w:sz w:val="4"/>
                <w:szCs w:val="4"/>
                <w:color w:val="auto"/>
              </w:rPr>
            </w:pPr>
          </w:p>
        </w:tc>
        <w:tc>
          <w:tcPr>
            <w:tcW w:w="2440" w:type="dxa"/>
            <w:vAlign w:val="bottom"/>
            <w:shd w:val="clear" w:color="auto" w:fill="EEEEF7"/>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0626A9"/>
            </w:tcBorders>
            <w:vMerge w:val="continue"/>
            <w:shd w:val="clear" w:color="auto" w:fill="EDEDF8"/>
          </w:tcPr>
          <w:p>
            <w:pPr>
              <w:spacing w:after="0"/>
              <w:rPr>
                <w:sz w:val="16"/>
                <w:szCs w:val="16"/>
                <w:color w:val="auto"/>
              </w:rPr>
            </w:pPr>
          </w:p>
        </w:tc>
        <w:tc>
          <w:tcPr>
            <w:tcW w:w="2500" w:type="dxa"/>
            <w:vAlign w:val="bottom"/>
            <w:tcBorders>
              <w:right w:val="single" w:sz="8" w:color="0626A9"/>
            </w:tcBorders>
            <w:vMerge w:val="continue"/>
            <w:shd w:val="clear" w:color="auto" w:fill="EDEDF8"/>
          </w:tcPr>
          <w:p>
            <w:pPr>
              <w:spacing w:after="0"/>
              <w:rPr>
                <w:sz w:val="16"/>
                <w:szCs w:val="16"/>
                <w:color w:val="auto"/>
              </w:rPr>
            </w:pPr>
          </w:p>
        </w:tc>
        <w:tc>
          <w:tcPr>
            <w:tcW w:w="240" w:type="dxa"/>
            <w:vAlign w:val="bottom"/>
            <w:shd w:val="clear" w:color="auto" w:fill="EDEDF8"/>
          </w:tcPr>
          <w:p>
            <w:pPr>
              <w:spacing w:after="0"/>
              <w:rPr>
                <w:sz w:val="16"/>
                <w:szCs w:val="16"/>
                <w:color w:val="auto"/>
              </w:rPr>
            </w:pPr>
          </w:p>
        </w:tc>
        <w:tc>
          <w:tcPr>
            <w:tcW w:w="2660" w:type="dxa"/>
            <w:vAlign w:val="bottom"/>
            <w:tcBorders>
              <w:right w:val="single" w:sz="8" w:color="0626A9"/>
            </w:tcBorders>
            <w:gridSpan w:val="2"/>
            <w:vMerge w:val="restart"/>
            <w:shd w:val="clear" w:color="auto" w:fill="EEEEF7"/>
          </w:tcPr>
          <w:p>
            <w:pPr>
              <w:ind w:left="20"/>
              <w:spacing w:after="0"/>
              <w:rPr>
                <w:sz w:val="20"/>
                <w:szCs w:val="20"/>
                <w:color w:val="auto"/>
              </w:rPr>
            </w:pPr>
            <w:r>
              <w:rPr>
                <w:rFonts w:ascii="Arial" w:cs="Arial" w:eastAsia="Arial" w:hAnsi="Arial"/>
                <w:sz w:val="14"/>
                <w:szCs w:val="14"/>
                <w:color w:val="1A3FD6"/>
              </w:rPr>
              <w:t xml:space="preserve">•  </w:t>
            </w:r>
            <w:r>
              <w:rPr>
                <w:rFonts w:ascii="Arial" w:cs="Arial" w:eastAsia="Arial" w:hAnsi="Arial"/>
                <w:sz w:val="14"/>
                <w:szCs w:val="14"/>
                <w:color w:val="000000"/>
              </w:rPr>
              <w:t>General Counsel provides quarterly</w:t>
            </w:r>
          </w:p>
        </w:tc>
        <w:tc>
          <w:tcPr>
            <w:tcW w:w="240" w:type="dxa"/>
            <w:vAlign w:val="bottom"/>
            <w:shd w:val="clear" w:color="auto" w:fill="EDEDF8"/>
          </w:tcPr>
          <w:p>
            <w:pPr>
              <w:spacing w:after="0"/>
              <w:rPr>
                <w:sz w:val="16"/>
                <w:szCs w:val="16"/>
                <w:color w:val="auto"/>
              </w:rPr>
            </w:pPr>
          </w:p>
        </w:tc>
        <w:tc>
          <w:tcPr>
            <w:tcW w:w="2440" w:type="dxa"/>
            <w:vAlign w:val="bottom"/>
            <w:shd w:val="clear" w:color="auto" w:fill="EEEEF7"/>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00" w:type="dxa"/>
            <w:vAlign w:val="bottom"/>
            <w:tcBorders>
              <w:left w:val="single" w:sz="8" w:color="0626A9"/>
            </w:tcBorders>
            <w:shd w:val="clear" w:color="auto" w:fill="EDEDF8"/>
          </w:tcPr>
          <w:p>
            <w:pPr>
              <w:spacing w:after="0"/>
              <w:rPr>
                <w:sz w:val="4"/>
                <w:szCs w:val="4"/>
                <w:color w:val="auto"/>
              </w:rPr>
            </w:pPr>
          </w:p>
        </w:tc>
        <w:tc>
          <w:tcPr>
            <w:tcW w:w="2500" w:type="dxa"/>
            <w:vAlign w:val="bottom"/>
            <w:tcBorders>
              <w:right w:val="single" w:sz="8" w:color="0626A9"/>
            </w:tcBorders>
            <w:vMerge w:val="restart"/>
            <w:shd w:val="clear" w:color="auto" w:fill="EDEDF8"/>
          </w:tcPr>
          <w:p>
            <w:pPr>
              <w:ind w:left="80"/>
              <w:spacing w:after="0"/>
              <w:rPr>
                <w:sz w:val="20"/>
                <w:szCs w:val="20"/>
                <w:color w:val="auto"/>
              </w:rPr>
            </w:pPr>
            <w:r>
              <w:rPr>
                <w:rFonts w:ascii="Arial" w:cs="Arial" w:eastAsia="Arial" w:hAnsi="Arial"/>
                <w:sz w:val="14"/>
                <w:szCs w:val="14"/>
                <w:color w:val="auto"/>
              </w:rPr>
              <w:t>on risks of compensation policies</w:t>
            </w:r>
          </w:p>
        </w:tc>
        <w:tc>
          <w:tcPr>
            <w:tcW w:w="240" w:type="dxa"/>
            <w:vAlign w:val="bottom"/>
            <w:shd w:val="clear" w:color="auto" w:fill="EDEDF8"/>
          </w:tcPr>
          <w:p>
            <w:pPr>
              <w:spacing w:after="0"/>
              <w:rPr>
                <w:sz w:val="4"/>
                <w:szCs w:val="4"/>
                <w:color w:val="auto"/>
              </w:rPr>
            </w:pPr>
          </w:p>
        </w:tc>
        <w:tc>
          <w:tcPr>
            <w:tcW w:w="2660" w:type="dxa"/>
            <w:vAlign w:val="bottom"/>
            <w:tcBorders>
              <w:right w:val="single" w:sz="8" w:color="0626A9"/>
            </w:tcBorders>
            <w:gridSpan w:val="2"/>
            <w:vMerge w:val="continue"/>
            <w:shd w:val="clear" w:color="auto" w:fill="EEEEF7"/>
          </w:tcPr>
          <w:p>
            <w:pPr>
              <w:spacing w:after="0"/>
              <w:rPr>
                <w:sz w:val="4"/>
                <w:szCs w:val="4"/>
                <w:color w:val="auto"/>
              </w:rPr>
            </w:pPr>
          </w:p>
        </w:tc>
        <w:tc>
          <w:tcPr>
            <w:tcW w:w="240" w:type="dxa"/>
            <w:vAlign w:val="bottom"/>
            <w:shd w:val="clear" w:color="auto" w:fill="EDEDF8"/>
          </w:tcPr>
          <w:p>
            <w:pPr>
              <w:spacing w:after="0"/>
              <w:rPr>
                <w:sz w:val="4"/>
                <w:szCs w:val="4"/>
                <w:color w:val="auto"/>
              </w:rPr>
            </w:pPr>
          </w:p>
        </w:tc>
        <w:tc>
          <w:tcPr>
            <w:tcW w:w="2440" w:type="dxa"/>
            <w:vAlign w:val="bottom"/>
            <w:shd w:val="clear" w:color="auto" w:fill="EEEEF7"/>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400" w:type="dxa"/>
            <w:vAlign w:val="bottom"/>
            <w:tcBorders>
              <w:left w:val="single" w:sz="8" w:color="0626A9"/>
            </w:tcBorders>
            <w:shd w:val="clear" w:color="auto" w:fill="EDEDF8"/>
          </w:tcPr>
          <w:p>
            <w:pPr>
              <w:spacing w:after="0"/>
              <w:rPr>
                <w:sz w:val="11"/>
                <w:szCs w:val="11"/>
                <w:color w:val="auto"/>
              </w:rPr>
            </w:pPr>
          </w:p>
        </w:tc>
        <w:tc>
          <w:tcPr>
            <w:tcW w:w="2500" w:type="dxa"/>
            <w:vAlign w:val="bottom"/>
            <w:tcBorders>
              <w:right w:val="single" w:sz="8" w:color="0626A9"/>
            </w:tcBorders>
            <w:vMerge w:val="continue"/>
            <w:shd w:val="clear" w:color="auto" w:fill="EDEDF8"/>
          </w:tcPr>
          <w:p>
            <w:pPr>
              <w:spacing w:after="0"/>
              <w:rPr>
                <w:sz w:val="11"/>
                <w:szCs w:val="11"/>
                <w:color w:val="auto"/>
              </w:rPr>
            </w:pPr>
          </w:p>
        </w:tc>
        <w:tc>
          <w:tcPr>
            <w:tcW w:w="240" w:type="dxa"/>
            <w:vAlign w:val="bottom"/>
            <w:shd w:val="clear" w:color="auto" w:fill="EDEDF8"/>
          </w:tcPr>
          <w:p>
            <w:pPr>
              <w:spacing w:after="0"/>
              <w:rPr>
                <w:sz w:val="11"/>
                <w:szCs w:val="11"/>
                <w:color w:val="auto"/>
              </w:rPr>
            </w:pPr>
          </w:p>
        </w:tc>
        <w:tc>
          <w:tcPr>
            <w:tcW w:w="140" w:type="dxa"/>
            <w:vAlign w:val="bottom"/>
            <w:shd w:val="clear" w:color="auto" w:fill="EEEEF7"/>
          </w:tcPr>
          <w:p>
            <w:pPr>
              <w:spacing w:after="0"/>
              <w:rPr>
                <w:sz w:val="11"/>
                <w:szCs w:val="11"/>
                <w:color w:val="auto"/>
              </w:rPr>
            </w:pPr>
          </w:p>
        </w:tc>
        <w:tc>
          <w:tcPr>
            <w:tcW w:w="2520" w:type="dxa"/>
            <w:vAlign w:val="bottom"/>
            <w:tcBorders>
              <w:right w:val="single" w:sz="8" w:color="0626A9"/>
            </w:tcBorders>
            <w:vMerge w:val="restart"/>
            <w:shd w:val="clear" w:color="auto" w:fill="EEEEF7"/>
          </w:tcPr>
          <w:p>
            <w:pPr>
              <w:ind w:left="80"/>
              <w:spacing w:after="0"/>
              <w:rPr>
                <w:sz w:val="20"/>
                <w:szCs w:val="20"/>
                <w:color w:val="auto"/>
              </w:rPr>
            </w:pPr>
            <w:r>
              <w:rPr>
                <w:rFonts w:ascii="Arial" w:cs="Arial" w:eastAsia="Arial" w:hAnsi="Arial"/>
                <w:sz w:val="14"/>
                <w:szCs w:val="14"/>
                <w:color w:val="auto"/>
              </w:rPr>
              <w:t>updates on Disclosure Committee</w:t>
            </w:r>
          </w:p>
        </w:tc>
        <w:tc>
          <w:tcPr>
            <w:tcW w:w="240" w:type="dxa"/>
            <w:vAlign w:val="bottom"/>
            <w:shd w:val="clear" w:color="auto" w:fill="EDEDF8"/>
          </w:tcPr>
          <w:p>
            <w:pPr>
              <w:spacing w:after="0"/>
              <w:rPr>
                <w:sz w:val="11"/>
                <w:szCs w:val="11"/>
                <w:color w:val="auto"/>
              </w:rPr>
            </w:pPr>
          </w:p>
        </w:tc>
        <w:tc>
          <w:tcPr>
            <w:tcW w:w="2440" w:type="dxa"/>
            <w:vAlign w:val="bottom"/>
            <w:shd w:val="clear" w:color="auto" w:fill="EEEEF7"/>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400" w:type="dxa"/>
            <w:vAlign w:val="bottom"/>
            <w:tcBorders>
              <w:left w:val="single" w:sz="8" w:color="0626A9"/>
            </w:tcBorders>
            <w:shd w:val="clear" w:color="auto" w:fill="EDEDF8"/>
          </w:tcPr>
          <w:p>
            <w:pPr>
              <w:spacing w:after="0"/>
              <w:rPr>
                <w:sz w:val="4"/>
                <w:szCs w:val="4"/>
                <w:color w:val="auto"/>
              </w:rPr>
            </w:pPr>
          </w:p>
        </w:tc>
        <w:tc>
          <w:tcPr>
            <w:tcW w:w="2500" w:type="dxa"/>
            <w:vAlign w:val="bottom"/>
            <w:tcBorders>
              <w:right w:val="single" w:sz="8" w:color="0626A9"/>
            </w:tcBorders>
            <w:vMerge w:val="restart"/>
            <w:shd w:val="clear" w:color="auto" w:fill="EDEDF8"/>
          </w:tcPr>
          <w:p>
            <w:pPr>
              <w:ind w:left="80"/>
              <w:spacing w:after="0"/>
              <w:rPr>
                <w:sz w:val="20"/>
                <w:szCs w:val="20"/>
                <w:color w:val="auto"/>
              </w:rPr>
            </w:pPr>
            <w:r>
              <w:rPr>
                <w:rFonts w:ascii="Arial" w:cs="Arial" w:eastAsia="Arial" w:hAnsi="Arial"/>
                <w:sz w:val="14"/>
                <w:szCs w:val="14"/>
                <w:color w:val="auto"/>
              </w:rPr>
              <w:t>and peer and best practices</w:t>
            </w:r>
          </w:p>
        </w:tc>
        <w:tc>
          <w:tcPr>
            <w:tcW w:w="240" w:type="dxa"/>
            <w:vAlign w:val="bottom"/>
            <w:shd w:val="clear" w:color="auto" w:fill="EDEDF8"/>
          </w:tcPr>
          <w:p>
            <w:pPr>
              <w:spacing w:after="0"/>
              <w:rPr>
                <w:sz w:val="4"/>
                <w:szCs w:val="4"/>
                <w:color w:val="auto"/>
              </w:rPr>
            </w:pPr>
          </w:p>
        </w:tc>
        <w:tc>
          <w:tcPr>
            <w:tcW w:w="140" w:type="dxa"/>
            <w:vAlign w:val="bottom"/>
            <w:shd w:val="clear" w:color="auto" w:fill="EEEEF7"/>
          </w:tcPr>
          <w:p>
            <w:pPr>
              <w:spacing w:after="0"/>
              <w:rPr>
                <w:sz w:val="4"/>
                <w:szCs w:val="4"/>
                <w:color w:val="auto"/>
              </w:rPr>
            </w:pPr>
          </w:p>
        </w:tc>
        <w:tc>
          <w:tcPr>
            <w:tcW w:w="2520" w:type="dxa"/>
            <w:vAlign w:val="bottom"/>
            <w:tcBorders>
              <w:right w:val="single" w:sz="8" w:color="0626A9"/>
            </w:tcBorders>
            <w:vMerge w:val="continue"/>
            <w:shd w:val="clear" w:color="auto" w:fill="EEEEF7"/>
          </w:tcPr>
          <w:p>
            <w:pPr>
              <w:spacing w:after="0"/>
              <w:rPr>
                <w:sz w:val="4"/>
                <w:szCs w:val="4"/>
                <w:color w:val="auto"/>
              </w:rPr>
            </w:pPr>
          </w:p>
        </w:tc>
        <w:tc>
          <w:tcPr>
            <w:tcW w:w="240" w:type="dxa"/>
            <w:vAlign w:val="bottom"/>
            <w:shd w:val="clear" w:color="auto" w:fill="EDEDF8"/>
          </w:tcPr>
          <w:p>
            <w:pPr>
              <w:spacing w:after="0"/>
              <w:rPr>
                <w:sz w:val="4"/>
                <w:szCs w:val="4"/>
                <w:color w:val="auto"/>
              </w:rPr>
            </w:pPr>
          </w:p>
        </w:tc>
        <w:tc>
          <w:tcPr>
            <w:tcW w:w="2440" w:type="dxa"/>
            <w:vAlign w:val="bottom"/>
            <w:shd w:val="clear" w:color="auto" w:fill="EEEEF7"/>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400" w:type="dxa"/>
            <w:vAlign w:val="bottom"/>
            <w:tcBorders>
              <w:left w:val="single" w:sz="8" w:color="0626A9"/>
            </w:tcBorders>
            <w:shd w:val="clear" w:color="auto" w:fill="EDEDF8"/>
          </w:tcPr>
          <w:p>
            <w:pPr>
              <w:spacing w:after="0"/>
              <w:rPr>
                <w:sz w:val="12"/>
                <w:szCs w:val="12"/>
                <w:color w:val="auto"/>
              </w:rPr>
            </w:pPr>
          </w:p>
        </w:tc>
        <w:tc>
          <w:tcPr>
            <w:tcW w:w="2500" w:type="dxa"/>
            <w:vAlign w:val="bottom"/>
            <w:tcBorders>
              <w:right w:val="single" w:sz="8" w:color="0626A9"/>
            </w:tcBorders>
            <w:vMerge w:val="continue"/>
            <w:shd w:val="clear" w:color="auto" w:fill="EDEDF8"/>
          </w:tcPr>
          <w:p>
            <w:pPr>
              <w:spacing w:after="0"/>
              <w:rPr>
                <w:sz w:val="12"/>
                <w:szCs w:val="12"/>
                <w:color w:val="auto"/>
              </w:rPr>
            </w:pPr>
          </w:p>
        </w:tc>
        <w:tc>
          <w:tcPr>
            <w:tcW w:w="240" w:type="dxa"/>
            <w:vAlign w:val="bottom"/>
            <w:shd w:val="clear" w:color="auto" w:fill="EDEDF8"/>
          </w:tcPr>
          <w:p>
            <w:pPr>
              <w:spacing w:after="0"/>
              <w:rPr>
                <w:sz w:val="12"/>
                <w:szCs w:val="12"/>
                <w:color w:val="auto"/>
              </w:rPr>
            </w:pPr>
          </w:p>
        </w:tc>
        <w:tc>
          <w:tcPr>
            <w:tcW w:w="140" w:type="dxa"/>
            <w:vAlign w:val="bottom"/>
            <w:shd w:val="clear" w:color="auto" w:fill="EEEEF7"/>
          </w:tcPr>
          <w:p>
            <w:pPr>
              <w:spacing w:after="0"/>
              <w:rPr>
                <w:sz w:val="12"/>
                <w:szCs w:val="12"/>
                <w:color w:val="auto"/>
              </w:rPr>
            </w:pPr>
          </w:p>
        </w:tc>
        <w:tc>
          <w:tcPr>
            <w:tcW w:w="2520" w:type="dxa"/>
            <w:vAlign w:val="bottom"/>
            <w:tcBorders>
              <w:right w:val="single" w:sz="8" w:color="0626A9"/>
            </w:tcBorders>
            <w:vMerge w:val="restart"/>
            <w:shd w:val="clear" w:color="auto" w:fill="EEEEF7"/>
          </w:tcPr>
          <w:p>
            <w:pPr>
              <w:ind w:left="80"/>
              <w:spacing w:after="0"/>
              <w:rPr>
                <w:sz w:val="20"/>
                <w:szCs w:val="20"/>
                <w:color w:val="auto"/>
              </w:rPr>
            </w:pPr>
            <w:r>
              <w:rPr>
                <w:rFonts w:ascii="Arial" w:cs="Arial" w:eastAsia="Arial" w:hAnsi="Arial"/>
                <w:sz w:val="14"/>
                <w:szCs w:val="14"/>
                <w:color w:val="auto"/>
              </w:rPr>
              <w:t>process and issues, as well as</w:t>
            </w:r>
          </w:p>
        </w:tc>
        <w:tc>
          <w:tcPr>
            <w:tcW w:w="240" w:type="dxa"/>
            <w:vAlign w:val="bottom"/>
            <w:shd w:val="clear" w:color="auto" w:fill="EDEDF8"/>
          </w:tcPr>
          <w:p>
            <w:pPr>
              <w:spacing w:after="0"/>
              <w:rPr>
                <w:sz w:val="12"/>
                <w:szCs w:val="12"/>
                <w:color w:val="auto"/>
              </w:rPr>
            </w:pPr>
          </w:p>
        </w:tc>
        <w:tc>
          <w:tcPr>
            <w:tcW w:w="2440" w:type="dxa"/>
            <w:vAlign w:val="bottom"/>
            <w:shd w:val="clear" w:color="auto" w:fill="EEEEF7"/>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400" w:type="dxa"/>
            <w:vAlign w:val="bottom"/>
            <w:tcBorders>
              <w:left w:val="single" w:sz="8" w:color="0626A9"/>
            </w:tcBorders>
            <w:shd w:val="clear" w:color="auto" w:fill="EDEDF8"/>
          </w:tcPr>
          <w:p>
            <w:pPr>
              <w:spacing w:after="0"/>
              <w:rPr>
                <w:sz w:val="3"/>
                <w:szCs w:val="3"/>
                <w:color w:val="auto"/>
              </w:rPr>
            </w:pPr>
          </w:p>
        </w:tc>
        <w:tc>
          <w:tcPr>
            <w:tcW w:w="2500" w:type="dxa"/>
            <w:vAlign w:val="bottom"/>
            <w:tcBorders>
              <w:right w:val="single" w:sz="8" w:color="0626A9"/>
            </w:tcBorders>
            <w:shd w:val="clear" w:color="auto" w:fill="EDEDF8"/>
          </w:tcPr>
          <w:p>
            <w:pPr>
              <w:spacing w:after="0"/>
              <w:rPr>
                <w:sz w:val="3"/>
                <w:szCs w:val="3"/>
                <w:color w:val="auto"/>
              </w:rPr>
            </w:pPr>
          </w:p>
        </w:tc>
        <w:tc>
          <w:tcPr>
            <w:tcW w:w="240" w:type="dxa"/>
            <w:vAlign w:val="bottom"/>
            <w:shd w:val="clear" w:color="auto" w:fill="EDEDF8"/>
          </w:tcPr>
          <w:p>
            <w:pPr>
              <w:spacing w:after="0"/>
              <w:rPr>
                <w:sz w:val="3"/>
                <w:szCs w:val="3"/>
                <w:color w:val="auto"/>
              </w:rPr>
            </w:pPr>
          </w:p>
        </w:tc>
        <w:tc>
          <w:tcPr>
            <w:tcW w:w="140" w:type="dxa"/>
            <w:vAlign w:val="bottom"/>
            <w:shd w:val="clear" w:color="auto" w:fill="EEEEF7"/>
          </w:tcPr>
          <w:p>
            <w:pPr>
              <w:spacing w:after="0"/>
              <w:rPr>
                <w:sz w:val="3"/>
                <w:szCs w:val="3"/>
                <w:color w:val="auto"/>
              </w:rPr>
            </w:pPr>
          </w:p>
        </w:tc>
        <w:tc>
          <w:tcPr>
            <w:tcW w:w="2520" w:type="dxa"/>
            <w:vAlign w:val="bottom"/>
            <w:tcBorders>
              <w:right w:val="single" w:sz="8" w:color="0626A9"/>
            </w:tcBorders>
            <w:vMerge w:val="continue"/>
            <w:shd w:val="clear" w:color="auto" w:fill="EEEEF7"/>
          </w:tcPr>
          <w:p>
            <w:pPr>
              <w:spacing w:after="0"/>
              <w:rPr>
                <w:sz w:val="3"/>
                <w:szCs w:val="3"/>
                <w:color w:val="auto"/>
              </w:rPr>
            </w:pPr>
          </w:p>
        </w:tc>
        <w:tc>
          <w:tcPr>
            <w:tcW w:w="240" w:type="dxa"/>
            <w:vAlign w:val="bottom"/>
            <w:shd w:val="clear" w:color="auto" w:fill="EDEDF8"/>
          </w:tcPr>
          <w:p>
            <w:pPr>
              <w:spacing w:after="0"/>
              <w:rPr>
                <w:sz w:val="3"/>
                <w:szCs w:val="3"/>
                <w:color w:val="auto"/>
              </w:rPr>
            </w:pPr>
          </w:p>
        </w:tc>
        <w:tc>
          <w:tcPr>
            <w:tcW w:w="2440" w:type="dxa"/>
            <w:vAlign w:val="bottom"/>
            <w:shd w:val="clear" w:color="auto" w:fill="EEEEF7"/>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400" w:type="dxa"/>
            <w:vAlign w:val="bottom"/>
            <w:tcBorders>
              <w:left w:val="single" w:sz="8" w:color="0626A9"/>
            </w:tcBorders>
            <w:shd w:val="clear" w:color="auto" w:fill="EDEDF8"/>
          </w:tcPr>
          <w:p>
            <w:pPr>
              <w:spacing w:after="0"/>
              <w:rPr>
                <w:sz w:val="16"/>
                <w:szCs w:val="16"/>
                <w:color w:val="auto"/>
              </w:rPr>
            </w:pPr>
          </w:p>
        </w:tc>
        <w:tc>
          <w:tcPr>
            <w:tcW w:w="2500" w:type="dxa"/>
            <w:vAlign w:val="bottom"/>
            <w:tcBorders>
              <w:right w:val="single" w:sz="8" w:color="0626A9"/>
            </w:tcBorders>
            <w:shd w:val="clear" w:color="auto" w:fill="EDEDF8"/>
          </w:tcPr>
          <w:p>
            <w:pPr>
              <w:spacing w:after="0"/>
              <w:rPr>
                <w:sz w:val="16"/>
                <w:szCs w:val="16"/>
                <w:color w:val="auto"/>
              </w:rPr>
            </w:pPr>
          </w:p>
        </w:tc>
        <w:tc>
          <w:tcPr>
            <w:tcW w:w="240" w:type="dxa"/>
            <w:vAlign w:val="bottom"/>
            <w:shd w:val="clear" w:color="auto" w:fill="EDEDF8"/>
          </w:tcPr>
          <w:p>
            <w:pPr>
              <w:spacing w:after="0"/>
              <w:rPr>
                <w:sz w:val="16"/>
                <w:szCs w:val="16"/>
                <w:color w:val="auto"/>
              </w:rPr>
            </w:pPr>
          </w:p>
        </w:tc>
        <w:tc>
          <w:tcPr>
            <w:tcW w:w="140" w:type="dxa"/>
            <w:vAlign w:val="bottom"/>
            <w:shd w:val="clear" w:color="auto" w:fill="EEEEF7"/>
          </w:tcPr>
          <w:p>
            <w:pPr>
              <w:spacing w:after="0"/>
              <w:rPr>
                <w:sz w:val="16"/>
                <w:szCs w:val="16"/>
                <w:color w:val="auto"/>
              </w:rPr>
            </w:pPr>
          </w:p>
        </w:tc>
        <w:tc>
          <w:tcPr>
            <w:tcW w:w="2520" w:type="dxa"/>
            <w:vAlign w:val="bottom"/>
            <w:tcBorders>
              <w:right w:val="single" w:sz="8" w:color="0626A9"/>
            </w:tcBorders>
            <w:shd w:val="clear" w:color="auto" w:fill="EEEEF7"/>
          </w:tcPr>
          <w:p>
            <w:pPr>
              <w:ind w:left="80"/>
              <w:spacing w:after="0"/>
              <w:rPr>
                <w:sz w:val="20"/>
                <w:szCs w:val="20"/>
                <w:color w:val="auto"/>
              </w:rPr>
            </w:pPr>
            <w:r>
              <w:rPr>
                <w:rFonts w:ascii="Arial" w:cs="Arial" w:eastAsia="Arial" w:hAnsi="Arial"/>
                <w:sz w:val="14"/>
                <w:szCs w:val="14"/>
                <w:color w:val="auto"/>
              </w:rPr>
              <w:t>legal and regulatory risks and</w:t>
            </w:r>
          </w:p>
        </w:tc>
        <w:tc>
          <w:tcPr>
            <w:tcW w:w="240" w:type="dxa"/>
            <w:vAlign w:val="bottom"/>
            <w:shd w:val="clear" w:color="auto" w:fill="EDEDF8"/>
          </w:tcPr>
          <w:p>
            <w:pPr>
              <w:spacing w:after="0"/>
              <w:rPr>
                <w:sz w:val="16"/>
                <w:szCs w:val="16"/>
                <w:color w:val="auto"/>
              </w:rPr>
            </w:pPr>
          </w:p>
        </w:tc>
        <w:tc>
          <w:tcPr>
            <w:tcW w:w="2440" w:type="dxa"/>
            <w:vAlign w:val="bottom"/>
            <w:shd w:val="clear" w:color="auto" w:fill="EEEEF7"/>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0" w:type="dxa"/>
            <w:vAlign w:val="bottom"/>
            <w:tcBorders>
              <w:left w:val="single" w:sz="8" w:color="0626A9"/>
            </w:tcBorders>
            <w:shd w:val="clear" w:color="auto" w:fill="EDEDF8"/>
          </w:tcPr>
          <w:p>
            <w:pPr>
              <w:spacing w:after="0"/>
              <w:rPr>
                <w:sz w:val="16"/>
                <w:szCs w:val="16"/>
                <w:color w:val="auto"/>
              </w:rPr>
            </w:pPr>
          </w:p>
        </w:tc>
        <w:tc>
          <w:tcPr>
            <w:tcW w:w="2500" w:type="dxa"/>
            <w:vAlign w:val="bottom"/>
            <w:tcBorders>
              <w:right w:val="single" w:sz="8" w:color="0626A9"/>
            </w:tcBorders>
            <w:shd w:val="clear" w:color="auto" w:fill="EDEDF8"/>
          </w:tcPr>
          <w:p>
            <w:pPr>
              <w:spacing w:after="0"/>
              <w:rPr>
                <w:sz w:val="16"/>
                <w:szCs w:val="16"/>
                <w:color w:val="auto"/>
              </w:rPr>
            </w:pPr>
          </w:p>
        </w:tc>
        <w:tc>
          <w:tcPr>
            <w:tcW w:w="240" w:type="dxa"/>
            <w:vAlign w:val="bottom"/>
            <w:shd w:val="clear" w:color="auto" w:fill="EDEDF8"/>
          </w:tcPr>
          <w:p>
            <w:pPr>
              <w:spacing w:after="0"/>
              <w:rPr>
                <w:sz w:val="16"/>
                <w:szCs w:val="16"/>
                <w:color w:val="auto"/>
              </w:rPr>
            </w:pPr>
          </w:p>
        </w:tc>
        <w:tc>
          <w:tcPr>
            <w:tcW w:w="140" w:type="dxa"/>
            <w:vAlign w:val="bottom"/>
            <w:shd w:val="clear" w:color="auto" w:fill="EEEEF7"/>
          </w:tcPr>
          <w:p>
            <w:pPr>
              <w:spacing w:after="0"/>
              <w:rPr>
                <w:sz w:val="16"/>
                <w:szCs w:val="16"/>
                <w:color w:val="auto"/>
              </w:rPr>
            </w:pPr>
          </w:p>
        </w:tc>
        <w:tc>
          <w:tcPr>
            <w:tcW w:w="2520" w:type="dxa"/>
            <w:vAlign w:val="bottom"/>
            <w:tcBorders>
              <w:right w:val="single" w:sz="8" w:color="0626A9"/>
            </w:tcBorders>
            <w:shd w:val="clear" w:color="auto" w:fill="EEEEF7"/>
          </w:tcPr>
          <w:p>
            <w:pPr>
              <w:ind w:left="80"/>
              <w:spacing w:after="0"/>
              <w:rPr>
                <w:sz w:val="20"/>
                <w:szCs w:val="20"/>
                <w:color w:val="auto"/>
              </w:rPr>
            </w:pPr>
            <w:r>
              <w:rPr>
                <w:rFonts w:ascii="Arial" w:cs="Arial" w:eastAsia="Arial" w:hAnsi="Arial"/>
                <w:sz w:val="14"/>
                <w:szCs w:val="14"/>
                <w:color w:val="auto"/>
              </w:rPr>
              <w:t>issues</w:t>
            </w:r>
          </w:p>
        </w:tc>
        <w:tc>
          <w:tcPr>
            <w:tcW w:w="240" w:type="dxa"/>
            <w:vAlign w:val="bottom"/>
            <w:shd w:val="clear" w:color="auto" w:fill="EDEDF8"/>
          </w:tcPr>
          <w:p>
            <w:pPr>
              <w:spacing w:after="0"/>
              <w:rPr>
                <w:sz w:val="16"/>
                <w:szCs w:val="16"/>
                <w:color w:val="auto"/>
              </w:rPr>
            </w:pPr>
          </w:p>
        </w:tc>
        <w:tc>
          <w:tcPr>
            <w:tcW w:w="2440" w:type="dxa"/>
            <w:vAlign w:val="bottom"/>
            <w:shd w:val="clear" w:color="auto" w:fill="EEEEF7"/>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400" w:type="dxa"/>
            <w:vAlign w:val="bottom"/>
            <w:tcBorders>
              <w:left w:val="single" w:sz="8" w:color="0626A9"/>
            </w:tcBorders>
            <w:shd w:val="clear" w:color="auto" w:fill="EDEDF8"/>
          </w:tcPr>
          <w:p>
            <w:pPr>
              <w:spacing w:after="0"/>
              <w:rPr>
                <w:sz w:val="8"/>
                <w:szCs w:val="8"/>
                <w:color w:val="auto"/>
              </w:rPr>
            </w:pPr>
          </w:p>
        </w:tc>
        <w:tc>
          <w:tcPr>
            <w:tcW w:w="2500" w:type="dxa"/>
            <w:vAlign w:val="bottom"/>
            <w:tcBorders>
              <w:right w:val="single" w:sz="8" w:color="0626A9"/>
            </w:tcBorders>
            <w:shd w:val="clear" w:color="auto" w:fill="EDEDF8"/>
          </w:tcPr>
          <w:p>
            <w:pPr>
              <w:spacing w:after="0"/>
              <w:rPr>
                <w:sz w:val="8"/>
                <w:szCs w:val="8"/>
                <w:color w:val="auto"/>
              </w:rPr>
            </w:pPr>
          </w:p>
        </w:tc>
        <w:tc>
          <w:tcPr>
            <w:tcW w:w="240" w:type="dxa"/>
            <w:vAlign w:val="bottom"/>
            <w:shd w:val="clear" w:color="auto" w:fill="EDEDF8"/>
          </w:tcPr>
          <w:p>
            <w:pPr>
              <w:spacing w:after="0"/>
              <w:rPr>
                <w:sz w:val="8"/>
                <w:szCs w:val="8"/>
                <w:color w:val="auto"/>
              </w:rPr>
            </w:pPr>
          </w:p>
        </w:tc>
        <w:tc>
          <w:tcPr>
            <w:tcW w:w="140" w:type="dxa"/>
            <w:vAlign w:val="bottom"/>
            <w:shd w:val="clear" w:color="auto" w:fill="EEEEF7"/>
          </w:tcPr>
          <w:p>
            <w:pPr>
              <w:spacing w:after="0"/>
              <w:rPr>
                <w:sz w:val="8"/>
                <w:szCs w:val="8"/>
                <w:color w:val="auto"/>
              </w:rPr>
            </w:pPr>
          </w:p>
        </w:tc>
        <w:tc>
          <w:tcPr>
            <w:tcW w:w="2520" w:type="dxa"/>
            <w:vAlign w:val="bottom"/>
            <w:tcBorders>
              <w:right w:val="single" w:sz="8" w:color="0626A9"/>
            </w:tcBorders>
            <w:shd w:val="clear" w:color="auto" w:fill="EEEEF7"/>
          </w:tcPr>
          <w:p>
            <w:pPr>
              <w:spacing w:after="0"/>
              <w:rPr>
                <w:sz w:val="8"/>
                <w:szCs w:val="8"/>
                <w:color w:val="auto"/>
              </w:rPr>
            </w:pPr>
          </w:p>
        </w:tc>
        <w:tc>
          <w:tcPr>
            <w:tcW w:w="240" w:type="dxa"/>
            <w:vAlign w:val="bottom"/>
            <w:shd w:val="clear" w:color="auto" w:fill="EDEDF8"/>
          </w:tcPr>
          <w:p>
            <w:pPr>
              <w:spacing w:after="0"/>
              <w:rPr>
                <w:sz w:val="8"/>
                <w:szCs w:val="8"/>
                <w:color w:val="auto"/>
              </w:rPr>
            </w:pPr>
          </w:p>
        </w:tc>
        <w:tc>
          <w:tcPr>
            <w:tcW w:w="2440" w:type="dxa"/>
            <w:vAlign w:val="bottom"/>
            <w:shd w:val="clear" w:color="auto" w:fill="EEEEF7"/>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895985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560" w:space="180"/>
            <w:col w:w="8480"/>
          </w:cols>
          <w:pgMar w:left="320" w:top="292" w:right="359" w:bottom="1440" w:gutter="0" w:footer="0" w:header="0"/>
          <w:type w:val="continuous"/>
        </w:sectPr>
      </w:pPr>
    </w:p>
    <w:bookmarkStart w:id="50" w:name="page51"/>
    <w:bookmarkEnd w:id="50"/>
    <w:p>
      <w:pPr>
        <w:ind w:left="8420"/>
        <w:spacing w:after="0"/>
        <w:tabs>
          <w:tab w:leader="none" w:pos="109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Corporate Governance | MSCI</w:t>
      </w:r>
      <w:r>
        <w:rPr>
          <w:sz w:val="20"/>
          <w:szCs w:val="20"/>
          <w:color w:val="auto"/>
        </w:rPr>
        <w:tab/>
      </w:r>
      <w:r>
        <w:rPr>
          <w:rFonts w:ascii="Arial" w:cs="Arial" w:eastAsia="Arial" w:hAnsi="Arial"/>
          <w:sz w:val="14"/>
          <w:szCs w:val="14"/>
          <w:b w:val="1"/>
          <w:bCs w:val="1"/>
          <w:color w:val="1A3FD6"/>
        </w:rPr>
        <w:t>49</w:t>
      </w:r>
    </w:p>
    <w:p>
      <w:pPr>
        <w:sectPr>
          <w:pgSz w:w="11900" w:h="16838" w:orient="portrait"/>
          <w:cols w:equalWidth="0" w:num="1">
            <w:col w:w="11180"/>
          </w:cols>
          <w:pgMar w:left="320" w:top="29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Workforce and Talent Management</w:t>
      </w:r>
    </w:p>
    <w:p>
      <w:pPr>
        <w:spacing w:after="0" w:line="127"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MSCI is committed to a performance culture with a high degree of employee engagement. Our talent and leadership development programs are designed to ensure we have the right people with the right skills to deliver on MSCI’s strategy.</w:t>
      </w:r>
    </w:p>
    <w:p>
      <w:pPr>
        <w:spacing w:after="0" w:line="287" w:lineRule="auto"/>
        <w:rPr>
          <w:sz w:val="20"/>
          <w:szCs w:val="20"/>
          <w:color w:val="auto"/>
        </w:rPr>
      </w:pPr>
      <w:r>
        <w:rPr>
          <w:rFonts w:ascii="Arial" w:cs="Arial" w:eastAsia="Arial" w:hAnsi="Arial"/>
          <w:sz w:val="16"/>
          <w:szCs w:val="16"/>
          <w:color w:val="auto"/>
        </w:rPr>
        <w:t>The Compensation Committee of our Board has oversight over talent management matters, including efforts relating to succession/progression planning, career progression and retention strategies, and learning and leadership development. In addition, the Compensation Committee oversees efforts relating to our corporate culture, such as our employee engagement and retention strategies. Our management reports to our Board regularly on our work towards enhancing corporate culture and our talent management strategies. We also regularly engage with our shareholders on these aspects of our workforce and talent management strategies.</w:t>
      </w:r>
    </w:p>
    <w:p>
      <w:pPr>
        <w:sectPr>
          <w:pgSz w:w="11900" w:h="16838" w:orient="portrait"/>
          <w:cols w:equalWidth="0" w:num="1">
            <w:col w:w="11180"/>
          </w:cols>
          <w:pgMar w:left="320" w:top="292" w:right="39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Workforce and Talent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92710</wp:posOffset>
            </wp:positionV>
            <wp:extent cx="205740" cy="1714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05740" cy="171450"/>
                    </a:xfrm>
                    <a:prstGeom prst="rect">
                      <a:avLst/>
                    </a:prstGeom>
                    <a:noFill/>
                  </pic:spPr>
                </pic:pic>
              </a:graphicData>
            </a:graphic>
          </wp:anchor>
        </w:drawing>
      </w:r>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LEARNING AND DEVELOPMENT</w:t>
      </w:r>
    </w:p>
    <w:p>
      <w:pPr>
        <w:spacing w:after="0" w:line="257" w:lineRule="exact"/>
        <w:rPr>
          <w:sz w:val="20"/>
          <w:szCs w:val="20"/>
          <w:color w:val="auto"/>
        </w:rPr>
      </w:pPr>
    </w:p>
    <w:p>
      <w:pPr>
        <w:jc w:val="both"/>
        <w:ind w:left="20" w:right="20"/>
        <w:spacing w:after="0" w:line="292" w:lineRule="auto"/>
        <w:rPr>
          <w:sz w:val="20"/>
          <w:szCs w:val="20"/>
          <w:color w:val="auto"/>
        </w:rPr>
      </w:pPr>
      <w:r>
        <w:rPr>
          <w:rFonts w:ascii="Arial" w:cs="Arial" w:eastAsia="Arial" w:hAnsi="Arial"/>
          <w:sz w:val="16"/>
          <w:szCs w:val="16"/>
          <w:color w:val="auto"/>
        </w:rPr>
        <w:t>Our employees actively drive and take responsibility for their professional growth, and we provide the tools, programs and training to enable them to do so.</w:t>
      </w:r>
    </w:p>
    <w:p>
      <w:pPr>
        <w:spacing w:after="0" w:line="3" w:lineRule="exact"/>
        <w:rPr>
          <w:sz w:val="20"/>
          <w:szCs w:val="20"/>
          <w:color w:val="auto"/>
        </w:rPr>
      </w:pPr>
    </w:p>
    <w:p>
      <w:pPr>
        <w:ind w:left="20"/>
        <w:spacing w:after="0" w:line="280" w:lineRule="auto"/>
        <w:rPr>
          <w:sz w:val="20"/>
          <w:szCs w:val="20"/>
          <w:color w:val="auto"/>
        </w:rPr>
      </w:pPr>
      <w:r>
        <w:rPr>
          <w:rFonts w:ascii="Arial" w:cs="Arial" w:eastAsia="Arial" w:hAnsi="Arial"/>
          <w:sz w:val="16"/>
          <w:szCs w:val="16"/>
          <w:color w:val="auto"/>
        </w:rPr>
        <w:t>MSCI offers in person and on-demand learning tools covering a wide range of topics with numerous options for employees to pursue self-paced career development opportunities. In 2024, more than 200,000 learning resources were viewed on our Learning@MSCI platform. This included an average of over two hours of self-paced learning per employee. In 2024, our employees that participated in facilitated, live learning events spent approximately five hours on average in such events. We also sponsor and reimburse employees for certain certifications and membership dues, ongoing education and relevant industry conferences and seminars.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3"/>
        <w:spacing w:after="0"/>
        <w:rPr>
          <w:sz w:val="20"/>
          <w:szCs w:val="20"/>
          <w:color w:val="auto"/>
        </w:rPr>
      </w:pPr>
      <w:r>
        <w:rPr>
          <w:rFonts w:ascii="Arial" w:cs="Arial" w:eastAsia="Arial" w:hAnsi="Arial"/>
          <w:sz w:val="16"/>
          <w:szCs w:val="16"/>
          <w:b w:val="1"/>
          <w:bCs w:val="1"/>
          <w:color w:val="0626A9"/>
        </w:rPr>
        <w:t>2024 NOTABLE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-235585</wp:posOffset>
            </wp:positionV>
            <wp:extent cx="3429000" cy="22802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00" cy="2280285"/>
                    </a:xfrm>
                    <a:prstGeom prst="rect">
                      <a:avLst/>
                    </a:prstGeom>
                    <a:noFill/>
                  </pic:spPr>
                </pic:pic>
              </a:graphicData>
            </a:graphic>
          </wp:anchor>
        </w:drawing>
      </w:r>
    </w:p>
    <w:p>
      <w:pPr>
        <w:spacing w:after="0" w:line="53" w:lineRule="exact"/>
        <w:rPr>
          <w:sz w:val="20"/>
          <w:szCs w:val="20"/>
          <w:color w:val="auto"/>
        </w:rPr>
      </w:pPr>
    </w:p>
    <w:p>
      <w:pPr>
        <w:ind w:left="193" w:right="360" w:hanging="193"/>
        <w:spacing w:after="0" w:line="292" w:lineRule="auto"/>
        <w:tabs>
          <w:tab w:leader="none" w:pos="190" w:val="left"/>
        </w:tabs>
        <w:numPr>
          <w:ilvl w:val="0"/>
          <w:numId w:val="54"/>
        </w:numPr>
        <w:rPr>
          <w:rFonts w:ascii="Arial" w:cs="Arial" w:eastAsia="Arial" w:hAnsi="Arial"/>
          <w:sz w:val="16"/>
          <w:szCs w:val="16"/>
          <w:color w:val="1A3FD6"/>
        </w:rPr>
      </w:pPr>
      <w:r>
        <w:rPr>
          <w:rFonts w:ascii="Arial" w:cs="Arial" w:eastAsia="Arial" w:hAnsi="Arial"/>
          <w:sz w:val="16"/>
          <w:szCs w:val="16"/>
          <w:color w:val="auto"/>
        </w:rPr>
        <w:t>Strengthened focus on internal mobility across all corporate levels, prioritizing upskilling and employee development to align with business goals and support the Company’s growth</w:t>
      </w:r>
    </w:p>
    <w:p>
      <w:pPr>
        <w:spacing w:after="0" w:line="3" w:lineRule="exact"/>
        <w:rPr>
          <w:rFonts w:ascii="Arial" w:cs="Arial" w:eastAsia="Arial" w:hAnsi="Arial"/>
          <w:sz w:val="16"/>
          <w:szCs w:val="16"/>
          <w:color w:val="1A3FD6"/>
        </w:rPr>
      </w:pPr>
    </w:p>
    <w:p>
      <w:pPr>
        <w:jc w:val="both"/>
        <w:ind w:left="193" w:right="360" w:hanging="193"/>
        <w:spacing w:after="0" w:line="292" w:lineRule="auto"/>
        <w:tabs>
          <w:tab w:leader="none" w:pos="190" w:val="left"/>
        </w:tabs>
        <w:numPr>
          <w:ilvl w:val="0"/>
          <w:numId w:val="54"/>
        </w:numPr>
        <w:rPr>
          <w:rFonts w:ascii="Arial" w:cs="Arial" w:eastAsia="Arial" w:hAnsi="Arial"/>
          <w:sz w:val="16"/>
          <w:szCs w:val="16"/>
          <w:color w:val="1A3FD6"/>
        </w:rPr>
      </w:pPr>
      <w:r>
        <w:rPr>
          <w:rFonts w:ascii="Arial" w:cs="Arial" w:eastAsia="Arial" w:hAnsi="Arial"/>
          <w:sz w:val="16"/>
          <w:szCs w:val="16"/>
          <w:color w:val="auto"/>
        </w:rPr>
        <w:t>Introduced an Executive Director success profile and development framework to clearly define expectations and drive development in key growth areas for the Company</w:t>
      </w:r>
    </w:p>
    <w:p>
      <w:pPr>
        <w:spacing w:after="0" w:line="16" w:lineRule="exact"/>
        <w:rPr>
          <w:rFonts w:ascii="Arial" w:cs="Arial" w:eastAsia="Arial" w:hAnsi="Arial"/>
          <w:sz w:val="16"/>
          <w:szCs w:val="16"/>
          <w:color w:val="1A3FD6"/>
        </w:rPr>
      </w:pPr>
    </w:p>
    <w:p>
      <w:pPr>
        <w:ind w:left="193" w:right="560" w:hanging="193"/>
        <w:spacing w:after="0" w:line="292" w:lineRule="auto"/>
        <w:tabs>
          <w:tab w:leader="none" w:pos="190" w:val="left"/>
        </w:tabs>
        <w:numPr>
          <w:ilvl w:val="0"/>
          <w:numId w:val="54"/>
        </w:numPr>
        <w:rPr>
          <w:rFonts w:ascii="Arial" w:cs="Arial" w:eastAsia="Arial" w:hAnsi="Arial"/>
          <w:sz w:val="16"/>
          <w:szCs w:val="16"/>
          <w:color w:val="1A3FD6"/>
        </w:rPr>
      </w:pPr>
      <w:r>
        <w:rPr>
          <w:rFonts w:ascii="Arial" w:cs="Arial" w:eastAsia="Arial" w:hAnsi="Arial"/>
          <w:sz w:val="16"/>
          <w:szCs w:val="16"/>
          <w:color w:val="auto"/>
        </w:rPr>
        <w:t>Continued investment in managerial capabilities for people managers to support accountability, career development and an inclusive work environment</w:t>
      </w:r>
    </w:p>
    <w:p>
      <w:pPr>
        <w:spacing w:after="0" w:line="16" w:lineRule="exact"/>
        <w:rPr>
          <w:rFonts w:ascii="Arial" w:cs="Arial" w:eastAsia="Arial" w:hAnsi="Arial"/>
          <w:sz w:val="16"/>
          <w:szCs w:val="16"/>
          <w:color w:val="1A3FD6"/>
        </w:rPr>
      </w:pPr>
    </w:p>
    <w:p>
      <w:pPr>
        <w:ind w:left="193" w:right="380" w:hanging="193"/>
        <w:spacing w:after="0" w:line="289" w:lineRule="auto"/>
        <w:tabs>
          <w:tab w:leader="none" w:pos="190" w:val="left"/>
        </w:tabs>
        <w:numPr>
          <w:ilvl w:val="0"/>
          <w:numId w:val="54"/>
        </w:numPr>
        <w:rPr>
          <w:rFonts w:ascii="Arial" w:cs="Arial" w:eastAsia="Arial" w:hAnsi="Arial"/>
          <w:sz w:val="16"/>
          <w:szCs w:val="16"/>
          <w:color w:val="1A3FD6"/>
        </w:rPr>
      </w:pPr>
      <w:r>
        <w:rPr>
          <w:rFonts w:ascii="Arial" w:cs="Arial" w:eastAsia="Arial" w:hAnsi="Arial"/>
          <w:sz w:val="16"/>
          <w:szCs w:val="16"/>
          <w:color w:val="auto"/>
        </w:rPr>
        <w:t>In December 2024 employee engagement survey, achieved an 85% response rate, and the percentage of respondents characterized as fully engaged was 76%, among the highest since we implemented the survey in 2011</w:t>
      </w:r>
    </w:p>
    <w:p>
      <w:pPr>
        <w:spacing w:after="0" w:line="200" w:lineRule="exact"/>
        <w:rPr>
          <w:sz w:val="20"/>
          <w:szCs w:val="20"/>
          <w:color w:val="auto"/>
        </w:rPr>
      </w:pPr>
    </w:p>
    <w:p>
      <w:pPr>
        <w:sectPr>
          <w:pgSz w:w="11900" w:h="16838" w:orient="portrait"/>
          <w:cols w:equalWidth="0" w:num="2">
            <w:col w:w="5340" w:space="527"/>
            <w:col w:w="5313"/>
          </w:cols>
          <w:pgMar w:left="320" w:top="292" w:right="399" w:bottom="1440" w:gutter="0" w:footer="0" w:header="0"/>
          <w:type w:val="continuous"/>
        </w:sectPr>
      </w:pPr>
    </w:p>
    <w:p>
      <w:pPr>
        <w:spacing w:after="0" w:line="3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-110490</wp:posOffset>
            </wp:positionV>
            <wp:extent cx="240030" cy="2146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40030" cy="214630"/>
                    </a:xfrm>
                    <a:prstGeom prst="rect">
                      <a:avLst/>
                    </a:prstGeom>
                    <a:noFill/>
                  </pic:spPr>
                </pic:pic>
              </a:graphicData>
            </a:graphic>
          </wp:anchor>
        </w:drawing>
      </w:r>
    </w:p>
    <w:p>
      <w:pPr>
        <w:spacing w:after="0" w:line="250" w:lineRule="exact"/>
        <w:rPr>
          <w:sz w:val="20"/>
          <w:szCs w:val="20"/>
          <w:color w:val="auto"/>
        </w:rPr>
      </w:pPr>
    </w:p>
    <w:p>
      <w:pPr>
        <w:ind w:left="20"/>
        <w:spacing w:after="0" w:line="279" w:lineRule="auto"/>
        <w:rPr>
          <w:sz w:val="20"/>
          <w:szCs w:val="20"/>
          <w:color w:val="auto"/>
        </w:rPr>
      </w:pPr>
      <w:r>
        <w:rPr>
          <w:rFonts w:ascii="Arial" w:cs="Arial" w:eastAsia="Arial" w:hAnsi="Arial"/>
          <w:sz w:val="16"/>
          <w:szCs w:val="16"/>
          <w:color w:val="auto"/>
        </w:rPr>
        <w:t>Inclusivity is a core value at MSCI. When employees feel included and supported, they can reach their full potential. By seeking employees with a broad range of skills, backgrounds and perspectives, we look to identify the best talent to achieve our strategic goals and foster a culture of performance, meritocracy and innovation. Our efforts focus on three strategic pillars: talent identification and development, senior leader engagement and accountability, and stakeholder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95250</wp:posOffset>
            </wp:positionV>
            <wp:extent cx="240030"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40030" cy="137160"/>
                    </a:xfrm>
                    <a:prstGeom prst="rect">
                      <a:avLst/>
                    </a:prstGeom>
                    <a:noFill/>
                  </pic:spPr>
                </pic:pic>
              </a:graphicData>
            </a:graphic>
          </wp:anchor>
        </w:drawing>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COMMUNITY</w:t>
      </w:r>
    </w:p>
    <w:p>
      <w:pPr>
        <w:spacing w:after="0" w:line="108" w:lineRule="exact"/>
        <w:rPr>
          <w:sz w:val="20"/>
          <w:szCs w:val="20"/>
          <w:color w:val="auto"/>
        </w:rPr>
      </w:pPr>
    </w:p>
    <w:p>
      <w:pPr>
        <w:ind w:left="20" w:right="200"/>
        <w:spacing w:after="0" w:line="283" w:lineRule="auto"/>
        <w:rPr>
          <w:sz w:val="20"/>
          <w:szCs w:val="20"/>
          <w:color w:val="auto"/>
        </w:rPr>
      </w:pPr>
      <w:r>
        <w:rPr>
          <w:rFonts w:ascii="Arial" w:cs="Arial" w:eastAsia="Arial" w:hAnsi="Arial"/>
          <w:sz w:val="16"/>
          <w:szCs w:val="16"/>
          <w:color w:val="auto"/>
        </w:rPr>
        <w:t>We support community involvement through global and local initiatives, often led by our Employee Resource Groups. We empower teams at all our office locations to identify and support organizations that have positively impacted their communities.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EMPLOYEE WELLBEING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-161925</wp:posOffset>
            </wp:positionV>
            <wp:extent cx="240030" cy="1371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40030" cy="137160"/>
                    </a:xfrm>
                    <a:prstGeom prst="rect">
                      <a:avLst/>
                    </a:prstGeom>
                    <a:noFill/>
                  </pic:spPr>
                </pic:pic>
              </a:graphicData>
            </a:graphic>
          </wp:anchor>
        </w:drawing>
      </w:r>
    </w:p>
    <w:p>
      <w:pPr>
        <w:spacing w:after="0" w:line="75"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We are committed to the health, safety, and well-being of our employees. We have expanded communication on employee assistance programs for mental health, stress management, and family care. We offer a comprehensive ergonomics program to support hybrid work, and we are also enhancing accessibility in our offices.</w:t>
      </w:r>
    </w:p>
    <w:p>
      <w:pPr>
        <w:spacing w:after="0" w:line="26" w:lineRule="exact"/>
        <w:rPr>
          <w:sz w:val="20"/>
          <w:szCs w:val="20"/>
          <w:color w:val="auto"/>
        </w:rPr>
      </w:pPr>
    </w:p>
    <w:p>
      <w:pPr>
        <w:ind w:right="180"/>
        <w:spacing w:after="0" w:line="272" w:lineRule="auto"/>
        <w:rPr>
          <w:sz w:val="20"/>
          <w:szCs w:val="20"/>
          <w:color w:val="auto"/>
        </w:rPr>
      </w:pPr>
      <w:r>
        <w:rPr>
          <w:rFonts w:ascii="Arial" w:cs="Arial" w:eastAsia="Arial" w:hAnsi="Arial"/>
          <w:sz w:val="16"/>
          <w:szCs w:val="16"/>
          <w:color w:val="auto"/>
        </w:rPr>
        <w:t>Our Global Human Rights Policy reflects our commitment to a safe and healthy workplace. We are also proud to provide highly competitive benefits to our employees and their family members. We work to ensure our benefits program remains aligned with — and in many cases exceeds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 current practices in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1405255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40" w:space="400"/>
            <w:col w:w="5440"/>
          </w:cols>
          <w:pgMar w:left="320" w:top="292" w:right="399" w:bottom="1440" w:gutter="0" w:footer="0" w:header="0"/>
          <w:type w:val="continuous"/>
        </w:sectPr>
      </w:pPr>
    </w:p>
    <w:bookmarkStart w:id="51" w:name="page52"/>
    <w:bookmarkEnd w:id="51"/>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50</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Management Succession Planning</w:t>
      </w:r>
    </w:p>
    <w:p>
      <w:pPr>
        <w:spacing w:after="0" w:line="20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Compensation Committee oversees talent management matters, including efforts relating to succession/progression planning, career progression and retention strategies, and learning and leadership development. In addition, the Compensation Committee oversees efforts relating to our corporate culture, such as our employee engagement and inclusion strategies. Our CEO and our President and COO meet with our functions to review talent plans with an aim to identify top talent who have the most potential to progress to senior roles at MSCI.</w:t>
      </w:r>
    </w:p>
    <w:p>
      <w:pPr>
        <w:spacing w:after="0" w:line="77"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To align the management succession and progression process with MSCI’s strategic objectives, the Compensation Committee consults with the CEO to periodically review the Company’s succession plans, including for the CEO and other executives. This process covers selection, succession in the event of incapacity, retirement or removal of an executive, and evaluations of, and development plans for, potential successors to each of the executives.</w:t>
      </w:r>
    </w:p>
    <w:p>
      <w:pPr>
        <w:spacing w:after="0" w:line="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Company’s Management Committee, consisting of the Company’s senior-most leaders, engages in discussions focused on succession and progression plans with an emphasis on growth opportunities for potential future senior leaders. High-potential leaders are identified for additional responsibilities to challenge them and develop additional skills. These individuals are often positioned to interact more frequently with the Board, through Board and Committee presentations and discussions, as well as informal events and interactions,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2825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FFFFFF"/>
        </w:rPr>
        <w:t>Developing Our Next Generation of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23228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2322830"/>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sectPr>
      </w:pPr>
    </w:p>
    <w:p>
      <w:pPr>
        <w:spacing w:after="0" w:line="30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ONGOING</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EXPOSURE</w:t>
      </w:r>
    </w:p>
    <w:p>
      <w:pPr>
        <w:spacing w:after="0" w:line="28"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AND REVIEW</w:t>
      </w:r>
    </w:p>
    <w:p>
      <w:pPr>
        <w:spacing w:after="0" w:line="200" w:lineRule="exact"/>
        <w:rPr>
          <w:sz w:val="20"/>
          <w:szCs w:val="20"/>
          <w:color w:val="auto"/>
        </w:rPr>
      </w:pPr>
    </w:p>
    <w:p>
      <w:pPr>
        <w:spacing w:after="0" w:line="370"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FORMAL</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SUCCESSION AND</w:t>
      </w:r>
    </w:p>
    <w:p>
      <w:pPr>
        <w:spacing w:after="0" w:line="28"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PROGRESSION</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PLANNING</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High-potential leaders are given exposure to our directors through formal presentations at Board or committee meetings, informal virtual education sessions, one-on-one meetings with individual directors and participation in other Board activities. The Board also holds ongoing reviews of our leadership bench.</w:t>
      </w:r>
    </w:p>
    <w:p>
      <w:pPr>
        <w:spacing w:after="0" w:line="200" w:lineRule="exact"/>
        <w:rPr>
          <w:sz w:val="20"/>
          <w:szCs w:val="20"/>
          <w:color w:val="auto"/>
        </w:rPr>
      </w:pPr>
    </w:p>
    <w:p>
      <w:pPr>
        <w:spacing w:after="0" w:line="249" w:lineRule="exact"/>
        <w:rPr>
          <w:sz w:val="20"/>
          <w:szCs w:val="20"/>
          <w:color w:val="auto"/>
        </w:rPr>
      </w:pPr>
    </w:p>
    <w:p>
      <w:pPr>
        <w:ind w:right="280"/>
        <w:spacing w:after="0" w:line="282" w:lineRule="auto"/>
        <w:rPr>
          <w:sz w:val="20"/>
          <w:szCs w:val="20"/>
          <w:color w:val="auto"/>
        </w:rPr>
      </w:pPr>
      <w:r>
        <w:rPr>
          <w:rFonts w:ascii="Arial" w:cs="Arial" w:eastAsia="Arial" w:hAnsi="Arial"/>
          <w:sz w:val="16"/>
          <w:szCs w:val="16"/>
          <w:color w:val="auto"/>
        </w:rPr>
        <w:t>The Compensation Committee holds an annual formal succession and progression planning session led by our CEO, Chief Human Resources Officer and Head of Talent, which all directors are invited to attend. This session includes identifying potential successors, and reviewing succession and progression plans and opportunities to hire from the market, for all senior management positions, including the CEO and President positions. This session also may include participation by external talent consultants we have engaged to assist in identifying and evaluating candidates and to ensure that we are considering a large pool of candidates from a wide variety of backgrounds and experiences.</w:t>
      </w:r>
    </w:p>
    <w:p>
      <w:pPr>
        <w:spacing w:after="0" w:line="80" w:lineRule="exact"/>
        <w:rPr>
          <w:sz w:val="20"/>
          <w:szCs w:val="20"/>
          <w:color w:val="auto"/>
        </w:rPr>
      </w:pPr>
    </w:p>
    <w:p>
      <w:pPr>
        <w:ind w:right="520"/>
        <w:spacing w:after="0" w:line="304" w:lineRule="auto"/>
        <w:rPr>
          <w:sz w:val="20"/>
          <w:szCs w:val="20"/>
          <w:color w:val="auto"/>
        </w:rPr>
      </w:pPr>
      <w:r>
        <w:rPr>
          <w:rFonts w:ascii="Arial" w:cs="Arial" w:eastAsia="Arial" w:hAnsi="Arial"/>
          <w:sz w:val="16"/>
          <w:szCs w:val="16"/>
          <w:color w:val="auto"/>
        </w:rPr>
        <w:t>The Compensation Committee annually reviews succession and contingency planning for our CEO and members of our Management Committee.</w:t>
      </w:r>
    </w:p>
    <w:p>
      <w:pPr>
        <w:spacing w:after="0" w:line="200" w:lineRule="exact"/>
        <w:rPr>
          <w:sz w:val="20"/>
          <w:szCs w:val="20"/>
          <w:color w:val="auto"/>
        </w:rPr>
      </w:pPr>
    </w:p>
    <w:p>
      <w:pPr>
        <w:sectPr>
          <w:pgSz w:w="11900" w:h="16838" w:orient="portrait"/>
          <w:cols w:equalWidth="0" w:num="2">
            <w:col w:w="1740" w:space="400"/>
            <w:col w:w="9080"/>
          </w:cols>
          <w:pgMar w:left="320" w:top="292" w:right="359" w:bottom="1440" w:gutter="0" w:footer="0" w:header="0"/>
          <w:type w:val="continuous"/>
        </w:sect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Over the last year, the Company made the following senior appointments from its succession and progression pools: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2024</w:t>
      </w:r>
    </w:p>
    <w:p>
      <w:pPr>
        <w:spacing w:after="0" w:line="140" w:lineRule="exact"/>
        <w:rPr>
          <w:sz w:val="20"/>
          <w:szCs w:val="20"/>
          <w:color w:val="auto"/>
        </w:rPr>
      </w:pPr>
    </w:p>
    <w:p>
      <w:pPr>
        <w:ind w:left="200" w:hanging="192"/>
        <w:spacing w:after="0"/>
        <w:tabs>
          <w:tab w:leader="none" w:pos="200" w:val="left"/>
        </w:tabs>
        <w:numPr>
          <w:ilvl w:val="0"/>
          <w:numId w:val="55"/>
        </w:numPr>
        <w:rPr>
          <w:rFonts w:ascii="Arial" w:cs="Arial" w:eastAsia="Arial" w:hAnsi="Arial"/>
          <w:sz w:val="16"/>
          <w:szCs w:val="16"/>
          <w:color w:val="1A3FD6"/>
        </w:rPr>
      </w:pPr>
      <w:r>
        <w:rPr>
          <w:rFonts w:ascii="Arial" w:cs="Arial" w:eastAsia="Arial" w:hAnsi="Arial"/>
          <w:sz w:val="16"/>
          <w:szCs w:val="16"/>
          <w:color w:val="auto"/>
        </w:rPr>
        <w:t>Chief Client Officer promoted to Chief Product Officer.</w:t>
      </w:r>
    </w:p>
    <w:p>
      <w:pPr>
        <w:spacing w:after="0" w:line="86" w:lineRule="exact"/>
        <w:rPr>
          <w:rFonts w:ascii="Arial" w:cs="Arial" w:eastAsia="Arial" w:hAnsi="Arial"/>
          <w:sz w:val="16"/>
          <w:szCs w:val="16"/>
          <w:color w:val="1A3FD6"/>
        </w:rPr>
      </w:pPr>
    </w:p>
    <w:p>
      <w:pPr>
        <w:ind w:left="200" w:hanging="192"/>
        <w:spacing w:after="0"/>
        <w:tabs>
          <w:tab w:leader="none" w:pos="200" w:val="left"/>
        </w:tabs>
        <w:numPr>
          <w:ilvl w:val="0"/>
          <w:numId w:val="55"/>
        </w:numPr>
        <w:rPr>
          <w:rFonts w:ascii="Arial" w:cs="Arial" w:eastAsia="Arial" w:hAnsi="Arial"/>
          <w:sz w:val="16"/>
          <w:szCs w:val="16"/>
          <w:color w:val="1A3FD6"/>
        </w:rPr>
      </w:pPr>
      <w:r>
        <w:rPr>
          <w:rFonts w:ascii="Arial" w:cs="Arial" w:eastAsia="Arial" w:hAnsi="Arial"/>
          <w:sz w:val="16"/>
          <w:szCs w:val="16"/>
          <w:color w:val="auto"/>
        </w:rPr>
        <w:t>Head of Client Coverage - EMEA promoted to Chief Client Officer.</w:t>
      </w:r>
    </w:p>
    <w:p>
      <w:pPr>
        <w:spacing w:after="0" w:line="72" w:lineRule="exact"/>
        <w:rPr>
          <w:rFonts w:ascii="Arial" w:cs="Arial" w:eastAsia="Arial" w:hAnsi="Arial"/>
          <w:sz w:val="16"/>
          <w:szCs w:val="16"/>
          <w:color w:val="1A3FD6"/>
        </w:rPr>
      </w:pPr>
    </w:p>
    <w:p>
      <w:pPr>
        <w:ind w:left="200" w:hanging="192"/>
        <w:spacing w:after="0"/>
        <w:tabs>
          <w:tab w:leader="none" w:pos="200" w:val="left"/>
        </w:tabs>
        <w:numPr>
          <w:ilvl w:val="0"/>
          <w:numId w:val="55"/>
        </w:numPr>
        <w:rPr>
          <w:rFonts w:ascii="Arial" w:cs="Arial" w:eastAsia="Arial" w:hAnsi="Arial"/>
          <w:sz w:val="16"/>
          <w:szCs w:val="16"/>
          <w:color w:val="1A3FD6"/>
        </w:rPr>
      </w:pPr>
      <w:r>
        <w:rPr>
          <w:rFonts w:ascii="Arial" w:cs="Arial" w:eastAsia="Arial" w:hAnsi="Arial"/>
          <w:sz w:val="16"/>
          <w:szCs w:val="16"/>
          <w:color w:val="auto"/>
        </w:rPr>
        <w:t>General Counsel promoted to additional role of Head of Corporate Affairs.</w:t>
      </w:r>
    </w:p>
    <w:p>
      <w:pPr>
        <w:spacing w:after="0" w:line="86" w:lineRule="exact"/>
        <w:rPr>
          <w:rFonts w:ascii="Arial" w:cs="Arial" w:eastAsia="Arial" w:hAnsi="Arial"/>
          <w:sz w:val="16"/>
          <w:szCs w:val="16"/>
          <w:color w:val="1A3FD6"/>
        </w:rPr>
      </w:pPr>
    </w:p>
    <w:p>
      <w:pPr>
        <w:ind w:left="200" w:hanging="192"/>
        <w:spacing w:after="0"/>
        <w:tabs>
          <w:tab w:leader="none" w:pos="200" w:val="left"/>
        </w:tabs>
        <w:numPr>
          <w:ilvl w:val="0"/>
          <w:numId w:val="55"/>
        </w:numPr>
        <w:rPr>
          <w:rFonts w:ascii="Arial" w:cs="Arial" w:eastAsia="Arial" w:hAnsi="Arial"/>
          <w:sz w:val="16"/>
          <w:szCs w:val="16"/>
          <w:color w:val="1A3FD6"/>
        </w:rPr>
      </w:pPr>
      <w:r>
        <w:rPr>
          <w:rFonts w:ascii="Arial" w:cs="Arial" w:eastAsia="Arial" w:hAnsi="Arial"/>
          <w:sz w:val="16"/>
          <w:szCs w:val="16"/>
          <w:color w:val="auto"/>
        </w:rPr>
        <w:t>Head of Buy Side Client Segment promoted to expanded role of Global Head of Client Segment Strategy.</w:t>
      </w:r>
    </w:p>
    <w:p>
      <w:pPr>
        <w:spacing w:after="0" w:line="72" w:lineRule="exact"/>
        <w:rPr>
          <w:rFonts w:ascii="Arial" w:cs="Arial" w:eastAsia="Arial" w:hAnsi="Arial"/>
          <w:sz w:val="16"/>
          <w:szCs w:val="16"/>
          <w:color w:val="1A3FD6"/>
        </w:rPr>
      </w:pPr>
    </w:p>
    <w:p>
      <w:pPr>
        <w:ind w:left="200" w:hanging="192"/>
        <w:spacing w:after="0"/>
        <w:tabs>
          <w:tab w:leader="none" w:pos="200" w:val="left"/>
        </w:tabs>
        <w:numPr>
          <w:ilvl w:val="0"/>
          <w:numId w:val="55"/>
        </w:numPr>
        <w:rPr>
          <w:rFonts w:ascii="Arial" w:cs="Arial" w:eastAsia="Arial" w:hAnsi="Arial"/>
          <w:sz w:val="16"/>
          <w:szCs w:val="16"/>
          <w:color w:val="1A3FD6"/>
        </w:rPr>
      </w:pPr>
      <w:r>
        <w:rPr>
          <w:rFonts w:ascii="Arial" w:cs="Arial" w:eastAsia="Arial" w:hAnsi="Arial"/>
          <w:sz w:val="16"/>
          <w:szCs w:val="16"/>
          <w:color w:val="auto"/>
        </w:rPr>
        <w:t>Analytics Managing Director promoted to Head of MSCI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type w:val="continuous"/>
        </w:sectPr>
      </w:pPr>
    </w:p>
    <w:bookmarkStart w:id="52" w:name="page53"/>
    <w:bookmarkEnd w:id="52"/>
    <w:p>
      <w:pPr>
        <w:ind w:left="8420"/>
        <w:spacing w:after="0"/>
        <w:tabs>
          <w:tab w:leader="none" w:pos="109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Corporate Governance | MSCI</w:t>
      </w:r>
      <w:r>
        <w:rPr>
          <w:sz w:val="20"/>
          <w:szCs w:val="20"/>
          <w:color w:val="auto"/>
        </w:rPr>
        <w:tab/>
      </w:r>
      <w:r>
        <w:rPr>
          <w:rFonts w:ascii="Arial" w:cs="Arial" w:eastAsia="Arial" w:hAnsi="Arial"/>
          <w:sz w:val="14"/>
          <w:szCs w:val="14"/>
          <w:b w:val="1"/>
          <w:bCs w:val="1"/>
          <w:color w:val="1A3FD6"/>
        </w:rPr>
        <w:t>51</w:t>
      </w:r>
    </w:p>
    <w:p>
      <w:pPr>
        <w:sectPr>
          <w:pgSz w:w="11900" w:h="16838" w:orient="portrait"/>
          <w:cols w:equalWidth="0" w:num="1">
            <w:col w:w="11220"/>
          </w:cols>
          <w:pgMar w:left="320" w:top="2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Compensation, Talent and Culture Governance</w:t>
      </w:r>
    </w:p>
    <w:p>
      <w:pPr>
        <w:spacing w:after="0" w:line="200"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Compensation Committee operates under a written charter adopted by the Board and is responsible for reviewing and approving annually all compensation awarded to the Company’s Executives, including the CEO and our other NEOs. The Compensation Committee also regularly engages with our CEO, President and COO, Chief Human Resources Officer, Chief Responsibility Officer and other members of senior leadership on a broad range of workforce and talent management topics. The Board regularly receives reports from the Compensation Committee on workforce and talent management topics throughout the year. The Compensation Committee annually reviews the Company’s talent management strategies and programs with respect to senior levels in the organization and key performance metrics, and periodically reviews open senior management roles, future talent needs, the Company’s corporate culture and learning and development programs, as well as the results of the Company’s employee engagement survey. See page 37 of this Proxy Statement for additional information on the Compensation Committee’s responsibilities.</w:t>
      </w:r>
    </w:p>
    <w:p>
      <w:pPr>
        <w:spacing w:after="0" w:line="71"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principal compensation plans and arrangements applicable to our NEOs are described in the “Compensation Matters” section of this Proxy Statement and the executive compensation tables included therein. The Compensation Committee may delegate the administration of these plans and arrangements, as appropriate, including to one or more officers of the Company, subcommittees or to the Chair of the Compensation Committee, in each case, when it deems doing so to be appropriate, in the best interests of the Company and consistent with applicable law and NYSE requirements.</w:t>
      </w:r>
    </w:p>
    <w:p>
      <w:pPr>
        <w:spacing w:after="0" w:line="72"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The Compensation Committee has the authority to retain and terminate any compensation consultant assisting the Compensation Committee in the evaluation of CEO or other executive officer compensation. As further described in the “Compensation Discussion and Analysis” section included herein, during 2024, the Compensation Committee continued to retain Semler Brossy Consulting Group, LLC (“Semler Brossy”) as its own independent compensation consultant to review CEO and other executive officer compensation. All of the services provided by Semler Brossy to the Compensation Committee during 2024 were to provide advice or recommendations on the amount or form of executive officer and director compensation, and Semler Brossy did not provide any additional services to the Company during 2024. The Compensation Committee has considered, among other things, the factors delineated in Rule 10C-1 under the Exchange Act (“Rule 10C-1”), including the NYSE listing rules implementing Rule 10C-1 and Semler Brossy’s conflict of interest policies, and determined that the engagement of Semler Brossy does not raise any conflict of interest or other factors that compromise the independence of its relationship with the Compensation Committee. The Compensation Committee annually considers the performance and independence of Semler Brossy. In developing its views on compensation matters and determining the compensation awarded to our CEO and other executive officers, the human resources department provides data and analyses to aid the Compensation Committee in its decisions. The CEO also makes recommendations on compensation for executive officers other than himself, and the Compensation Committee takes these recommendations into account in reaching its compensation decisions. From time to time, the Compensation Committee may obtain input from external legal counsel, including Davis Polk &amp; Wardwell LLP (“Davis Polk”), on compensation award documentation and other compensation-related practices, which in 2024 was communicated to the Compensation Committee via management, the legal department or the human resources department. In light of this relationship, the Compensation Committee has considered, among other things, the factors delineated in Rule 10C-1, including the NYSE listing rules implementing Rule 10C-1 and Davis Polk’s Principles and Guidelines for Advice to Compensation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738505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type w:val="continuous"/>
        </w:sectPr>
      </w:pPr>
    </w:p>
    <w:bookmarkStart w:id="53" w:name="page54"/>
    <w:bookmarkEnd w:id="53"/>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52</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380" w:right="3020"/>
        <w:spacing w:after="0" w:line="281" w:lineRule="auto"/>
        <w:rPr>
          <w:sz w:val="20"/>
          <w:szCs w:val="20"/>
          <w:color w:val="auto"/>
        </w:rPr>
      </w:pPr>
      <w:r>
        <w:rPr>
          <w:rFonts w:ascii="Arial" w:cs="Arial" w:eastAsia="Arial" w:hAnsi="Arial"/>
          <w:sz w:val="50"/>
          <w:szCs w:val="50"/>
          <w:b w:val="1"/>
          <w:bCs w:val="1"/>
          <w:color w:val="1A3FD6"/>
        </w:rPr>
        <w:t>Director Compensation and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-797560</wp:posOffset>
            </wp:positionV>
            <wp:extent cx="488315" cy="6172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88315" cy="61722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Director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Director 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Robust Director Stock</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2074545" cy="5060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074545" cy="506095"/>
                    </a:xfrm>
                    <a:prstGeom prst="rect">
                      <a:avLst/>
                    </a:prstGeom>
                    <a:noFill/>
                  </pic:spPr>
                </pic:pic>
              </a:graphicData>
            </a:graphic>
          </wp:anchor>
        </w:drawing>
      </w:r>
    </w:p>
    <w:p>
      <w:pPr>
        <w:spacing w:after="0" w:line="38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Anti-Hedging and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Anti-Pledging Policy</w:t>
      </w: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Emphasis on Equity Compensation</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Each non-employee director is required to own a target number of shares of stock of the Company equal to the sum of the “net shares” resulting from the vesting of the RSUs granted to such director for each of the last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36830</wp:posOffset>
            </wp:positionV>
            <wp:extent cx="5057775" cy="5060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057775" cy="506095"/>
                    </a:xfrm>
                    <a:prstGeom prst="rect">
                      <a:avLst/>
                    </a:prstGeom>
                    <a:noFill/>
                  </pic:spPr>
                </pic:pic>
              </a:graphicData>
            </a:graphic>
          </wp:anchor>
        </w:drawing>
      </w:r>
    </w:p>
    <w:p>
      <w:pPr>
        <w:spacing w:after="0" w:line="10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We prohibit all directors and employees, including all NEOs, from hedging or pledging the Company’s common stock or engaging in short sales, purchases or sales of options, puts or calls, as well as derivatives such as swaps, forwards or futures and trading on a short-term basis in the Company’s common stock.</w:t>
      </w:r>
    </w:p>
    <w:p>
      <w:pPr>
        <w:spacing w:after="0" w:line="125" w:lineRule="exact"/>
        <w:rPr>
          <w:sz w:val="20"/>
          <w:szCs w:val="20"/>
          <w:color w:val="auto"/>
        </w:rPr>
      </w:pPr>
    </w:p>
    <w:p>
      <w:pPr>
        <w:ind w:right="520"/>
        <w:spacing w:after="0" w:line="321" w:lineRule="auto"/>
        <w:rPr>
          <w:sz w:val="20"/>
          <w:szCs w:val="20"/>
          <w:color w:val="auto"/>
        </w:rPr>
      </w:pPr>
      <w:r>
        <w:rPr>
          <w:rFonts w:ascii="Arial" w:cs="Arial" w:eastAsia="Arial" w:hAnsi="Arial"/>
          <w:sz w:val="16"/>
          <w:szCs w:val="16"/>
          <w:color w:val="auto"/>
        </w:rPr>
        <w:t>The most significant portion of non-employee director compensation is the annual RSU equity award for service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13335</wp:posOffset>
            </wp:positionV>
            <wp:extent cx="71323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40" w:space="560"/>
            <w:col w:w="7940"/>
          </w:cols>
          <w:pgMar w:left="320" w:top="292" w:right="3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Director Compensation Program</w:t>
      </w:r>
    </w:p>
    <w:p>
      <w:pPr>
        <w:spacing w:after="0" w:line="159"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The Compensation Committee reviews non-employee director compensation typically every two years and recommends changes, when appropriate, to the Board. This review includes consideration of MSCI’s non-employee director stock ownership guidelines. The Compensation Committee is aided in its review by its external independent compensation consultant, Semler Brossy. The Compensation Committee takes into account peer benchmarking and broader general industry practices to establish non-employee director compensation.</w:t>
      </w:r>
    </w:p>
    <w:p>
      <w:pPr>
        <w:spacing w:after="0" w:line="124" w:lineRule="exact"/>
        <w:rPr>
          <w:sz w:val="20"/>
          <w:szCs w:val="20"/>
          <w:color w:val="auto"/>
        </w:rPr>
      </w:pPr>
    </w:p>
    <w:p>
      <w:pPr>
        <w:ind w:left="20"/>
        <w:spacing w:after="0"/>
        <w:tabs>
          <w:tab w:leader="none" w:pos="5920" w:val="left"/>
        </w:tabs>
        <w:rPr>
          <w:sz w:val="20"/>
          <w:szCs w:val="20"/>
          <w:color w:val="auto"/>
        </w:rPr>
      </w:pPr>
      <w:r>
        <w:rPr>
          <w:rFonts w:ascii="Arial" w:cs="Arial" w:eastAsia="Arial" w:hAnsi="Arial"/>
          <w:sz w:val="20"/>
          <w:szCs w:val="20"/>
          <w:color w:val="1A3FD6"/>
        </w:rPr>
        <w:t>Director Fees</w:t>
      </w:r>
      <w:r>
        <w:rPr>
          <w:sz w:val="20"/>
          <w:szCs w:val="20"/>
          <w:color w:val="auto"/>
        </w:rPr>
        <w:tab/>
      </w:r>
      <w:r>
        <w:rPr>
          <w:rFonts w:ascii="Arial" w:cs="Arial" w:eastAsia="Arial" w:hAnsi="Arial"/>
          <w:sz w:val="19"/>
          <w:szCs w:val="19"/>
          <w:color w:val="1A3FD6"/>
        </w:rPr>
        <w:t>Committee Membership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054850" cy="12687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054850"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20" w:hanging="212"/>
        <w:spacing w:after="0"/>
        <w:tabs>
          <w:tab w:leader="none" w:pos="2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Based on the closing share price of MSCI common stock as reported by the NYSE on the trading day prior to grant.</w:t>
      </w:r>
    </w:p>
    <w:p>
      <w:pPr>
        <w:spacing w:after="0" w:line="131"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Directors may elect under the terms of the MSCI Inc. 2016 Non-Employee Directors Compensation Plan (the “Directors Plan”) to receive their cash retainer in the form of shares of our common stock. Under the Directors Plan, non-employee directors are subject to annual limits on their cash and equity compensation, which were approved by our shareholders at our 2016 annual meeting of shareholders, as follows: non-employee directors may not receive in any calendar year (i) options, restricted stock, RSUs and other stock-based awards with a grant date fair value of more than $1,000,000 (as determined in accordance with applicable accounting standards) and (ii) retainers and other cash-based awards in excess of $1,000,000. These caps cannot be increased without the approval of our shareholders. In connection with, and subject to, the approval of the 2025 Plan at the 2025 Annual Meeting, the Directors Plan will be replaced on a go-forward basis by the 2025 Plan. The 2025 Plan revises the annual cap on total compensation for non-employee directors, limiting the value of equity awards and cash compensation to $1,000,000 in the aggregate per director, aligning with market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6100"/>
              <w:spacing w:after="0"/>
              <w:rPr>
                <w:sz w:val="20"/>
                <w:szCs w:val="20"/>
                <w:color w:val="auto"/>
              </w:rPr>
            </w:pPr>
            <w:r>
              <w:rPr>
                <w:rFonts w:ascii="Arial" w:cs="Arial" w:eastAsia="Arial" w:hAnsi="Arial"/>
                <w:sz w:val="14"/>
                <w:szCs w:val="14"/>
                <w:b w:val="1"/>
                <w:bCs w:val="1"/>
                <w:color w:val="1A3FD6"/>
              </w:rPr>
              <w:t>Director Compensation and Stock Ownership Guidelines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53</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0" w:lineRule="exact"/>
        <w:rPr>
          <w:sz w:val="20"/>
          <w:szCs w:val="20"/>
          <w:color w:val="auto"/>
        </w:rPr>
      </w:pPr>
    </w:p>
    <w:p>
      <w:pPr>
        <w:spacing w:after="0" w:line="204"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RSUs granted to non-employee directors are granted on May 1 of each year and vest on the first anniversary of the grant date. Cash retainers and RSU awards are prorated when a director joins the Board and/or a committee at any time other than May 1. RSUs granted on or after May 1 vest on the next May 1 to occur following the grant date. For example, if a director joins the Board on February 1, 2025, his or her prorated RSUs will vest on May 1, 2025. If a director joins the Board on May 31, 2025, his or her prorated RSUs will vest on May 1, 2026.</w:t>
      </w:r>
    </w:p>
    <w:p>
      <w:pPr>
        <w:spacing w:after="0" w:line="64"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RSUs are recognized as an expense in the Company’s financial statements for financial reporting purposes with respect to 2024 in accordance with FASB ASC Subtopic 718-10.</w:t>
      </w:r>
    </w:p>
    <w:p>
      <w:pPr>
        <w:spacing w:after="0" w:line="34"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Holders of these RSUs are entitled to participate in dividend equivalent payments, and such payments may be settled in cash, shares of our common stock, or a combination thereof, to be decided by the Company in its sole discretion. Prior to the conversion to shares, RSU holders do not have any rights as an MSCI shareholder with respect to such RSUs, including the right to vote the underlying shares. The RSUs are generally non-transferable; however, our Board may, in its discretion, specify circumstances under which an award may become immediately transferable and non-forfeitable or under which the award will be forfeited. The RSUs vest and convert to shares immediately upon termination of service for reasons of death, disability or a change in control. If service as a director terminates for any other reason, all unvested RSUs will be cancelled and forfeited unless determined otherwise by the Board or the Compensation Committee.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Non-employee directors are reimbursed for expenses incurred in connection with attending Board meetings and educational sessions.</w:t>
      </w:r>
    </w:p>
    <w:p>
      <w:pPr>
        <w:spacing w:after="0" w:line="107"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Director Deferral Plan</w:t>
      </w:r>
    </w:p>
    <w:p>
      <w:pPr>
        <w:spacing w:after="0" w:line="200"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Under the MSCI Inc. Non-Employee Directors Deferral Plan (the “Deferral Plan”), our directors are permitted to defer receipt of shares of our common stock payable in lieu of cash retainers and/or upon conversion of RSUs granted to the director following the year for which an election has been submitted; provided that an election made by a director within 30 days after the director becomes eligible to receive a cash retainer or RSUs shall apply to any common stock payable in lieu of such a cash retainer and/or upon conversion of such RSUs granted to the director following the date on which the director makes the election. Receipt of shares of our common stock may be deferred until a future date specified by the director, a termination of service from the Board, or the earlier of the two. While the Deferral Plan allows for it, the Board has not yet implemented a process for the deferral of cash payments.</w:t>
      </w:r>
    </w:p>
    <w:p>
      <w:pPr>
        <w:spacing w:after="0" w:line="65"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2024 Non-Employee Director Compensation</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3380" w:type="dxa"/>
            <w:vAlign w:val="bottom"/>
          </w:tcPr>
          <w:p>
            <w:pPr>
              <w:jc w:val="right"/>
              <w:ind w:right="201"/>
              <w:spacing w:after="0"/>
              <w:rPr>
                <w:sz w:val="20"/>
                <w:szCs w:val="20"/>
                <w:color w:val="auto"/>
              </w:rPr>
            </w:pPr>
            <w:r>
              <w:rPr>
                <w:rFonts w:ascii="Arial" w:cs="Arial" w:eastAsia="Arial" w:hAnsi="Arial"/>
                <w:sz w:val="14"/>
                <w:szCs w:val="14"/>
                <w:b w:val="1"/>
                <w:bCs w:val="1"/>
                <w:color w:val="auto"/>
              </w:rPr>
              <w:t>Fees Earned or</w:t>
            </w:r>
          </w:p>
        </w:tc>
        <w:tc>
          <w:tcPr>
            <w:tcW w:w="1340" w:type="dxa"/>
            <w:vAlign w:val="bottom"/>
          </w:tcPr>
          <w:p>
            <w:pPr>
              <w:jc w:val="right"/>
              <w:ind w:right="243"/>
              <w:spacing w:after="0"/>
              <w:rPr>
                <w:sz w:val="20"/>
                <w:szCs w:val="20"/>
                <w:color w:val="auto"/>
              </w:rPr>
            </w:pPr>
            <w:r>
              <w:rPr>
                <w:rFonts w:ascii="Arial" w:cs="Arial" w:eastAsia="Arial" w:hAnsi="Arial"/>
                <w:sz w:val="14"/>
                <w:szCs w:val="14"/>
                <w:b w:val="1"/>
                <w:bCs w:val="1"/>
                <w:color w:val="auto"/>
              </w:rPr>
              <w:t>Stock</w:t>
            </w:r>
          </w:p>
        </w:tc>
        <w:tc>
          <w:tcPr>
            <w:tcW w:w="1740" w:type="dxa"/>
            <w:vAlign w:val="bottom"/>
          </w:tcPr>
          <w:p>
            <w:pPr>
              <w:jc w:val="right"/>
              <w:ind w:right="241"/>
              <w:spacing w:after="0"/>
              <w:rPr>
                <w:sz w:val="20"/>
                <w:szCs w:val="20"/>
                <w:color w:val="auto"/>
              </w:rPr>
            </w:pPr>
            <w:r>
              <w:rPr>
                <w:rFonts w:ascii="Arial" w:cs="Arial" w:eastAsia="Arial" w:hAnsi="Arial"/>
                <w:sz w:val="14"/>
                <w:szCs w:val="14"/>
                <w:b w:val="1"/>
                <w:bCs w:val="1"/>
                <w:color w:val="auto"/>
              </w:rPr>
              <w:t>All Other</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4"/>
        </w:trPr>
        <w:tc>
          <w:tcPr>
            <w:tcW w:w="3820" w:type="dxa"/>
            <w:vAlign w:val="bottom"/>
          </w:tcPr>
          <w:p>
            <w:pPr>
              <w:spacing w:after="0"/>
              <w:rPr>
                <w:sz w:val="14"/>
                <w:szCs w:val="14"/>
                <w:color w:val="auto"/>
              </w:rPr>
            </w:pPr>
          </w:p>
        </w:tc>
        <w:tc>
          <w:tcPr>
            <w:tcW w:w="3380" w:type="dxa"/>
            <w:vAlign w:val="bottom"/>
          </w:tcPr>
          <w:p>
            <w:pPr>
              <w:jc w:val="right"/>
              <w:ind w:right="201"/>
              <w:spacing w:after="0" w:line="164" w:lineRule="exact"/>
              <w:rPr>
                <w:sz w:val="20"/>
                <w:szCs w:val="20"/>
                <w:color w:val="auto"/>
              </w:rPr>
            </w:pPr>
            <w:r>
              <w:rPr>
                <w:rFonts w:ascii="Arial" w:cs="Arial" w:eastAsia="Arial" w:hAnsi="Arial"/>
                <w:sz w:val="14"/>
                <w:szCs w:val="14"/>
                <w:b w:val="1"/>
                <w:bCs w:val="1"/>
                <w:color w:val="auto"/>
              </w:rPr>
              <w:t>Paid in Cash</w:t>
            </w:r>
            <w:r>
              <w:rPr>
                <w:rFonts w:ascii="Arial" w:cs="Arial" w:eastAsia="Arial" w:hAnsi="Arial"/>
                <w:sz w:val="18"/>
                <w:szCs w:val="18"/>
                <w:b w:val="1"/>
                <w:bCs w:val="1"/>
                <w:color w:val="auto"/>
                <w:vertAlign w:val="superscript"/>
              </w:rPr>
              <w:t>(1)(2)</w:t>
            </w:r>
          </w:p>
        </w:tc>
        <w:tc>
          <w:tcPr>
            <w:tcW w:w="1340" w:type="dxa"/>
            <w:vAlign w:val="bottom"/>
          </w:tcPr>
          <w:p>
            <w:pPr>
              <w:jc w:val="right"/>
              <w:ind w:right="243"/>
              <w:spacing w:after="0" w:line="164" w:lineRule="exact"/>
              <w:rPr>
                <w:sz w:val="20"/>
                <w:szCs w:val="20"/>
                <w:color w:val="auto"/>
              </w:rPr>
            </w:pPr>
            <w:r>
              <w:rPr>
                <w:rFonts w:ascii="Arial" w:cs="Arial" w:eastAsia="Arial" w:hAnsi="Arial"/>
                <w:sz w:val="19"/>
                <w:szCs w:val="19"/>
                <w:b w:val="1"/>
                <w:bCs w:val="1"/>
                <w:color w:val="auto"/>
                <w:vertAlign w:val="subscript"/>
              </w:rPr>
              <w:t>Awards</w:t>
            </w:r>
            <w:r>
              <w:rPr>
                <w:rFonts w:ascii="Arial" w:cs="Arial" w:eastAsia="Arial" w:hAnsi="Arial"/>
                <w:sz w:val="8"/>
                <w:szCs w:val="8"/>
                <w:b w:val="1"/>
                <w:bCs w:val="1"/>
                <w:color w:val="auto"/>
              </w:rPr>
              <w:t>(3)(4)</w:t>
            </w:r>
          </w:p>
        </w:tc>
        <w:tc>
          <w:tcPr>
            <w:tcW w:w="1740" w:type="dxa"/>
            <w:vAlign w:val="bottom"/>
          </w:tcPr>
          <w:p>
            <w:pPr>
              <w:jc w:val="right"/>
              <w:ind w:right="241"/>
              <w:spacing w:after="0" w:line="164"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8"/>
                <w:szCs w:val="18"/>
                <w:b w:val="1"/>
                <w:bCs w:val="1"/>
                <w:color w:val="auto"/>
                <w:vertAlign w:val="superscript"/>
              </w:rPr>
              <w:t>(5)</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82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Name</w:t>
            </w:r>
          </w:p>
        </w:tc>
        <w:tc>
          <w:tcPr>
            <w:tcW w:w="3380" w:type="dxa"/>
            <w:vAlign w:val="bottom"/>
            <w:tcBorders>
              <w:bottom w:val="single" w:sz="8" w:color="1A3FD6"/>
            </w:tcBorders>
          </w:tcPr>
          <w:p>
            <w:pPr>
              <w:jc w:val="right"/>
              <w:ind w:right="201"/>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1A3FD6"/>
            </w:tcBorders>
          </w:tcPr>
          <w:p>
            <w:pPr>
              <w:jc w:val="right"/>
              <w:ind w:right="243"/>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1A3FD6"/>
            </w:tcBorders>
          </w:tcPr>
          <w:p>
            <w:pPr>
              <w:jc w:val="right"/>
              <w:ind w:right="241"/>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4"/>
        </w:trPr>
        <w:tc>
          <w:tcPr>
            <w:tcW w:w="3820" w:type="dxa"/>
            <w:vAlign w:val="bottom"/>
          </w:tcPr>
          <w:p>
            <w:pPr>
              <w:ind w:left="20"/>
              <w:spacing w:after="0"/>
              <w:rPr>
                <w:sz w:val="20"/>
                <w:szCs w:val="20"/>
                <w:color w:val="auto"/>
              </w:rPr>
            </w:pPr>
            <w:r>
              <w:rPr>
                <w:rFonts w:ascii="Arial" w:cs="Arial" w:eastAsia="Arial" w:hAnsi="Arial"/>
                <w:sz w:val="16"/>
                <w:szCs w:val="16"/>
                <w:b w:val="1"/>
                <w:bCs w:val="1"/>
                <w:color w:val="1A3FD6"/>
              </w:rPr>
              <w:t>Robert G. Ashe</w:t>
            </w:r>
          </w:p>
        </w:tc>
        <w:tc>
          <w:tcPr>
            <w:tcW w:w="3380" w:type="dxa"/>
            <w:vAlign w:val="bottom"/>
          </w:tcPr>
          <w:p>
            <w:pPr>
              <w:jc w:val="right"/>
              <w:ind w:right="261"/>
              <w:spacing w:after="0"/>
              <w:rPr>
                <w:sz w:val="20"/>
                <w:szCs w:val="20"/>
                <w:color w:val="auto"/>
              </w:rPr>
            </w:pPr>
            <w:r>
              <w:rPr>
                <w:rFonts w:ascii="Arial" w:cs="Arial" w:eastAsia="Arial" w:hAnsi="Arial"/>
                <w:sz w:val="16"/>
                <w:szCs w:val="16"/>
                <w:color w:val="auto"/>
              </w:rPr>
              <w:t>109,926</w:t>
            </w:r>
          </w:p>
        </w:tc>
        <w:tc>
          <w:tcPr>
            <w:tcW w:w="1340" w:type="dxa"/>
            <w:vAlign w:val="bottom"/>
          </w:tcPr>
          <w:p>
            <w:pPr>
              <w:jc w:val="right"/>
              <w:ind w:right="283"/>
              <w:spacing w:after="0"/>
              <w:rPr>
                <w:sz w:val="20"/>
                <w:szCs w:val="20"/>
                <w:color w:val="auto"/>
              </w:rPr>
            </w:pPr>
            <w:r>
              <w:rPr>
                <w:rFonts w:ascii="Arial" w:cs="Arial" w:eastAsia="Arial" w:hAnsi="Arial"/>
                <w:sz w:val="16"/>
                <w:szCs w:val="16"/>
                <w:color w:val="auto"/>
              </w:rPr>
              <w:t>259,911</w:t>
            </w:r>
          </w:p>
        </w:tc>
        <w:tc>
          <w:tcPr>
            <w:tcW w:w="1740" w:type="dxa"/>
            <w:vAlign w:val="bottom"/>
          </w:tcPr>
          <w:p>
            <w:pPr>
              <w:jc w:val="right"/>
              <w:ind w:right="281"/>
              <w:spacing w:after="0"/>
              <w:rPr>
                <w:sz w:val="20"/>
                <w:szCs w:val="20"/>
                <w:color w:val="auto"/>
              </w:rPr>
            </w:pPr>
            <w:r>
              <w:rPr>
                <w:rFonts w:ascii="Arial" w:cs="Arial" w:eastAsia="Arial" w:hAnsi="Arial"/>
                <w:sz w:val="16"/>
                <w:szCs w:val="16"/>
                <w:color w:val="auto"/>
              </w:rPr>
              <w:t>3,458</w:t>
            </w:r>
          </w:p>
        </w:tc>
        <w:tc>
          <w:tcPr>
            <w:tcW w:w="960" w:type="dxa"/>
            <w:vAlign w:val="bottom"/>
          </w:tcPr>
          <w:p>
            <w:pPr>
              <w:jc w:val="right"/>
              <w:spacing w:after="0"/>
              <w:rPr>
                <w:sz w:val="20"/>
                <w:szCs w:val="20"/>
                <w:color w:val="auto"/>
              </w:rPr>
            </w:pPr>
            <w:r>
              <w:rPr>
                <w:rFonts w:ascii="Arial" w:cs="Arial" w:eastAsia="Arial" w:hAnsi="Arial"/>
                <w:sz w:val="16"/>
                <w:szCs w:val="16"/>
                <w:color w:val="auto"/>
              </w:rPr>
              <w:t>373,295</w:t>
            </w:r>
          </w:p>
        </w:tc>
        <w:tc>
          <w:tcPr>
            <w:tcW w:w="0" w:type="dxa"/>
            <w:vAlign w:val="bottom"/>
          </w:tcPr>
          <w:p>
            <w:pPr>
              <w:spacing w:after="0"/>
              <w:rPr>
                <w:sz w:val="1"/>
                <w:szCs w:val="1"/>
                <w:color w:val="auto"/>
              </w:rPr>
            </w:pPr>
          </w:p>
        </w:tc>
      </w:tr>
      <w:tr>
        <w:trPr>
          <w:trHeight w:val="247"/>
        </w:trPr>
        <w:tc>
          <w:tcPr>
            <w:tcW w:w="382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Chirantan “CJ” Desai</w:t>
            </w:r>
            <w:r>
              <w:rPr>
                <w:rFonts w:ascii="Arial" w:cs="Arial" w:eastAsia="Arial" w:hAnsi="Arial"/>
                <w:sz w:val="21"/>
                <w:szCs w:val="21"/>
                <w:b w:val="1"/>
                <w:bCs w:val="1"/>
                <w:color w:val="1A3FD6"/>
                <w:vertAlign w:val="superscript"/>
              </w:rPr>
              <w:t>(6)</w:t>
            </w:r>
          </w:p>
        </w:tc>
        <w:tc>
          <w:tcPr>
            <w:tcW w:w="3380" w:type="dxa"/>
            <w:vAlign w:val="bottom"/>
            <w:shd w:val="clear" w:color="auto" w:fill="EDF0FC"/>
          </w:tcPr>
          <w:p>
            <w:pPr>
              <w:jc w:val="right"/>
              <w:ind w:right="241"/>
              <w:spacing w:after="0"/>
              <w:rPr>
                <w:sz w:val="20"/>
                <w:szCs w:val="20"/>
                <w:color w:val="auto"/>
              </w:rPr>
            </w:pPr>
            <w:r>
              <w:rPr>
                <w:rFonts w:ascii="Arial" w:cs="Arial" w:eastAsia="Arial" w:hAnsi="Arial"/>
                <w:sz w:val="16"/>
                <w:szCs w:val="16"/>
                <w:color w:val="auto"/>
              </w:rPr>
              <w:t>112,541</w:t>
            </w:r>
          </w:p>
        </w:tc>
        <w:tc>
          <w:tcPr>
            <w:tcW w:w="1340" w:type="dxa"/>
            <w:vAlign w:val="bottom"/>
            <w:shd w:val="clear" w:color="auto" w:fill="EDF0FC"/>
          </w:tcPr>
          <w:p>
            <w:pPr>
              <w:jc w:val="right"/>
              <w:ind w:right="263"/>
              <w:spacing w:after="0"/>
              <w:rPr>
                <w:sz w:val="20"/>
                <w:szCs w:val="20"/>
                <w:color w:val="auto"/>
              </w:rPr>
            </w:pPr>
            <w:r>
              <w:rPr>
                <w:rFonts w:ascii="Arial" w:cs="Arial" w:eastAsia="Arial" w:hAnsi="Arial"/>
                <w:sz w:val="16"/>
                <w:szCs w:val="16"/>
                <w:color w:val="auto"/>
              </w:rPr>
              <w:t>234,975</w:t>
            </w:r>
          </w:p>
        </w:tc>
        <w:tc>
          <w:tcPr>
            <w:tcW w:w="1740" w:type="dxa"/>
            <w:vAlign w:val="bottom"/>
            <w:shd w:val="clear" w:color="auto" w:fill="EDF0FC"/>
          </w:tcPr>
          <w:p>
            <w:pPr>
              <w:jc w:val="right"/>
              <w:ind w:right="261"/>
              <w:spacing w:after="0"/>
              <w:rPr>
                <w:sz w:val="20"/>
                <w:szCs w:val="20"/>
                <w:color w:val="auto"/>
              </w:rPr>
            </w:pPr>
            <w:r>
              <w:rPr>
                <w:rFonts w:ascii="Arial" w:cs="Arial" w:eastAsia="Arial" w:hAnsi="Arial"/>
                <w:sz w:val="16"/>
                <w:szCs w:val="16"/>
                <w:color w:val="auto"/>
              </w:rPr>
              <w:t>720</w:t>
            </w:r>
          </w:p>
        </w:tc>
        <w:tc>
          <w:tcPr>
            <w:tcW w:w="960" w:type="dxa"/>
            <w:vAlign w:val="bottom"/>
            <w:shd w:val="clear" w:color="auto" w:fill="EDF0FC"/>
          </w:tcPr>
          <w:p>
            <w:pPr>
              <w:jc w:val="right"/>
              <w:spacing w:after="0"/>
              <w:rPr>
                <w:sz w:val="20"/>
                <w:szCs w:val="20"/>
                <w:color w:val="auto"/>
              </w:rPr>
            </w:pPr>
            <w:r>
              <w:rPr>
                <w:rFonts w:ascii="Arial" w:cs="Arial" w:eastAsia="Arial" w:hAnsi="Arial"/>
                <w:sz w:val="16"/>
                <w:szCs w:val="16"/>
                <w:color w:val="auto"/>
              </w:rPr>
              <w:t>348,236</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Arial" w:cs="Arial" w:eastAsia="Arial" w:hAnsi="Arial"/>
                <w:sz w:val="16"/>
                <w:szCs w:val="16"/>
                <w:b w:val="1"/>
                <w:bCs w:val="1"/>
                <w:color w:val="1A3FD6"/>
              </w:rPr>
              <w:t>Wayne Edmunds</w:t>
            </w:r>
            <w:r>
              <w:rPr>
                <w:rFonts w:ascii="Arial" w:cs="Arial" w:eastAsia="Arial" w:hAnsi="Arial"/>
                <w:sz w:val="21"/>
                <w:szCs w:val="21"/>
                <w:b w:val="1"/>
                <w:bCs w:val="1"/>
                <w:color w:val="1A3FD6"/>
                <w:vertAlign w:val="superscript"/>
              </w:rPr>
              <w:t>(7)</w:t>
            </w:r>
          </w:p>
        </w:tc>
        <w:tc>
          <w:tcPr>
            <w:tcW w:w="3380" w:type="dxa"/>
            <w:vAlign w:val="bottom"/>
          </w:tcPr>
          <w:p>
            <w:pPr>
              <w:jc w:val="right"/>
              <w:ind w:right="261"/>
              <w:spacing w:after="0"/>
              <w:rPr>
                <w:sz w:val="20"/>
                <w:szCs w:val="20"/>
                <w:color w:val="auto"/>
              </w:rPr>
            </w:pPr>
            <w:r>
              <w:rPr>
                <w:rFonts w:ascii="Arial" w:cs="Arial" w:eastAsia="Arial" w:hAnsi="Arial"/>
                <w:sz w:val="16"/>
                <w:szCs w:val="16"/>
                <w:color w:val="auto"/>
              </w:rPr>
              <w:t>110,000</w:t>
            </w:r>
          </w:p>
        </w:tc>
        <w:tc>
          <w:tcPr>
            <w:tcW w:w="1340" w:type="dxa"/>
            <w:vAlign w:val="bottom"/>
          </w:tcPr>
          <w:p>
            <w:pPr>
              <w:jc w:val="right"/>
              <w:ind w:right="283"/>
              <w:spacing w:after="0"/>
              <w:rPr>
                <w:sz w:val="20"/>
                <w:szCs w:val="20"/>
                <w:color w:val="auto"/>
              </w:rPr>
            </w:pPr>
            <w:r>
              <w:rPr>
                <w:rFonts w:ascii="Arial" w:cs="Arial" w:eastAsia="Arial" w:hAnsi="Arial"/>
                <w:sz w:val="16"/>
                <w:szCs w:val="16"/>
                <w:color w:val="auto"/>
              </w:rPr>
              <w:t>209,606</w:t>
            </w:r>
          </w:p>
        </w:tc>
        <w:tc>
          <w:tcPr>
            <w:tcW w:w="1740" w:type="dxa"/>
            <w:vAlign w:val="bottom"/>
          </w:tcPr>
          <w:p>
            <w:pPr>
              <w:jc w:val="right"/>
              <w:ind w:right="281"/>
              <w:spacing w:after="0"/>
              <w:rPr>
                <w:sz w:val="20"/>
                <w:szCs w:val="20"/>
                <w:color w:val="auto"/>
              </w:rPr>
            </w:pPr>
            <w:r>
              <w:rPr>
                <w:rFonts w:ascii="Arial" w:cs="Arial" w:eastAsia="Arial" w:hAnsi="Arial"/>
                <w:sz w:val="16"/>
                <w:szCs w:val="16"/>
                <w:color w:val="auto"/>
              </w:rPr>
              <w:t>2,773</w:t>
            </w:r>
          </w:p>
        </w:tc>
        <w:tc>
          <w:tcPr>
            <w:tcW w:w="960" w:type="dxa"/>
            <w:vAlign w:val="bottom"/>
          </w:tcPr>
          <w:p>
            <w:pPr>
              <w:jc w:val="right"/>
              <w:spacing w:after="0"/>
              <w:rPr>
                <w:sz w:val="20"/>
                <w:szCs w:val="20"/>
                <w:color w:val="auto"/>
              </w:rPr>
            </w:pPr>
            <w:r>
              <w:rPr>
                <w:rFonts w:ascii="Arial" w:cs="Arial" w:eastAsia="Arial" w:hAnsi="Arial"/>
                <w:sz w:val="16"/>
                <w:szCs w:val="16"/>
                <w:color w:val="auto"/>
              </w:rPr>
              <w:t>322,379</w:t>
            </w:r>
          </w:p>
        </w:tc>
        <w:tc>
          <w:tcPr>
            <w:tcW w:w="0" w:type="dxa"/>
            <w:vAlign w:val="bottom"/>
          </w:tcPr>
          <w:p>
            <w:pPr>
              <w:spacing w:after="0"/>
              <w:rPr>
                <w:sz w:val="1"/>
                <w:szCs w:val="1"/>
                <w:color w:val="auto"/>
              </w:rPr>
            </w:pPr>
          </w:p>
        </w:tc>
      </w:tr>
      <w:tr>
        <w:trPr>
          <w:trHeight w:val="243"/>
        </w:trPr>
        <w:tc>
          <w:tcPr>
            <w:tcW w:w="382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Catherine R. Kinney</w:t>
            </w:r>
            <w:r>
              <w:rPr>
                <w:rFonts w:ascii="Arial" w:cs="Arial" w:eastAsia="Arial" w:hAnsi="Arial"/>
                <w:sz w:val="21"/>
                <w:szCs w:val="21"/>
                <w:b w:val="1"/>
                <w:bCs w:val="1"/>
                <w:color w:val="1A3FD6"/>
                <w:vertAlign w:val="superscript"/>
              </w:rPr>
              <w:t>(8)</w:t>
            </w:r>
          </w:p>
        </w:tc>
        <w:tc>
          <w:tcPr>
            <w:tcW w:w="3380" w:type="dxa"/>
            <w:vAlign w:val="bottom"/>
            <w:shd w:val="clear" w:color="auto" w:fill="EDF0FC"/>
          </w:tcPr>
          <w:p>
            <w:pPr>
              <w:jc w:val="right"/>
              <w:ind w:right="261"/>
              <w:spacing w:after="0"/>
              <w:rPr>
                <w:sz w:val="20"/>
                <w:szCs w:val="20"/>
                <w:color w:val="auto"/>
              </w:rPr>
            </w:pPr>
            <w:r>
              <w:rPr>
                <w:rFonts w:ascii="Arial" w:cs="Arial" w:eastAsia="Arial" w:hAnsi="Arial"/>
                <w:sz w:val="16"/>
                <w:szCs w:val="16"/>
                <w:color w:val="auto"/>
              </w:rPr>
              <w:t>—</w:t>
            </w:r>
          </w:p>
        </w:tc>
        <w:tc>
          <w:tcPr>
            <w:tcW w:w="1340" w:type="dxa"/>
            <w:vAlign w:val="bottom"/>
            <w:shd w:val="clear" w:color="auto" w:fill="EDF0FC"/>
          </w:tcPr>
          <w:p>
            <w:pPr>
              <w:jc w:val="right"/>
              <w:ind w:right="283"/>
              <w:spacing w:after="0"/>
              <w:rPr>
                <w:sz w:val="20"/>
                <w:szCs w:val="20"/>
                <w:color w:val="auto"/>
              </w:rPr>
            </w:pPr>
            <w:r>
              <w:rPr>
                <w:rFonts w:ascii="Arial" w:cs="Arial" w:eastAsia="Arial" w:hAnsi="Arial"/>
                <w:sz w:val="16"/>
                <w:szCs w:val="16"/>
                <w:color w:val="auto"/>
              </w:rPr>
              <w:t>—</w:t>
            </w:r>
          </w:p>
        </w:tc>
        <w:tc>
          <w:tcPr>
            <w:tcW w:w="1740" w:type="dxa"/>
            <w:vAlign w:val="bottom"/>
            <w:shd w:val="clear" w:color="auto" w:fill="EDF0FC"/>
          </w:tcPr>
          <w:p>
            <w:pPr>
              <w:jc w:val="right"/>
              <w:ind w:right="281"/>
              <w:spacing w:after="0"/>
              <w:rPr>
                <w:sz w:val="20"/>
                <w:szCs w:val="20"/>
                <w:color w:val="auto"/>
              </w:rPr>
            </w:pPr>
            <w:r>
              <w:rPr>
                <w:rFonts w:ascii="Arial" w:cs="Arial" w:eastAsia="Arial" w:hAnsi="Arial"/>
                <w:sz w:val="16"/>
                <w:szCs w:val="16"/>
                <w:color w:val="auto"/>
              </w:rPr>
              <w:t>67,435</w:t>
            </w:r>
          </w:p>
        </w:tc>
        <w:tc>
          <w:tcPr>
            <w:tcW w:w="960" w:type="dxa"/>
            <w:vAlign w:val="bottom"/>
            <w:shd w:val="clear" w:color="auto" w:fill="EDF0FC"/>
          </w:tcPr>
          <w:p>
            <w:pPr>
              <w:jc w:val="right"/>
              <w:spacing w:after="0"/>
              <w:rPr>
                <w:sz w:val="20"/>
                <w:szCs w:val="20"/>
                <w:color w:val="auto"/>
              </w:rPr>
            </w:pPr>
            <w:r>
              <w:rPr>
                <w:rFonts w:ascii="Arial" w:cs="Arial" w:eastAsia="Arial" w:hAnsi="Arial"/>
                <w:sz w:val="16"/>
                <w:szCs w:val="16"/>
                <w:color w:val="auto"/>
              </w:rPr>
              <w:t>67,435</w:t>
            </w:r>
          </w:p>
        </w:tc>
        <w:tc>
          <w:tcPr>
            <w:tcW w:w="0" w:type="dxa"/>
            <w:vAlign w:val="bottom"/>
          </w:tcPr>
          <w:p>
            <w:pPr>
              <w:spacing w:after="0"/>
              <w:rPr>
                <w:sz w:val="1"/>
                <w:szCs w:val="1"/>
                <w:color w:val="auto"/>
              </w:rPr>
            </w:pPr>
          </w:p>
        </w:tc>
      </w:tr>
      <w:tr>
        <w:trPr>
          <w:trHeight w:val="239"/>
        </w:trPr>
        <w:tc>
          <w:tcPr>
            <w:tcW w:w="3820" w:type="dxa"/>
            <w:vAlign w:val="bottom"/>
          </w:tcPr>
          <w:p>
            <w:pPr>
              <w:ind w:left="20"/>
              <w:spacing w:after="0"/>
              <w:rPr>
                <w:sz w:val="20"/>
                <w:szCs w:val="20"/>
                <w:color w:val="auto"/>
              </w:rPr>
            </w:pPr>
            <w:r>
              <w:rPr>
                <w:rFonts w:ascii="Arial" w:cs="Arial" w:eastAsia="Arial" w:hAnsi="Arial"/>
                <w:sz w:val="16"/>
                <w:szCs w:val="16"/>
                <w:b w:val="1"/>
                <w:bCs w:val="1"/>
                <w:color w:val="1A3FD6"/>
              </w:rPr>
              <w:t>Robin Matlock</w:t>
            </w:r>
          </w:p>
        </w:tc>
        <w:tc>
          <w:tcPr>
            <w:tcW w:w="3380" w:type="dxa"/>
            <w:vAlign w:val="bottom"/>
          </w:tcPr>
          <w:p>
            <w:pPr>
              <w:jc w:val="right"/>
              <w:ind w:right="261"/>
              <w:spacing w:after="0"/>
              <w:rPr>
                <w:sz w:val="20"/>
                <w:szCs w:val="20"/>
                <w:color w:val="auto"/>
              </w:rPr>
            </w:pPr>
            <w:r>
              <w:rPr>
                <w:rFonts w:ascii="Arial" w:cs="Arial" w:eastAsia="Arial" w:hAnsi="Arial"/>
                <w:sz w:val="16"/>
                <w:szCs w:val="16"/>
                <w:color w:val="auto"/>
              </w:rPr>
              <w:t>110,000</w:t>
            </w:r>
          </w:p>
        </w:tc>
        <w:tc>
          <w:tcPr>
            <w:tcW w:w="1340" w:type="dxa"/>
            <w:vAlign w:val="bottom"/>
          </w:tcPr>
          <w:p>
            <w:pPr>
              <w:jc w:val="right"/>
              <w:ind w:right="283"/>
              <w:spacing w:after="0"/>
              <w:rPr>
                <w:sz w:val="20"/>
                <w:szCs w:val="20"/>
                <w:color w:val="auto"/>
              </w:rPr>
            </w:pPr>
            <w:r>
              <w:rPr>
                <w:rFonts w:ascii="Arial" w:cs="Arial" w:eastAsia="Arial" w:hAnsi="Arial"/>
                <w:sz w:val="16"/>
                <w:szCs w:val="16"/>
                <w:color w:val="auto"/>
              </w:rPr>
              <w:t>209,606</w:t>
            </w:r>
          </w:p>
        </w:tc>
        <w:tc>
          <w:tcPr>
            <w:tcW w:w="1740" w:type="dxa"/>
            <w:vAlign w:val="bottom"/>
          </w:tcPr>
          <w:p>
            <w:pPr>
              <w:jc w:val="right"/>
              <w:ind w:right="281"/>
              <w:spacing w:after="0"/>
              <w:rPr>
                <w:sz w:val="20"/>
                <w:szCs w:val="20"/>
                <w:color w:val="auto"/>
              </w:rPr>
            </w:pPr>
            <w:r>
              <w:rPr>
                <w:rFonts w:ascii="Arial" w:cs="Arial" w:eastAsia="Arial" w:hAnsi="Arial"/>
                <w:sz w:val="16"/>
                <w:szCs w:val="16"/>
                <w:color w:val="auto"/>
              </w:rPr>
              <w:t>7,118</w:t>
            </w:r>
          </w:p>
        </w:tc>
        <w:tc>
          <w:tcPr>
            <w:tcW w:w="960" w:type="dxa"/>
            <w:vAlign w:val="bottom"/>
          </w:tcPr>
          <w:p>
            <w:pPr>
              <w:jc w:val="right"/>
              <w:spacing w:after="0"/>
              <w:rPr>
                <w:sz w:val="20"/>
                <w:szCs w:val="20"/>
                <w:color w:val="auto"/>
              </w:rPr>
            </w:pPr>
            <w:r>
              <w:rPr>
                <w:rFonts w:ascii="Arial" w:cs="Arial" w:eastAsia="Arial" w:hAnsi="Arial"/>
                <w:sz w:val="16"/>
                <w:szCs w:val="16"/>
                <w:color w:val="auto"/>
              </w:rPr>
              <w:t>326,724</w:t>
            </w:r>
          </w:p>
        </w:tc>
        <w:tc>
          <w:tcPr>
            <w:tcW w:w="0" w:type="dxa"/>
            <w:vAlign w:val="bottom"/>
          </w:tcPr>
          <w:p>
            <w:pPr>
              <w:spacing w:after="0"/>
              <w:rPr>
                <w:sz w:val="1"/>
                <w:szCs w:val="1"/>
                <w:color w:val="auto"/>
              </w:rPr>
            </w:pPr>
          </w:p>
        </w:tc>
      </w:tr>
      <w:tr>
        <w:trPr>
          <w:trHeight w:val="247"/>
        </w:trPr>
        <w:tc>
          <w:tcPr>
            <w:tcW w:w="382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Jacques P. Perold</w:t>
            </w:r>
          </w:p>
        </w:tc>
        <w:tc>
          <w:tcPr>
            <w:tcW w:w="3380" w:type="dxa"/>
            <w:vAlign w:val="bottom"/>
            <w:shd w:val="clear" w:color="auto" w:fill="EDF0FC"/>
          </w:tcPr>
          <w:p>
            <w:pPr>
              <w:jc w:val="right"/>
              <w:ind w:right="261"/>
              <w:spacing w:after="0"/>
              <w:rPr>
                <w:sz w:val="20"/>
                <w:szCs w:val="20"/>
                <w:color w:val="auto"/>
              </w:rPr>
            </w:pPr>
            <w:r>
              <w:rPr>
                <w:rFonts w:ascii="Arial" w:cs="Arial" w:eastAsia="Arial" w:hAnsi="Arial"/>
                <w:sz w:val="16"/>
                <w:szCs w:val="16"/>
                <w:color w:val="auto"/>
              </w:rPr>
              <w:t>125,000</w:t>
            </w:r>
          </w:p>
        </w:tc>
        <w:tc>
          <w:tcPr>
            <w:tcW w:w="1340" w:type="dxa"/>
            <w:vAlign w:val="bottom"/>
            <w:shd w:val="clear" w:color="auto" w:fill="EDF0FC"/>
          </w:tcPr>
          <w:p>
            <w:pPr>
              <w:jc w:val="right"/>
              <w:ind w:right="283"/>
              <w:spacing w:after="0"/>
              <w:rPr>
                <w:sz w:val="20"/>
                <w:szCs w:val="20"/>
                <w:color w:val="auto"/>
              </w:rPr>
            </w:pPr>
            <w:r>
              <w:rPr>
                <w:rFonts w:ascii="Arial" w:cs="Arial" w:eastAsia="Arial" w:hAnsi="Arial"/>
                <w:sz w:val="16"/>
                <w:szCs w:val="16"/>
                <w:color w:val="auto"/>
              </w:rPr>
              <w:t>209,606</w:t>
            </w:r>
          </w:p>
        </w:tc>
        <w:tc>
          <w:tcPr>
            <w:tcW w:w="1740" w:type="dxa"/>
            <w:vAlign w:val="bottom"/>
            <w:shd w:val="clear" w:color="auto" w:fill="EDF0FC"/>
          </w:tcPr>
          <w:p>
            <w:pPr>
              <w:jc w:val="right"/>
              <w:ind w:right="281"/>
              <w:spacing w:after="0"/>
              <w:rPr>
                <w:sz w:val="20"/>
                <w:szCs w:val="20"/>
                <w:color w:val="auto"/>
              </w:rPr>
            </w:pPr>
            <w:r>
              <w:rPr>
                <w:rFonts w:ascii="Arial" w:cs="Arial" w:eastAsia="Arial" w:hAnsi="Arial"/>
                <w:sz w:val="16"/>
                <w:szCs w:val="16"/>
                <w:color w:val="auto"/>
              </w:rPr>
              <w:t>2,773</w:t>
            </w:r>
          </w:p>
        </w:tc>
        <w:tc>
          <w:tcPr>
            <w:tcW w:w="960" w:type="dxa"/>
            <w:vAlign w:val="bottom"/>
            <w:shd w:val="clear" w:color="auto" w:fill="EDF0FC"/>
          </w:tcPr>
          <w:p>
            <w:pPr>
              <w:jc w:val="right"/>
              <w:spacing w:after="0"/>
              <w:rPr>
                <w:sz w:val="20"/>
                <w:szCs w:val="20"/>
                <w:color w:val="auto"/>
              </w:rPr>
            </w:pPr>
            <w:r>
              <w:rPr>
                <w:rFonts w:ascii="Arial" w:cs="Arial" w:eastAsia="Arial" w:hAnsi="Arial"/>
                <w:sz w:val="16"/>
                <w:szCs w:val="16"/>
                <w:color w:val="auto"/>
              </w:rPr>
              <w:t>337,379</w:t>
            </w:r>
          </w:p>
        </w:tc>
        <w:tc>
          <w:tcPr>
            <w:tcW w:w="0" w:type="dxa"/>
            <w:vAlign w:val="bottom"/>
          </w:tcPr>
          <w:p>
            <w:pPr>
              <w:spacing w:after="0"/>
              <w:rPr>
                <w:sz w:val="1"/>
                <w:szCs w:val="1"/>
                <w:color w:val="auto"/>
              </w:rPr>
            </w:pPr>
          </w:p>
        </w:tc>
      </w:tr>
      <w:tr>
        <w:trPr>
          <w:trHeight w:val="239"/>
        </w:trPr>
        <w:tc>
          <w:tcPr>
            <w:tcW w:w="3820" w:type="dxa"/>
            <w:vAlign w:val="bottom"/>
          </w:tcPr>
          <w:p>
            <w:pPr>
              <w:ind w:left="20"/>
              <w:spacing w:after="0"/>
              <w:rPr>
                <w:sz w:val="20"/>
                <w:szCs w:val="20"/>
                <w:color w:val="auto"/>
              </w:rPr>
            </w:pPr>
            <w:r>
              <w:rPr>
                <w:rFonts w:ascii="Arial" w:cs="Arial" w:eastAsia="Arial" w:hAnsi="Arial"/>
                <w:sz w:val="16"/>
                <w:szCs w:val="16"/>
                <w:b w:val="1"/>
                <w:bCs w:val="1"/>
                <w:color w:val="1A3FD6"/>
              </w:rPr>
              <w:t>Sandy C. Rattray</w:t>
            </w:r>
          </w:p>
        </w:tc>
        <w:tc>
          <w:tcPr>
            <w:tcW w:w="3380" w:type="dxa"/>
            <w:vAlign w:val="bottom"/>
          </w:tcPr>
          <w:p>
            <w:pPr>
              <w:jc w:val="right"/>
              <w:ind w:right="261"/>
              <w:spacing w:after="0"/>
              <w:rPr>
                <w:sz w:val="20"/>
                <w:szCs w:val="20"/>
                <w:color w:val="auto"/>
              </w:rPr>
            </w:pPr>
            <w:r>
              <w:rPr>
                <w:rFonts w:ascii="Arial" w:cs="Arial" w:eastAsia="Arial" w:hAnsi="Arial"/>
                <w:sz w:val="16"/>
                <w:szCs w:val="16"/>
                <w:color w:val="auto"/>
              </w:rPr>
              <w:t>125,000</w:t>
            </w:r>
          </w:p>
        </w:tc>
        <w:tc>
          <w:tcPr>
            <w:tcW w:w="1340" w:type="dxa"/>
            <w:vAlign w:val="bottom"/>
          </w:tcPr>
          <w:p>
            <w:pPr>
              <w:jc w:val="right"/>
              <w:ind w:right="283"/>
              <w:spacing w:after="0"/>
              <w:rPr>
                <w:sz w:val="20"/>
                <w:szCs w:val="20"/>
                <w:color w:val="auto"/>
              </w:rPr>
            </w:pPr>
            <w:r>
              <w:rPr>
                <w:rFonts w:ascii="Arial" w:cs="Arial" w:eastAsia="Arial" w:hAnsi="Arial"/>
                <w:sz w:val="16"/>
                <w:szCs w:val="16"/>
                <w:color w:val="auto"/>
              </w:rPr>
              <w:t>209,606</w:t>
            </w:r>
          </w:p>
        </w:tc>
        <w:tc>
          <w:tcPr>
            <w:tcW w:w="1740" w:type="dxa"/>
            <w:vAlign w:val="bottom"/>
          </w:tcPr>
          <w:p>
            <w:pPr>
              <w:jc w:val="right"/>
              <w:ind w:right="281"/>
              <w:spacing w:after="0"/>
              <w:rPr>
                <w:sz w:val="20"/>
                <w:szCs w:val="20"/>
                <w:color w:val="auto"/>
              </w:rPr>
            </w:pPr>
            <w:r>
              <w:rPr>
                <w:rFonts w:ascii="Arial" w:cs="Arial" w:eastAsia="Arial" w:hAnsi="Arial"/>
                <w:sz w:val="16"/>
                <w:szCs w:val="16"/>
                <w:color w:val="auto"/>
              </w:rPr>
              <w:t>2,773</w:t>
            </w:r>
          </w:p>
        </w:tc>
        <w:tc>
          <w:tcPr>
            <w:tcW w:w="960" w:type="dxa"/>
            <w:vAlign w:val="bottom"/>
          </w:tcPr>
          <w:p>
            <w:pPr>
              <w:jc w:val="right"/>
              <w:spacing w:after="0"/>
              <w:rPr>
                <w:sz w:val="20"/>
                <w:szCs w:val="20"/>
                <w:color w:val="auto"/>
              </w:rPr>
            </w:pPr>
            <w:r>
              <w:rPr>
                <w:rFonts w:ascii="Arial" w:cs="Arial" w:eastAsia="Arial" w:hAnsi="Arial"/>
                <w:sz w:val="16"/>
                <w:szCs w:val="16"/>
                <w:color w:val="auto"/>
              </w:rPr>
              <w:t>337,379</w:t>
            </w:r>
          </w:p>
        </w:tc>
        <w:tc>
          <w:tcPr>
            <w:tcW w:w="0" w:type="dxa"/>
            <w:vAlign w:val="bottom"/>
          </w:tcPr>
          <w:p>
            <w:pPr>
              <w:spacing w:after="0"/>
              <w:rPr>
                <w:sz w:val="1"/>
                <w:szCs w:val="1"/>
                <w:color w:val="auto"/>
              </w:rPr>
            </w:pPr>
          </w:p>
        </w:tc>
      </w:tr>
      <w:tr>
        <w:trPr>
          <w:trHeight w:val="247"/>
        </w:trPr>
        <w:tc>
          <w:tcPr>
            <w:tcW w:w="382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Linda H. Riefler</w:t>
            </w:r>
          </w:p>
        </w:tc>
        <w:tc>
          <w:tcPr>
            <w:tcW w:w="3380" w:type="dxa"/>
            <w:vAlign w:val="bottom"/>
            <w:shd w:val="clear" w:color="auto" w:fill="EDF0FC"/>
          </w:tcPr>
          <w:p>
            <w:pPr>
              <w:jc w:val="right"/>
              <w:ind w:right="261"/>
              <w:spacing w:after="0"/>
              <w:rPr>
                <w:sz w:val="20"/>
                <w:szCs w:val="20"/>
                <w:color w:val="auto"/>
              </w:rPr>
            </w:pPr>
            <w:r>
              <w:rPr>
                <w:rFonts w:ascii="Arial" w:cs="Arial" w:eastAsia="Arial" w:hAnsi="Arial"/>
                <w:sz w:val="16"/>
                <w:szCs w:val="16"/>
                <w:color w:val="auto"/>
              </w:rPr>
              <w:t>125,000</w:t>
            </w:r>
          </w:p>
        </w:tc>
        <w:tc>
          <w:tcPr>
            <w:tcW w:w="1340" w:type="dxa"/>
            <w:vAlign w:val="bottom"/>
            <w:shd w:val="clear" w:color="auto" w:fill="EDF0FC"/>
          </w:tcPr>
          <w:p>
            <w:pPr>
              <w:jc w:val="right"/>
              <w:ind w:right="283"/>
              <w:spacing w:after="0"/>
              <w:rPr>
                <w:sz w:val="20"/>
                <w:szCs w:val="20"/>
                <w:color w:val="auto"/>
              </w:rPr>
            </w:pPr>
            <w:r>
              <w:rPr>
                <w:rFonts w:ascii="Arial" w:cs="Arial" w:eastAsia="Arial" w:hAnsi="Arial"/>
                <w:sz w:val="16"/>
                <w:szCs w:val="16"/>
                <w:color w:val="auto"/>
              </w:rPr>
              <w:t>209,606</w:t>
            </w:r>
          </w:p>
        </w:tc>
        <w:tc>
          <w:tcPr>
            <w:tcW w:w="1740" w:type="dxa"/>
            <w:vAlign w:val="bottom"/>
            <w:shd w:val="clear" w:color="auto" w:fill="EDF0FC"/>
          </w:tcPr>
          <w:p>
            <w:pPr>
              <w:jc w:val="right"/>
              <w:ind w:right="281"/>
              <w:spacing w:after="0"/>
              <w:rPr>
                <w:sz w:val="20"/>
                <w:szCs w:val="20"/>
                <w:color w:val="auto"/>
              </w:rPr>
            </w:pPr>
            <w:r>
              <w:rPr>
                <w:rFonts w:ascii="Arial" w:cs="Arial" w:eastAsia="Arial" w:hAnsi="Arial"/>
                <w:sz w:val="16"/>
                <w:szCs w:val="16"/>
                <w:color w:val="auto"/>
              </w:rPr>
              <w:t>9,694</w:t>
            </w:r>
          </w:p>
        </w:tc>
        <w:tc>
          <w:tcPr>
            <w:tcW w:w="960" w:type="dxa"/>
            <w:vAlign w:val="bottom"/>
            <w:shd w:val="clear" w:color="auto" w:fill="EDF0FC"/>
          </w:tcPr>
          <w:p>
            <w:pPr>
              <w:jc w:val="right"/>
              <w:spacing w:after="0"/>
              <w:rPr>
                <w:sz w:val="20"/>
                <w:szCs w:val="20"/>
                <w:color w:val="auto"/>
              </w:rPr>
            </w:pPr>
            <w:r>
              <w:rPr>
                <w:rFonts w:ascii="Arial" w:cs="Arial" w:eastAsia="Arial" w:hAnsi="Arial"/>
                <w:sz w:val="16"/>
                <w:szCs w:val="16"/>
                <w:color w:val="auto"/>
              </w:rPr>
              <w:t>344,300</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Arial" w:cs="Arial" w:eastAsia="Arial" w:hAnsi="Arial"/>
                <w:sz w:val="16"/>
                <w:szCs w:val="16"/>
                <w:b w:val="1"/>
                <w:bCs w:val="1"/>
                <w:color w:val="1A3FD6"/>
              </w:rPr>
              <w:t>Michelle Seitz</w:t>
            </w:r>
            <w:r>
              <w:rPr>
                <w:rFonts w:ascii="Arial" w:cs="Arial" w:eastAsia="Arial" w:hAnsi="Arial"/>
                <w:sz w:val="21"/>
                <w:szCs w:val="21"/>
                <w:b w:val="1"/>
                <w:bCs w:val="1"/>
                <w:color w:val="1A3FD6"/>
                <w:vertAlign w:val="superscript"/>
              </w:rPr>
              <w:t>(9)</w:t>
            </w:r>
          </w:p>
        </w:tc>
        <w:tc>
          <w:tcPr>
            <w:tcW w:w="3380" w:type="dxa"/>
            <w:vAlign w:val="bottom"/>
          </w:tcPr>
          <w:p>
            <w:pPr>
              <w:jc w:val="right"/>
              <w:ind w:right="261"/>
              <w:spacing w:after="0"/>
              <w:rPr>
                <w:sz w:val="20"/>
                <w:szCs w:val="20"/>
                <w:color w:val="auto"/>
              </w:rPr>
            </w:pPr>
            <w:r>
              <w:rPr>
                <w:rFonts w:ascii="Arial" w:cs="Arial" w:eastAsia="Arial" w:hAnsi="Arial"/>
                <w:sz w:val="16"/>
                <w:szCs w:val="16"/>
                <w:color w:val="auto"/>
              </w:rPr>
              <w:t>73,699</w:t>
            </w:r>
          </w:p>
        </w:tc>
        <w:tc>
          <w:tcPr>
            <w:tcW w:w="1340" w:type="dxa"/>
            <w:vAlign w:val="bottom"/>
          </w:tcPr>
          <w:p>
            <w:pPr>
              <w:jc w:val="right"/>
              <w:ind w:right="283"/>
              <w:spacing w:after="0"/>
              <w:rPr>
                <w:sz w:val="20"/>
                <w:szCs w:val="20"/>
                <w:color w:val="auto"/>
              </w:rPr>
            </w:pPr>
            <w:r>
              <w:rPr>
                <w:rFonts w:ascii="Arial" w:cs="Arial" w:eastAsia="Arial" w:hAnsi="Arial"/>
                <w:sz w:val="16"/>
                <w:szCs w:val="16"/>
                <w:color w:val="auto"/>
              </w:rPr>
              <w:t>154,397</w:t>
            </w:r>
          </w:p>
        </w:tc>
        <w:tc>
          <w:tcPr>
            <w:tcW w:w="1740" w:type="dxa"/>
            <w:vAlign w:val="bottom"/>
          </w:tcPr>
          <w:p>
            <w:pPr>
              <w:jc w:val="right"/>
              <w:ind w:right="261"/>
              <w:spacing w:after="0"/>
              <w:rPr>
                <w:sz w:val="20"/>
                <w:szCs w:val="20"/>
                <w:color w:val="auto"/>
              </w:rPr>
            </w:pPr>
            <w:r>
              <w:rPr>
                <w:rFonts w:ascii="Arial" w:cs="Arial" w:eastAsia="Arial" w:hAnsi="Arial"/>
                <w:sz w:val="16"/>
                <w:szCs w:val="16"/>
                <w:color w:val="auto"/>
              </w:rPr>
              <w:t>915</w:t>
            </w:r>
          </w:p>
        </w:tc>
        <w:tc>
          <w:tcPr>
            <w:tcW w:w="960" w:type="dxa"/>
            <w:vAlign w:val="bottom"/>
          </w:tcPr>
          <w:p>
            <w:pPr>
              <w:jc w:val="right"/>
              <w:spacing w:after="0"/>
              <w:rPr>
                <w:sz w:val="20"/>
                <w:szCs w:val="20"/>
                <w:color w:val="auto"/>
              </w:rPr>
            </w:pPr>
            <w:r>
              <w:rPr>
                <w:rFonts w:ascii="Arial" w:cs="Arial" w:eastAsia="Arial" w:hAnsi="Arial"/>
                <w:sz w:val="16"/>
                <w:szCs w:val="16"/>
                <w:color w:val="auto"/>
              </w:rPr>
              <w:t>229,011</w:t>
            </w:r>
          </w:p>
        </w:tc>
        <w:tc>
          <w:tcPr>
            <w:tcW w:w="0" w:type="dxa"/>
            <w:vAlign w:val="bottom"/>
          </w:tcPr>
          <w:p>
            <w:pPr>
              <w:spacing w:after="0"/>
              <w:rPr>
                <w:sz w:val="1"/>
                <w:szCs w:val="1"/>
                <w:color w:val="auto"/>
              </w:rPr>
            </w:pPr>
          </w:p>
        </w:tc>
      </w:tr>
      <w:tr>
        <w:trPr>
          <w:trHeight w:val="243"/>
        </w:trPr>
        <w:tc>
          <w:tcPr>
            <w:tcW w:w="382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Marcus L. Smith</w:t>
            </w:r>
          </w:p>
        </w:tc>
        <w:tc>
          <w:tcPr>
            <w:tcW w:w="3380" w:type="dxa"/>
            <w:vAlign w:val="bottom"/>
            <w:shd w:val="clear" w:color="auto" w:fill="EDF0FC"/>
          </w:tcPr>
          <w:p>
            <w:pPr>
              <w:jc w:val="right"/>
              <w:ind w:right="261"/>
              <w:spacing w:after="0"/>
              <w:rPr>
                <w:sz w:val="20"/>
                <w:szCs w:val="20"/>
                <w:color w:val="auto"/>
              </w:rPr>
            </w:pPr>
            <w:r>
              <w:rPr>
                <w:rFonts w:ascii="Arial" w:cs="Arial" w:eastAsia="Arial" w:hAnsi="Arial"/>
                <w:sz w:val="16"/>
                <w:szCs w:val="16"/>
                <w:color w:val="auto"/>
              </w:rPr>
              <w:t>129,897</w:t>
            </w:r>
          </w:p>
        </w:tc>
        <w:tc>
          <w:tcPr>
            <w:tcW w:w="1340" w:type="dxa"/>
            <w:vAlign w:val="bottom"/>
            <w:shd w:val="clear" w:color="auto" w:fill="EDF0FC"/>
          </w:tcPr>
          <w:p>
            <w:pPr>
              <w:jc w:val="right"/>
              <w:ind w:right="283"/>
              <w:spacing w:after="0"/>
              <w:rPr>
                <w:sz w:val="20"/>
                <w:szCs w:val="20"/>
                <w:color w:val="auto"/>
              </w:rPr>
            </w:pPr>
            <w:r>
              <w:rPr>
                <w:rFonts w:ascii="Arial" w:cs="Arial" w:eastAsia="Arial" w:hAnsi="Arial"/>
                <w:sz w:val="16"/>
                <w:szCs w:val="16"/>
                <w:color w:val="auto"/>
              </w:rPr>
              <w:t>209,606</w:t>
            </w:r>
          </w:p>
        </w:tc>
        <w:tc>
          <w:tcPr>
            <w:tcW w:w="1740" w:type="dxa"/>
            <w:vAlign w:val="bottom"/>
            <w:shd w:val="clear" w:color="auto" w:fill="EDF0FC"/>
          </w:tcPr>
          <w:p>
            <w:pPr>
              <w:jc w:val="right"/>
              <w:ind w:right="281"/>
              <w:spacing w:after="0"/>
              <w:rPr>
                <w:sz w:val="20"/>
                <w:szCs w:val="20"/>
                <w:color w:val="auto"/>
              </w:rPr>
            </w:pPr>
            <w:r>
              <w:rPr>
                <w:rFonts w:ascii="Arial" w:cs="Arial" w:eastAsia="Arial" w:hAnsi="Arial"/>
                <w:sz w:val="16"/>
                <w:szCs w:val="16"/>
                <w:color w:val="auto"/>
              </w:rPr>
              <w:t>2,773</w:t>
            </w:r>
          </w:p>
        </w:tc>
        <w:tc>
          <w:tcPr>
            <w:tcW w:w="960" w:type="dxa"/>
            <w:vAlign w:val="bottom"/>
            <w:shd w:val="clear" w:color="auto" w:fill="EDF0FC"/>
          </w:tcPr>
          <w:p>
            <w:pPr>
              <w:jc w:val="right"/>
              <w:spacing w:after="0"/>
              <w:rPr>
                <w:sz w:val="20"/>
                <w:szCs w:val="20"/>
                <w:color w:val="auto"/>
              </w:rPr>
            </w:pPr>
            <w:r>
              <w:rPr>
                <w:rFonts w:ascii="Arial" w:cs="Arial" w:eastAsia="Arial" w:hAnsi="Arial"/>
                <w:sz w:val="16"/>
                <w:szCs w:val="16"/>
                <w:color w:val="auto"/>
              </w:rPr>
              <w:t>342,276</w:t>
            </w:r>
          </w:p>
        </w:tc>
        <w:tc>
          <w:tcPr>
            <w:tcW w:w="0" w:type="dxa"/>
            <w:vAlign w:val="bottom"/>
          </w:tcPr>
          <w:p>
            <w:pPr>
              <w:spacing w:after="0"/>
              <w:rPr>
                <w:sz w:val="1"/>
                <w:szCs w:val="1"/>
                <w:color w:val="auto"/>
              </w:rPr>
            </w:pPr>
          </w:p>
        </w:tc>
      </w:tr>
      <w:tr>
        <w:trPr>
          <w:trHeight w:val="239"/>
        </w:trPr>
        <w:tc>
          <w:tcPr>
            <w:tcW w:w="3820" w:type="dxa"/>
            <w:vAlign w:val="bottom"/>
          </w:tcPr>
          <w:p>
            <w:pPr>
              <w:ind w:left="20"/>
              <w:spacing w:after="0"/>
              <w:rPr>
                <w:sz w:val="20"/>
                <w:szCs w:val="20"/>
                <w:color w:val="auto"/>
              </w:rPr>
            </w:pPr>
            <w:r>
              <w:rPr>
                <w:rFonts w:ascii="Arial" w:cs="Arial" w:eastAsia="Arial" w:hAnsi="Arial"/>
                <w:sz w:val="16"/>
                <w:szCs w:val="16"/>
                <w:b w:val="1"/>
                <w:bCs w:val="1"/>
                <w:color w:val="1A3FD6"/>
              </w:rPr>
              <w:t>Rajat Taneja</w:t>
            </w:r>
          </w:p>
        </w:tc>
        <w:tc>
          <w:tcPr>
            <w:tcW w:w="3380" w:type="dxa"/>
            <w:vAlign w:val="bottom"/>
          </w:tcPr>
          <w:p>
            <w:pPr>
              <w:jc w:val="right"/>
              <w:ind w:right="261"/>
              <w:spacing w:after="0"/>
              <w:rPr>
                <w:sz w:val="20"/>
                <w:szCs w:val="20"/>
                <w:color w:val="auto"/>
              </w:rPr>
            </w:pPr>
            <w:r>
              <w:rPr>
                <w:rFonts w:ascii="Arial" w:cs="Arial" w:eastAsia="Arial" w:hAnsi="Arial"/>
                <w:sz w:val="16"/>
                <w:szCs w:val="16"/>
                <w:color w:val="auto"/>
              </w:rPr>
              <w:t>99,679</w:t>
            </w:r>
          </w:p>
        </w:tc>
        <w:tc>
          <w:tcPr>
            <w:tcW w:w="1340" w:type="dxa"/>
            <w:vAlign w:val="bottom"/>
          </w:tcPr>
          <w:p>
            <w:pPr>
              <w:jc w:val="right"/>
              <w:ind w:right="283"/>
              <w:spacing w:after="0"/>
              <w:rPr>
                <w:sz w:val="20"/>
                <w:szCs w:val="20"/>
                <w:color w:val="auto"/>
              </w:rPr>
            </w:pPr>
            <w:r>
              <w:rPr>
                <w:rFonts w:ascii="Arial" w:cs="Arial" w:eastAsia="Arial" w:hAnsi="Arial"/>
                <w:sz w:val="16"/>
                <w:szCs w:val="16"/>
                <w:color w:val="auto"/>
              </w:rPr>
              <w:t>209,606</w:t>
            </w:r>
          </w:p>
        </w:tc>
        <w:tc>
          <w:tcPr>
            <w:tcW w:w="1740" w:type="dxa"/>
            <w:vAlign w:val="bottom"/>
          </w:tcPr>
          <w:p>
            <w:pPr>
              <w:jc w:val="right"/>
              <w:ind w:right="281"/>
              <w:spacing w:after="0"/>
              <w:rPr>
                <w:sz w:val="20"/>
                <w:szCs w:val="20"/>
                <w:color w:val="auto"/>
              </w:rPr>
            </w:pPr>
            <w:r>
              <w:rPr>
                <w:rFonts w:ascii="Arial" w:cs="Arial" w:eastAsia="Arial" w:hAnsi="Arial"/>
                <w:sz w:val="16"/>
                <w:szCs w:val="16"/>
                <w:color w:val="auto"/>
              </w:rPr>
              <w:t>14,374</w:t>
            </w:r>
          </w:p>
        </w:tc>
        <w:tc>
          <w:tcPr>
            <w:tcW w:w="960" w:type="dxa"/>
            <w:vAlign w:val="bottom"/>
          </w:tcPr>
          <w:p>
            <w:pPr>
              <w:jc w:val="right"/>
              <w:spacing w:after="0"/>
              <w:rPr>
                <w:sz w:val="20"/>
                <w:szCs w:val="20"/>
                <w:color w:val="auto"/>
              </w:rPr>
            </w:pPr>
            <w:r>
              <w:rPr>
                <w:rFonts w:ascii="Arial" w:cs="Arial" w:eastAsia="Arial" w:hAnsi="Arial"/>
                <w:sz w:val="16"/>
                <w:szCs w:val="16"/>
                <w:color w:val="auto"/>
              </w:rPr>
              <w:t>323,659</w:t>
            </w:r>
          </w:p>
        </w:tc>
        <w:tc>
          <w:tcPr>
            <w:tcW w:w="0" w:type="dxa"/>
            <w:vAlign w:val="bottom"/>
          </w:tcPr>
          <w:p>
            <w:pPr>
              <w:spacing w:after="0"/>
              <w:rPr>
                <w:sz w:val="1"/>
                <w:szCs w:val="1"/>
                <w:color w:val="auto"/>
              </w:rPr>
            </w:pPr>
          </w:p>
        </w:tc>
      </w:tr>
      <w:tr>
        <w:trPr>
          <w:trHeight w:val="247"/>
        </w:trPr>
        <w:tc>
          <w:tcPr>
            <w:tcW w:w="382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Paula Volent</w:t>
            </w:r>
          </w:p>
        </w:tc>
        <w:tc>
          <w:tcPr>
            <w:tcW w:w="3380" w:type="dxa"/>
            <w:vAlign w:val="bottom"/>
            <w:shd w:val="clear" w:color="auto" w:fill="EDF0FC"/>
          </w:tcPr>
          <w:p>
            <w:pPr>
              <w:jc w:val="right"/>
              <w:ind w:right="261"/>
              <w:spacing w:after="0"/>
              <w:rPr>
                <w:sz w:val="20"/>
                <w:szCs w:val="20"/>
                <w:color w:val="auto"/>
              </w:rPr>
            </w:pPr>
            <w:r>
              <w:rPr>
                <w:rFonts w:ascii="Arial" w:cs="Arial" w:eastAsia="Arial" w:hAnsi="Arial"/>
                <w:sz w:val="16"/>
                <w:szCs w:val="16"/>
                <w:color w:val="auto"/>
              </w:rPr>
              <w:t>109,926</w:t>
            </w:r>
          </w:p>
        </w:tc>
        <w:tc>
          <w:tcPr>
            <w:tcW w:w="1340" w:type="dxa"/>
            <w:vAlign w:val="bottom"/>
            <w:shd w:val="clear" w:color="auto" w:fill="EDF0FC"/>
          </w:tcPr>
          <w:p>
            <w:pPr>
              <w:jc w:val="right"/>
              <w:ind w:right="283"/>
              <w:spacing w:after="0"/>
              <w:rPr>
                <w:sz w:val="20"/>
                <w:szCs w:val="20"/>
                <w:color w:val="auto"/>
              </w:rPr>
            </w:pPr>
            <w:r>
              <w:rPr>
                <w:rFonts w:ascii="Arial" w:cs="Arial" w:eastAsia="Arial" w:hAnsi="Arial"/>
                <w:sz w:val="16"/>
                <w:szCs w:val="16"/>
                <w:color w:val="auto"/>
              </w:rPr>
              <w:t>209,606</w:t>
            </w:r>
          </w:p>
        </w:tc>
        <w:tc>
          <w:tcPr>
            <w:tcW w:w="1740" w:type="dxa"/>
            <w:vAlign w:val="bottom"/>
            <w:shd w:val="clear" w:color="auto" w:fill="EDF0FC"/>
          </w:tcPr>
          <w:p>
            <w:pPr>
              <w:jc w:val="right"/>
              <w:ind w:right="281"/>
              <w:spacing w:after="0"/>
              <w:rPr>
                <w:sz w:val="20"/>
                <w:szCs w:val="20"/>
                <w:color w:val="auto"/>
              </w:rPr>
            </w:pPr>
            <w:r>
              <w:rPr>
                <w:rFonts w:ascii="Arial" w:cs="Arial" w:eastAsia="Arial" w:hAnsi="Arial"/>
                <w:sz w:val="16"/>
                <w:szCs w:val="16"/>
                <w:color w:val="auto"/>
              </w:rPr>
              <w:t>2,773</w:t>
            </w:r>
          </w:p>
        </w:tc>
        <w:tc>
          <w:tcPr>
            <w:tcW w:w="960" w:type="dxa"/>
            <w:vAlign w:val="bottom"/>
            <w:shd w:val="clear" w:color="auto" w:fill="EDF0FC"/>
          </w:tcPr>
          <w:p>
            <w:pPr>
              <w:jc w:val="right"/>
              <w:spacing w:after="0"/>
              <w:rPr>
                <w:sz w:val="20"/>
                <w:szCs w:val="20"/>
                <w:color w:val="auto"/>
              </w:rPr>
            </w:pPr>
            <w:r>
              <w:rPr>
                <w:rFonts w:ascii="Arial" w:cs="Arial" w:eastAsia="Arial" w:hAnsi="Arial"/>
                <w:sz w:val="16"/>
                <w:szCs w:val="16"/>
                <w:color w:val="auto"/>
              </w:rPr>
              <w:t>322,305</w:t>
            </w:r>
          </w:p>
        </w:tc>
        <w:tc>
          <w:tcPr>
            <w:tcW w:w="0" w:type="dxa"/>
            <w:vAlign w:val="bottom"/>
          </w:tcPr>
          <w:p>
            <w:pPr>
              <w:spacing w:after="0"/>
              <w:rPr>
                <w:sz w:val="1"/>
                <w:szCs w:val="1"/>
                <w:color w:val="auto"/>
              </w:rPr>
            </w:pPr>
          </w:p>
        </w:tc>
      </w:tr>
      <w:tr>
        <w:trPr>
          <w:trHeight w:val="24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1A3FD6"/>
              </w:rPr>
              <w:t>June Yang</w:t>
            </w:r>
            <w:r>
              <w:rPr>
                <w:rFonts w:ascii="Arial" w:cs="Arial" w:eastAsia="Arial" w:hAnsi="Arial"/>
                <w:sz w:val="21"/>
                <w:szCs w:val="21"/>
                <w:b w:val="1"/>
                <w:bCs w:val="1"/>
                <w:color w:val="1A3FD6"/>
                <w:vertAlign w:val="superscript"/>
              </w:rPr>
              <w:t>(10)</w:t>
            </w:r>
          </w:p>
        </w:tc>
        <w:tc>
          <w:tcPr>
            <w:tcW w:w="33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33,288</w:t>
            </w:r>
          </w:p>
        </w:tc>
        <w:tc>
          <w:tcPr>
            <w:tcW w:w="134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color w:val="auto"/>
              </w:rPr>
              <w:t>77,298</w:t>
            </w:r>
          </w:p>
        </w:tc>
        <w:tc>
          <w:tcPr>
            <w:tcW w:w="17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110,586</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0" w:right="300" w:hanging="192"/>
        <w:spacing w:after="0" w:line="264" w:lineRule="auto"/>
        <w:tabs>
          <w:tab w:leader="none" w:pos="187" w:val="left"/>
        </w:tabs>
        <w:numPr>
          <w:ilvl w:val="0"/>
          <w:numId w:val="57"/>
        </w:numPr>
        <w:rPr>
          <w:rFonts w:ascii="Arial" w:cs="Arial" w:eastAsia="Arial" w:hAnsi="Arial"/>
          <w:sz w:val="19"/>
          <w:szCs w:val="19"/>
          <w:color w:val="auto"/>
          <w:vertAlign w:val="superscript"/>
        </w:rPr>
      </w:pPr>
      <w:r>
        <w:rPr>
          <w:rFonts w:ascii="Arial" w:cs="Arial" w:eastAsia="Arial" w:hAnsi="Arial"/>
          <w:sz w:val="14"/>
          <w:szCs w:val="14"/>
          <w:color w:val="auto"/>
        </w:rPr>
        <w:t>Pursuant to MSCI’s Third Amended and Restated Articles of Incorporation, directors hold office for a term expiring at the next annual meeting of shareholders. The Board term beginning in April 2024 and ending in April 2025 (the “2024 Board Term”) and the Board term beginning in April 2023 and ending in April 2024 do not coincide with MSCI’s calendar-year fiscal year. Amounts included in the table above represent cash earned or paid, or stock awards granted, as applicable, during the year ended December 31, 2024. Because directors are paid for service from May 1 to April 30, any prorated amounts are calculated from the applicable date to May 1 of the relevant Board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694055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55" w:name="page56"/>
    <w:bookmarkEnd w:id="55"/>
    <w:p>
      <w:pPr>
        <w:ind w:left="92"/>
        <w:spacing w:after="0"/>
        <w:tabs>
          <w:tab w:leader="none" w:pos="772"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54</w:t>
      </w:r>
      <w:r>
        <w:rPr>
          <w:sz w:val="20"/>
          <w:szCs w:val="20"/>
          <w:color w:val="auto"/>
        </w:rPr>
        <w:tab/>
      </w:r>
      <w:r>
        <w:rPr>
          <w:rFonts w:ascii="Arial" w:cs="Arial" w:eastAsia="Arial" w:hAnsi="Arial"/>
          <w:sz w:val="14"/>
          <w:szCs w:val="14"/>
          <w:b w:val="1"/>
          <w:bCs w:val="1"/>
          <w:color w:val="1A3FD6"/>
        </w:rPr>
        <w:t>2025 PROXY STATEMENT</w:t>
      </w:r>
    </w:p>
    <w:p>
      <w:pPr>
        <w:sectPr>
          <w:pgSz w:w="11900" w:h="16838" w:orient="portrait"/>
          <w:cols w:equalWidth="0" w:num="1">
            <w:col w:w="11232"/>
          </w:cols>
          <w:pgMar w:left="328"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92" w:right="40" w:hanging="192"/>
        <w:spacing w:after="0" w:line="248" w:lineRule="auto"/>
        <w:tabs>
          <w:tab w:leader="none" w:pos="179" w:val="left"/>
        </w:tabs>
        <w:numPr>
          <w:ilvl w:val="0"/>
          <w:numId w:val="58"/>
        </w:numPr>
        <w:rPr>
          <w:rFonts w:ascii="Arial" w:cs="Arial" w:eastAsia="Arial" w:hAnsi="Arial"/>
          <w:sz w:val="19"/>
          <w:szCs w:val="19"/>
          <w:color w:val="auto"/>
          <w:vertAlign w:val="superscript"/>
        </w:rPr>
      </w:pPr>
      <w:r>
        <w:rPr>
          <w:rFonts w:ascii="Arial" w:cs="Arial" w:eastAsia="Arial" w:hAnsi="Arial"/>
          <w:sz w:val="14"/>
          <w:szCs w:val="14"/>
          <w:color w:val="auto"/>
        </w:rPr>
        <w:t>Cash amounts in this column include the annual retainers and committee fees paid during the year ended December 31, 2024. Four of our directors elected to receive all or a portion of their annual cash retainers in stock as set forth below. The number of shares issued was determined by dividing the aggregate value of the elected portion of the cash retainer by the closing share price of MSCI common stock on the trading day prior to the grant date ($465.79 for Messrs. Ashe, Smith and Taneja and Ms. Volent) and rounding down to the next whole number. Mr. Taneja elected to defer receipt of such shares until the earlier of (i) June 1, 2025 and (ii) the 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after his “separation from service” as a director under the Deferral Plan.</w:t>
      </w:r>
    </w:p>
    <w:p>
      <w:pPr>
        <w:spacing w:after="0" w:line="79" w:lineRule="exact"/>
        <w:rPr>
          <w:sz w:val="20"/>
          <w:szCs w:val="20"/>
          <w:color w:val="auto"/>
        </w:rPr>
      </w:pPr>
    </w:p>
    <w:tbl>
      <w:tblPr>
        <w:tblLayout w:type="fixed"/>
        <w:tblInd w:w="192" w:type="dxa"/>
        <w:tblCellMar>
          <w:top w:w="0" w:type="dxa"/>
          <w:left w:w="0" w:type="dxa"/>
          <w:bottom w:w="0" w:type="dxa"/>
          <w:right w:w="0" w:type="dxa"/>
        </w:tblCellMar>
      </w:tblPr>
      <w:tr>
        <w:trPr>
          <w:trHeight w:val="172"/>
        </w:trPr>
        <w:tc>
          <w:tcPr>
            <w:tcW w:w="432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4000" w:type="dxa"/>
            <w:vAlign w:val="bottom"/>
          </w:tcPr>
          <w:p>
            <w:pPr>
              <w:ind w:left="3580"/>
              <w:spacing w:after="0"/>
              <w:rPr>
                <w:sz w:val="20"/>
                <w:szCs w:val="20"/>
                <w:color w:val="auto"/>
              </w:rPr>
            </w:pPr>
            <w:r>
              <w:rPr>
                <w:rFonts w:ascii="Arial" w:cs="Arial" w:eastAsia="Arial" w:hAnsi="Arial"/>
                <w:sz w:val="13"/>
                <w:szCs w:val="13"/>
                <w:b w:val="1"/>
                <w:bCs w:val="1"/>
                <w:color w:val="auto"/>
              </w:rPr>
              <w:t>Cash</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Stock</w:t>
            </w:r>
          </w:p>
        </w:tc>
      </w:tr>
      <w:tr>
        <w:trPr>
          <w:trHeight w:val="22"/>
        </w:trPr>
        <w:tc>
          <w:tcPr>
            <w:tcW w:w="4320" w:type="dxa"/>
            <w:vAlign w:val="bottom"/>
            <w:tcBorders>
              <w:bottom w:val="single" w:sz="8" w:color="1A3FD6"/>
            </w:tcBorders>
          </w:tcPr>
          <w:p>
            <w:pPr>
              <w:spacing w:after="0" w:line="20" w:lineRule="exact"/>
              <w:rPr>
                <w:sz w:val="1"/>
                <w:szCs w:val="1"/>
                <w:color w:val="auto"/>
              </w:rPr>
            </w:pPr>
          </w:p>
        </w:tc>
        <w:tc>
          <w:tcPr>
            <w:tcW w:w="4000" w:type="dxa"/>
            <w:vAlign w:val="bottom"/>
            <w:tcBorders>
              <w:bottom w:val="single" w:sz="8" w:color="1A3FD6"/>
            </w:tcBorders>
          </w:tcPr>
          <w:p>
            <w:pPr>
              <w:spacing w:after="0" w:line="20" w:lineRule="exact"/>
              <w:rPr>
                <w:sz w:val="1"/>
                <w:szCs w:val="1"/>
                <w:color w:val="auto"/>
              </w:rPr>
            </w:pPr>
          </w:p>
        </w:tc>
        <w:tc>
          <w:tcPr>
            <w:tcW w:w="440" w:type="dxa"/>
            <w:vAlign w:val="bottom"/>
            <w:tcBorders>
              <w:bottom w:val="single" w:sz="8" w:color="1A3FD6"/>
            </w:tcBorders>
          </w:tcPr>
          <w:p>
            <w:pPr>
              <w:spacing w:after="0" w:line="20" w:lineRule="exact"/>
              <w:rPr>
                <w:sz w:val="1"/>
                <w:szCs w:val="1"/>
                <w:color w:val="auto"/>
              </w:rPr>
            </w:pPr>
          </w:p>
        </w:tc>
        <w:tc>
          <w:tcPr>
            <w:tcW w:w="980" w:type="dxa"/>
            <w:vAlign w:val="bottom"/>
            <w:tcBorders>
              <w:bottom w:val="single" w:sz="8" w:color="1A3FD6"/>
            </w:tcBorders>
          </w:tcPr>
          <w:p>
            <w:pPr>
              <w:spacing w:after="0" w:line="20" w:lineRule="exact"/>
              <w:rPr>
                <w:sz w:val="1"/>
                <w:szCs w:val="1"/>
                <w:color w:val="auto"/>
              </w:rPr>
            </w:pPr>
          </w:p>
        </w:tc>
        <w:tc>
          <w:tcPr>
            <w:tcW w:w="840" w:type="dxa"/>
            <w:vAlign w:val="bottom"/>
            <w:tcBorders>
              <w:bottom w:val="single" w:sz="8" w:color="1A3FD6"/>
            </w:tcBorders>
          </w:tcPr>
          <w:p>
            <w:pPr>
              <w:spacing w:after="0" w:line="20" w:lineRule="exact"/>
              <w:rPr>
                <w:sz w:val="1"/>
                <w:szCs w:val="1"/>
                <w:color w:val="auto"/>
              </w:rPr>
            </w:pPr>
          </w:p>
        </w:tc>
      </w:tr>
      <w:tr>
        <w:trPr>
          <w:trHeight w:val="215"/>
        </w:trPr>
        <w:tc>
          <w:tcPr>
            <w:tcW w:w="4320" w:type="dxa"/>
            <w:vAlign w:val="bottom"/>
          </w:tcPr>
          <w:p>
            <w:pPr>
              <w:ind w:left="20"/>
              <w:spacing w:after="0"/>
              <w:rPr>
                <w:sz w:val="20"/>
                <w:szCs w:val="20"/>
                <w:color w:val="auto"/>
              </w:rPr>
            </w:pPr>
            <w:r>
              <w:rPr>
                <w:rFonts w:ascii="Arial" w:cs="Arial" w:eastAsia="Arial" w:hAnsi="Arial"/>
                <w:sz w:val="14"/>
                <w:szCs w:val="14"/>
                <w:b w:val="1"/>
                <w:bCs w:val="1"/>
                <w:color w:val="1A3FD6"/>
              </w:rPr>
              <w:t>Mr. Ashe</w:t>
            </w:r>
          </w:p>
        </w:tc>
        <w:tc>
          <w:tcPr>
            <w:tcW w:w="4000" w:type="dxa"/>
            <w:vAlign w:val="bottom"/>
          </w:tcPr>
          <w:p>
            <w:pPr>
              <w:ind w:left="370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109,926.44</w:t>
            </w:r>
          </w:p>
        </w:tc>
        <w:tc>
          <w:tcPr>
            <w:tcW w:w="840" w:type="dxa"/>
            <w:vAlign w:val="bottom"/>
          </w:tcPr>
          <w:p>
            <w:pPr>
              <w:jc w:val="right"/>
              <w:spacing w:after="0"/>
              <w:rPr>
                <w:sz w:val="20"/>
                <w:szCs w:val="20"/>
                <w:color w:val="auto"/>
              </w:rPr>
            </w:pPr>
            <w:r>
              <w:rPr>
                <w:rFonts w:ascii="Arial" w:cs="Arial" w:eastAsia="Arial" w:hAnsi="Arial"/>
                <w:sz w:val="14"/>
                <w:szCs w:val="14"/>
                <w:color w:val="auto"/>
              </w:rPr>
              <w:t>(236 shares)</w:t>
            </w:r>
          </w:p>
        </w:tc>
      </w:tr>
      <w:tr>
        <w:trPr>
          <w:trHeight w:val="237"/>
        </w:trPr>
        <w:tc>
          <w:tcPr>
            <w:tcW w:w="4320" w:type="dxa"/>
            <w:vAlign w:val="bottom"/>
            <w:shd w:val="clear" w:color="auto" w:fill="EDF0FC"/>
          </w:tcPr>
          <w:p>
            <w:pPr>
              <w:ind w:left="20"/>
              <w:spacing w:after="0"/>
              <w:rPr>
                <w:sz w:val="20"/>
                <w:szCs w:val="20"/>
                <w:color w:val="auto"/>
              </w:rPr>
            </w:pPr>
            <w:r>
              <w:rPr>
                <w:rFonts w:ascii="Arial" w:cs="Arial" w:eastAsia="Arial" w:hAnsi="Arial"/>
                <w:sz w:val="14"/>
                <w:szCs w:val="14"/>
                <w:b w:val="1"/>
                <w:bCs w:val="1"/>
                <w:color w:val="1A3FD6"/>
              </w:rPr>
              <w:t>Mr. Smith</w:t>
            </w:r>
          </w:p>
        </w:tc>
        <w:tc>
          <w:tcPr>
            <w:tcW w:w="4000" w:type="dxa"/>
            <w:vAlign w:val="bottom"/>
            <w:shd w:val="clear" w:color="auto" w:fill="EDF0FC"/>
          </w:tcPr>
          <w:p>
            <w:pPr>
              <w:ind w:left="3700"/>
              <w:spacing w:after="0"/>
              <w:rPr>
                <w:sz w:val="20"/>
                <w:szCs w:val="20"/>
                <w:color w:val="auto"/>
              </w:rPr>
            </w:pPr>
            <w:r>
              <w:rPr>
                <w:rFonts w:ascii="Arial" w:cs="Arial" w:eastAsia="Arial" w:hAnsi="Arial"/>
                <w:sz w:val="14"/>
                <w:szCs w:val="14"/>
                <w:color w:val="auto"/>
              </w:rPr>
              <w:t>—</w:t>
            </w:r>
          </w:p>
        </w:tc>
        <w:tc>
          <w:tcPr>
            <w:tcW w:w="440" w:type="dxa"/>
            <w:vAlign w:val="bottom"/>
            <w:shd w:val="clear" w:color="auto" w:fill="EDF0FC"/>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shd w:val="clear" w:color="auto" w:fill="EDF0FC"/>
          </w:tcPr>
          <w:p>
            <w:pPr>
              <w:jc w:val="right"/>
              <w:spacing w:after="0"/>
              <w:rPr>
                <w:sz w:val="20"/>
                <w:szCs w:val="20"/>
                <w:color w:val="auto"/>
              </w:rPr>
            </w:pPr>
            <w:r>
              <w:rPr>
                <w:rFonts w:ascii="Arial" w:cs="Arial" w:eastAsia="Arial" w:hAnsi="Arial"/>
                <w:sz w:val="14"/>
                <w:szCs w:val="14"/>
                <w:color w:val="auto"/>
              </w:rPr>
              <w:t>89,897.47</w:t>
            </w:r>
          </w:p>
        </w:tc>
        <w:tc>
          <w:tcPr>
            <w:tcW w:w="840" w:type="dxa"/>
            <w:vAlign w:val="bottom"/>
            <w:shd w:val="clear" w:color="auto" w:fill="EDF0FC"/>
          </w:tcPr>
          <w:p>
            <w:pPr>
              <w:jc w:val="right"/>
              <w:spacing w:after="0"/>
              <w:rPr>
                <w:sz w:val="20"/>
                <w:szCs w:val="20"/>
                <w:color w:val="auto"/>
              </w:rPr>
            </w:pPr>
            <w:r>
              <w:rPr>
                <w:rFonts w:ascii="Arial" w:cs="Arial" w:eastAsia="Arial" w:hAnsi="Arial"/>
                <w:sz w:val="14"/>
                <w:szCs w:val="14"/>
                <w:color w:val="auto"/>
              </w:rPr>
              <w:t>(193 shares)</w:t>
            </w:r>
          </w:p>
        </w:tc>
      </w:tr>
      <w:tr>
        <w:trPr>
          <w:trHeight w:val="222"/>
        </w:trPr>
        <w:tc>
          <w:tcPr>
            <w:tcW w:w="4320" w:type="dxa"/>
            <w:vAlign w:val="bottom"/>
          </w:tcPr>
          <w:p>
            <w:pPr>
              <w:ind w:left="20"/>
              <w:spacing w:after="0"/>
              <w:rPr>
                <w:sz w:val="20"/>
                <w:szCs w:val="20"/>
                <w:color w:val="auto"/>
              </w:rPr>
            </w:pPr>
            <w:r>
              <w:rPr>
                <w:rFonts w:ascii="Arial" w:cs="Arial" w:eastAsia="Arial" w:hAnsi="Arial"/>
                <w:sz w:val="14"/>
                <w:szCs w:val="14"/>
                <w:b w:val="1"/>
                <w:bCs w:val="1"/>
                <w:color w:val="1A3FD6"/>
              </w:rPr>
              <w:t>Mr. Taneja</w:t>
            </w:r>
          </w:p>
        </w:tc>
        <w:tc>
          <w:tcPr>
            <w:tcW w:w="4000" w:type="dxa"/>
            <w:vAlign w:val="bottom"/>
          </w:tcPr>
          <w:p>
            <w:pPr>
              <w:ind w:left="370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99,679.06</w:t>
            </w:r>
          </w:p>
        </w:tc>
        <w:tc>
          <w:tcPr>
            <w:tcW w:w="840" w:type="dxa"/>
            <w:vAlign w:val="bottom"/>
          </w:tcPr>
          <w:p>
            <w:pPr>
              <w:jc w:val="right"/>
              <w:spacing w:after="0"/>
              <w:rPr>
                <w:sz w:val="20"/>
                <w:szCs w:val="20"/>
                <w:color w:val="auto"/>
              </w:rPr>
            </w:pPr>
            <w:r>
              <w:rPr>
                <w:rFonts w:ascii="Arial" w:cs="Arial" w:eastAsia="Arial" w:hAnsi="Arial"/>
                <w:sz w:val="14"/>
                <w:szCs w:val="14"/>
                <w:color w:val="auto"/>
              </w:rPr>
              <w:t>(214 shares)</w:t>
            </w:r>
          </w:p>
        </w:tc>
      </w:tr>
      <w:tr>
        <w:trPr>
          <w:trHeight w:val="231"/>
        </w:trPr>
        <w:tc>
          <w:tcPr>
            <w:tcW w:w="4320" w:type="dxa"/>
            <w:vAlign w:val="bottom"/>
            <w:tcBorders>
              <w:bottom w:val="single" w:sz="8" w:color="auto"/>
            </w:tcBorders>
            <w:shd w:val="clear" w:color="auto" w:fill="EDF0FC"/>
          </w:tcPr>
          <w:p>
            <w:pPr>
              <w:ind w:left="20"/>
              <w:spacing w:after="0"/>
              <w:rPr>
                <w:sz w:val="20"/>
                <w:szCs w:val="20"/>
                <w:color w:val="auto"/>
              </w:rPr>
            </w:pPr>
            <w:r>
              <w:rPr>
                <w:rFonts w:ascii="Arial" w:cs="Arial" w:eastAsia="Arial" w:hAnsi="Arial"/>
                <w:sz w:val="14"/>
                <w:szCs w:val="14"/>
                <w:b w:val="1"/>
                <w:bCs w:val="1"/>
                <w:color w:val="1A3FD6"/>
              </w:rPr>
              <w:t>Ms. Volent</w:t>
            </w:r>
          </w:p>
        </w:tc>
        <w:tc>
          <w:tcPr>
            <w:tcW w:w="4000" w:type="dxa"/>
            <w:vAlign w:val="bottom"/>
            <w:tcBorders>
              <w:bottom w:val="single" w:sz="8" w:color="auto"/>
            </w:tcBorders>
            <w:shd w:val="clear" w:color="auto" w:fill="EDF0FC"/>
          </w:tcPr>
          <w:p>
            <w:pPr>
              <w:ind w:left="370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EDF0FC"/>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EDF0FC"/>
          </w:tcPr>
          <w:p>
            <w:pPr>
              <w:jc w:val="right"/>
              <w:spacing w:after="0"/>
              <w:rPr>
                <w:sz w:val="20"/>
                <w:szCs w:val="20"/>
                <w:color w:val="auto"/>
              </w:rPr>
            </w:pPr>
            <w:r>
              <w:rPr>
                <w:rFonts w:ascii="Arial" w:cs="Arial" w:eastAsia="Arial" w:hAnsi="Arial"/>
                <w:sz w:val="14"/>
                <w:szCs w:val="14"/>
                <w:color w:val="auto"/>
              </w:rPr>
              <w:t>109,926.44</w:t>
            </w:r>
          </w:p>
        </w:tc>
        <w:tc>
          <w:tcPr>
            <w:tcW w:w="840" w:type="dxa"/>
            <w:vAlign w:val="bottom"/>
            <w:tcBorders>
              <w:bottom w:val="single" w:sz="8" w:color="auto"/>
            </w:tcBorders>
            <w:shd w:val="clear" w:color="auto" w:fill="EDF0FC"/>
          </w:tcPr>
          <w:p>
            <w:pPr>
              <w:jc w:val="right"/>
              <w:spacing w:after="0"/>
              <w:rPr>
                <w:sz w:val="20"/>
                <w:szCs w:val="20"/>
                <w:color w:val="auto"/>
              </w:rPr>
            </w:pPr>
            <w:r>
              <w:rPr>
                <w:rFonts w:ascii="Arial" w:cs="Arial" w:eastAsia="Arial" w:hAnsi="Arial"/>
                <w:sz w:val="14"/>
                <w:szCs w:val="14"/>
                <w:color w:val="auto"/>
              </w:rPr>
              <w:t>(236 shares)</w:t>
            </w:r>
          </w:p>
        </w:tc>
      </w:tr>
    </w:tbl>
    <w:p>
      <w:pPr>
        <w:spacing w:after="0" w:line="193" w:lineRule="exact"/>
        <w:rPr>
          <w:sz w:val="20"/>
          <w:szCs w:val="20"/>
          <w:color w:val="auto"/>
        </w:rPr>
      </w:pPr>
    </w:p>
    <w:p>
      <w:pPr>
        <w:ind w:left="192" w:hanging="192"/>
        <w:spacing w:after="0" w:line="258" w:lineRule="auto"/>
        <w:tabs>
          <w:tab w:leader="none" w:pos="179" w:val="left"/>
        </w:tabs>
        <w:numPr>
          <w:ilvl w:val="0"/>
          <w:numId w:val="59"/>
        </w:numPr>
        <w:rPr>
          <w:rFonts w:ascii="Arial" w:cs="Arial" w:eastAsia="Arial" w:hAnsi="Arial"/>
          <w:sz w:val="19"/>
          <w:szCs w:val="19"/>
          <w:color w:val="auto"/>
          <w:vertAlign w:val="superscript"/>
        </w:rPr>
      </w:pPr>
      <w:r>
        <w:rPr>
          <w:rFonts w:ascii="Arial" w:cs="Arial" w:eastAsia="Arial" w:hAnsi="Arial"/>
          <w:sz w:val="14"/>
          <w:szCs w:val="14"/>
          <w:color w:val="auto"/>
        </w:rPr>
        <w:t>Represents the aggregate grant date fair value of RSUs granted in 2024 in accordance with FASB ASC Subtopic 718-10. The fair value is calculated by multiplying the closing share price of MSCI common stock on the date prior to the grant date by the number of units awarded. For assumptions regarding these calculations, please see notes 1 and 11 to the consolidated financial statements included in our 2024 Annual Report on Form 10-K filed with the SEC on February 7, 2025. The values in this column may not correspond to the actual value that will be realized by the non-employee directors at the time the RSUs vest. The number of RSUs awarded is determined by dividing the aggregate value of the RSU award by the closing share price of MSCI common stock on the trading day prior to the grant date ($465.79 for Messrs. Ashe, Desai, Edmunds, Perold, Rattray, Taneja and Smith and Mmes. Matlock, Riefler and Volent, $539.85 for Ms. Seitz and $618.38 for Ms. Yang) and rounding down to the next whole number. For the 2024 Board term, each of Messrs. Desai, Edmunds, Perold, Rattray, Taneja and Smith and Mmes. Matlock, Riefler and Volent received 450 RSUs, Ms. Seitz received 286 RSUs, Ms. Yang received 125 RSUs and Mr. Ashe received 558 RSUs. These RSUs will vest on May 1, 2025. Ms. Matlock elected to defer receipt of such shares issuable upon vesting until the earlier of (i) June 1, 2033 and (ii) the 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after her “separation from service” as a director under the Deferral Plan. Mmes. Riefler and Yang elected to defer receipt of such shares issuable upon vesting until the 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after their “separation from service” as a director under the Deferral Plan. Mr. Taneja elected to defer receipt of such shares issuable upon vesting until the earlier of (i) June 1, 2025 and (ii) the 60</w:t>
      </w:r>
      <w:r>
        <w:rPr>
          <w:rFonts w:ascii="Arial" w:cs="Arial" w:eastAsia="Arial" w:hAnsi="Arial"/>
          <w:sz w:val="9"/>
          <w:szCs w:val="9"/>
          <w:color w:val="auto"/>
        </w:rPr>
        <w:t>th</w:t>
      </w:r>
      <w:r>
        <w:rPr>
          <w:rFonts w:ascii="Arial" w:cs="Arial" w:eastAsia="Arial" w:hAnsi="Arial"/>
          <w:sz w:val="14"/>
          <w:szCs w:val="14"/>
          <w:color w:val="auto"/>
        </w:rPr>
        <w:t xml:space="preserve"> day after his “separation from service” as a director under the Deferral Plan.</w:t>
      </w:r>
    </w:p>
    <w:p>
      <w:pPr>
        <w:spacing w:after="0" w:line="230" w:lineRule="exact"/>
        <w:rPr>
          <w:rFonts w:ascii="Arial" w:cs="Arial" w:eastAsia="Arial" w:hAnsi="Arial"/>
          <w:sz w:val="19"/>
          <w:szCs w:val="19"/>
          <w:color w:val="auto"/>
          <w:vertAlign w:val="superscript"/>
        </w:rPr>
      </w:pPr>
    </w:p>
    <w:p>
      <w:pPr>
        <w:ind w:left="192" w:right="20" w:hanging="192"/>
        <w:spacing w:after="0" w:line="257" w:lineRule="auto"/>
        <w:tabs>
          <w:tab w:leader="none" w:pos="179" w:val="left"/>
        </w:tabs>
        <w:numPr>
          <w:ilvl w:val="0"/>
          <w:numId w:val="59"/>
        </w:numPr>
        <w:rPr>
          <w:rFonts w:ascii="Arial" w:cs="Arial" w:eastAsia="Arial" w:hAnsi="Arial"/>
          <w:sz w:val="19"/>
          <w:szCs w:val="19"/>
          <w:color w:val="auto"/>
          <w:vertAlign w:val="superscript"/>
        </w:rPr>
      </w:pPr>
      <w:r>
        <w:rPr>
          <w:rFonts w:ascii="Arial" w:cs="Arial" w:eastAsia="Arial" w:hAnsi="Arial"/>
          <w:sz w:val="14"/>
          <w:szCs w:val="14"/>
          <w:color w:val="auto"/>
        </w:rPr>
        <w:t>As of December 31, 2024, each of our non-employee directors had the following outstanding stock awards in the form of RSUs: Messrs. Edmunds, Perold, Rattray, Taneja and Smith and Mmes. Matlock, Riefler and Volent each had 450 RSUs outstanding, Ms. Seitz had 286 RSUs outstanding, Ms. Yang had 125 RSUs outstanding and Mr. Ashe had 558 RSUs outstanding.</w:t>
      </w:r>
    </w:p>
    <w:p>
      <w:pPr>
        <w:spacing w:after="0" w:line="42" w:lineRule="exact"/>
        <w:rPr>
          <w:rFonts w:ascii="Arial" w:cs="Arial" w:eastAsia="Arial" w:hAnsi="Arial"/>
          <w:sz w:val="19"/>
          <w:szCs w:val="19"/>
          <w:color w:val="auto"/>
          <w:vertAlign w:val="superscript"/>
        </w:rPr>
      </w:pPr>
    </w:p>
    <w:p>
      <w:pPr>
        <w:ind w:left="192" w:right="100" w:hanging="192"/>
        <w:spacing w:after="0" w:line="267" w:lineRule="auto"/>
        <w:tabs>
          <w:tab w:leader="none" w:pos="179" w:val="left"/>
        </w:tabs>
        <w:numPr>
          <w:ilvl w:val="0"/>
          <w:numId w:val="59"/>
        </w:numPr>
        <w:rPr>
          <w:rFonts w:ascii="Arial" w:cs="Arial" w:eastAsia="Arial" w:hAnsi="Arial"/>
          <w:sz w:val="19"/>
          <w:szCs w:val="19"/>
          <w:color w:val="auto"/>
          <w:vertAlign w:val="superscript"/>
        </w:rPr>
      </w:pPr>
      <w:r>
        <w:rPr>
          <w:rFonts w:ascii="Arial" w:cs="Arial" w:eastAsia="Arial" w:hAnsi="Arial"/>
          <w:sz w:val="14"/>
          <w:szCs w:val="14"/>
          <w:color w:val="auto"/>
        </w:rPr>
        <w:t>Cash amounts in this column include dividend equivalents paid during the year ended December 31, 2024 in connection with the Company’s payment of its quarterly cash dividend. Each of Mmes. Kinney, Matlock and Riefler received shares of our common stock and a cash payment for fractional shares received as a dividend equivalent payment for RSUs and in lieu of receiving a cash dividend payment for shares, in each case subject to her deferral election (in Ms. Kinney’s case, a prior deferral election that continues to apply with respect to awards previously deferred). Mr. Taneja received shares of our common stock and a cash payment for fractional shares received as a dividend equivalent payment for RSUs and shares elected in lieu of annual cash retainer and in lieu of receiving a cash dividend payment for shares subject to his deferral election. The table below sets forth the amounts received by each.</w:t>
      </w:r>
    </w:p>
    <w:p>
      <w:pPr>
        <w:spacing w:after="0" w:line="80" w:lineRule="exact"/>
        <w:rPr>
          <w:sz w:val="20"/>
          <w:szCs w:val="20"/>
          <w:color w:val="auto"/>
        </w:rPr>
      </w:pPr>
    </w:p>
    <w:tbl>
      <w:tblPr>
        <w:tblLayout w:type="fixed"/>
        <w:tblInd w:w="192" w:type="dxa"/>
        <w:tblCellMar>
          <w:top w:w="0" w:type="dxa"/>
          <w:left w:w="0" w:type="dxa"/>
          <w:bottom w:w="0" w:type="dxa"/>
          <w:right w:w="0" w:type="dxa"/>
        </w:tblCellMar>
      </w:tblPr>
      <w:tr>
        <w:trPr>
          <w:trHeight w:val="149"/>
        </w:trPr>
        <w:tc>
          <w:tcPr>
            <w:tcW w:w="39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gridSpan w:val="2"/>
          </w:tcPr>
          <w:p>
            <w:pPr>
              <w:jc w:val="right"/>
              <w:spacing w:after="0"/>
              <w:rPr>
                <w:sz w:val="20"/>
                <w:szCs w:val="20"/>
                <w:color w:val="auto"/>
              </w:rPr>
            </w:pPr>
            <w:r>
              <w:rPr>
                <w:rFonts w:ascii="Arial" w:cs="Arial" w:eastAsia="Arial" w:hAnsi="Arial"/>
                <w:sz w:val="13"/>
                <w:szCs w:val="13"/>
                <w:b w:val="1"/>
                <w:bCs w:val="1"/>
                <w:color w:val="auto"/>
              </w:rPr>
              <w:t>Cash Received for</w:t>
            </w:r>
          </w:p>
        </w:tc>
      </w:tr>
      <w:tr>
        <w:trPr>
          <w:trHeight w:val="172"/>
        </w:trPr>
        <w:tc>
          <w:tcPr>
            <w:tcW w:w="390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3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jc w:val="right"/>
              <w:ind w:right="151"/>
              <w:spacing w:after="0"/>
              <w:rPr>
                <w:sz w:val="20"/>
                <w:szCs w:val="20"/>
                <w:color w:val="auto"/>
              </w:rPr>
            </w:pPr>
            <w:r>
              <w:rPr>
                <w:rFonts w:ascii="Arial" w:cs="Arial" w:eastAsia="Arial" w:hAnsi="Arial"/>
                <w:sz w:val="13"/>
                <w:szCs w:val="13"/>
                <w:b w:val="1"/>
                <w:bCs w:val="1"/>
                <w:color w:val="auto"/>
              </w:rPr>
              <w:t>Shares</w:t>
            </w:r>
          </w:p>
        </w:tc>
        <w:tc>
          <w:tcPr>
            <w:tcW w:w="1340" w:type="dxa"/>
            <w:vAlign w:val="bottom"/>
            <w:gridSpan w:val="2"/>
          </w:tcPr>
          <w:p>
            <w:pPr>
              <w:jc w:val="right"/>
              <w:spacing w:after="0"/>
              <w:rPr>
                <w:sz w:val="20"/>
                <w:szCs w:val="20"/>
                <w:color w:val="auto"/>
              </w:rPr>
            </w:pPr>
            <w:r>
              <w:rPr>
                <w:rFonts w:ascii="Arial" w:cs="Arial" w:eastAsia="Arial" w:hAnsi="Arial"/>
                <w:sz w:val="13"/>
                <w:szCs w:val="13"/>
                <w:b w:val="1"/>
                <w:bCs w:val="1"/>
                <w:color w:val="auto"/>
              </w:rPr>
              <w:t>Fractional Shares</w:t>
            </w:r>
          </w:p>
        </w:tc>
      </w:tr>
      <w:tr>
        <w:trPr>
          <w:trHeight w:val="22"/>
        </w:trPr>
        <w:tc>
          <w:tcPr>
            <w:tcW w:w="3900" w:type="dxa"/>
            <w:vAlign w:val="bottom"/>
            <w:tcBorders>
              <w:bottom w:val="single" w:sz="8" w:color="1A3FD6"/>
            </w:tcBorders>
          </w:tcPr>
          <w:p>
            <w:pPr>
              <w:spacing w:after="0" w:line="20" w:lineRule="exact"/>
              <w:rPr>
                <w:sz w:val="1"/>
                <w:szCs w:val="1"/>
                <w:color w:val="auto"/>
              </w:rPr>
            </w:pPr>
          </w:p>
        </w:tc>
        <w:tc>
          <w:tcPr>
            <w:tcW w:w="3400" w:type="dxa"/>
            <w:vAlign w:val="bottom"/>
            <w:tcBorders>
              <w:bottom w:val="single" w:sz="8" w:color="1A3FD6"/>
            </w:tcBorders>
          </w:tcPr>
          <w:p>
            <w:pPr>
              <w:spacing w:after="0" w:line="20" w:lineRule="exact"/>
              <w:rPr>
                <w:sz w:val="1"/>
                <w:szCs w:val="1"/>
                <w:color w:val="auto"/>
              </w:rPr>
            </w:pPr>
          </w:p>
        </w:tc>
        <w:tc>
          <w:tcPr>
            <w:tcW w:w="1940" w:type="dxa"/>
            <w:vAlign w:val="bottom"/>
            <w:tcBorders>
              <w:bottom w:val="single" w:sz="8" w:color="1A3FD6"/>
            </w:tcBorders>
            <w:gridSpan w:val="2"/>
          </w:tcPr>
          <w:p>
            <w:pPr>
              <w:spacing w:after="0" w:line="20" w:lineRule="exact"/>
              <w:rPr>
                <w:sz w:val="1"/>
                <w:szCs w:val="1"/>
                <w:color w:val="auto"/>
              </w:rPr>
            </w:pPr>
          </w:p>
        </w:tc>
        <w:tc>
          <w:tcPr>
            <w:tcW w:w="580" w:type="dxa"/>
            <w:vAlign w:val="bottom"/>
            <w:tcBorders>
              <w:bottom w:val="single" w:sz="8" w:color="1A3FD6"/>
            </w:tcBorders>
          </w:tcPr>
          <w:p>
            <w:pPr>
              <w:spacing w:after="0" w:line="20" w:lineRule="exact"/>
              <w:rPr>
                <w:sz w:val="1"/>
                <w:szCs w:val="1"/>
                <w:color w:val="auto"/>
              </w:rPr>
            </w:pPr>
          </w:p>
        </w:tc>
        <w:tc>
          <w:tcPr>
            <w:tcW w:w="760" w:type="dxa"/>
            <w:vAlign w:val="bottom"/>
            <w:tcBorders>
              <w:bottom w:val="single" w:sz="8" w:color="1A3FD6"/>
            </w:tcBorders>
          </w:tcPr>
          <w:p>
            <w:pPr>
              <w:spacing w:after="0" w:line="20" w:lineRule="exact"/>
              <w:rPr>
                <w:sz w:val="1"/>
                <w:szCs w:val="1"/>
                <w:color w:val="auto"/>
              </w:rPr>
            </w:pPr>
          </w:p>
        </w:tc>
      </w:tr>
      <w:tr>
        <w:trPr>
          <w:trHeight w:val="215"/>
        </w:trPr>
        <w:tc>
          <w:tcPr>
            <w:tcW w:w="3900" w:type="dxa"/>
            <w:vAlign w:val="bottom"/>
          </w:tcPr>
          <w:p>
            <w:pPr>
              <w:ind w:left="20"/>
              <w:spacing w:after="0"/>
              <w:rPr>
                <w:sz w:val="20"/>
                <w:szCs w:val="20"/>
                <w:color w:val="auto"/>
              </w:rPr>
            </w:pPr>
            <w:r>
              <w:rPr>
                <w:rFonts w:ascii="Arial" w:cs="Arial" w:eastAsia="Arial" w:hAnsi="Arial"/>
                <w:sz w:val="14"/>
                <w:szCs w:val="14"/>
                <w:b w:val="1"/>
                <w:bCs w:val="1"/>
                <w:color w:val="1A3FD6"/>
              </w:rPr>
              <w:t>Ms. Kinney</w:t>
            </w:r>
          </w:p>
        </w:tc>
        <w:tc>
          <w:tcPr>
            <w:tcW w:w="3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940" w:type="dxa"/>
            <w:vAlign w:val="bottom"/>
            <w:gridSpan w:val="2"/>
          </w:tcPr>
          <w:p>
            <w:pPr>
              <w:jc w:val="right"/>
              <w:ind w:right="151"/>
              <w:spacing w:after="0"/>
              <w:rPr>
                <w:sz w:val="20"/>
                <w:szCs w:val="20"/>
                <w:color w:val="auto"/>
              </w:rPr>
            </w:pPr>
            <w:r>
              <w:rPr>
                <w:rFonts w:ascii="Arial" w:cs="Arial" w:eastAsia="Arial" w:hAnsi="Arial"/>
                <w:sz w:val="14"/>
                <w:szCs w:val="14"/>
                <w:color w:val="auto"/>
              </w:rPr>
              <w:t>66,226.14 (126 shares)</w:t>
            </w:r>
          </w:p>
        </w:tc>
        <w:tc>
          <w:tcPr>
            <w:tcW w:w="5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596.26</w:t>
            </w:r>
          </w:p>
        </w:tc>
      </w:tr>
      <w:tr>
        <w:trPr>
          <w:trHeight w:val="237"/>
        </w:trPr>
        <w:tc>
          <w:tcPr>
            <w:tcW w:w="3900" w:type="dxa"/>
            <w:vAlign w:val="bottom"/>
            <w:shd w:val="clear" w:color="auto" w:fill="EDF0FC"/>
          </w:tcPr>
          <w:p>
            <w:pPr>
              <w:ind w:left="20"/>
              <w:spacing w:after="0"/>
              <w:rPr>
                <w:sz w:val="20"/>
                <w:szCs w:val="20"/>
                <w:color w:val="auto"/>
              </w:rPr>
            </w:pPr>
            <w:r>
              <w:rPr>
                <w:rFonts w:ascii="Arial" w:cs="Arial" w:eastAsia="Arial" w:hAnsi="Arial"/>
                <w:sz w:val="14"/>
                <w:szCs w:val="14"/>
                <w:b w:val="1"/>
                <w:bCs w:val="1"/>
                <w:color w:val="1A3FD6"/>
              </w:rPr>
              <w:t>Ms. Matlock</w:t>
            </w:r>
          </w:p>
        </w:tc>
        <w:tc>
          <w:tcPr>
            <w:tcW w:w="3400" w:type="dxa"/>
            <w:vAlign w:val="bottom"/>
            <w:shd w:val="clear" w:color="auto" w:fill="EDF0FC"/>
          </w:tcPr>
          <w:p>
            <w:pPr>
              <w:jc w:val="right"/>
              <w:ind w:right="168"/>
              <w:spacing w:after="0"/>
              <w:rPr>
                <w:sz w:val="20"/>
                <w:szCs w:val="20"/>
                <w:color w:val="auto"/>
              </w:rPr>
            </w:pPr>
            <w:r>
              <w:rPr>
                <w:rFonts w:ascii="Arial" w:cs="Arial" w:eastAsia="Arial" w:hAnsi="Arial"/>
                <w:sz w:val="14"/>
                <w:szCs w:val="14"/>
                <w:color w:val="auto"/>
              </w:rPr>
              <w:t>$</w:t>
            </w:r>
          </w:p>
        </w:tc>
        <w:tc>
          <w:tcPr>
            <w:tcW w:w="1940" w:type="dxa"/>
            <w:vAlign w:val="bottom"/>
            <w:gridSpan w:val="2"/>
            <w:shd w:val="clear" w:color="auto" w:fill="EDF0FC"/>
          </w:tcPr>
          <w:p>
            <w:pPr>
              <w:jc w:val="right"/>
              <w:ind w:right="151"/>
              <w:spacing w:after="0"/>
              <w:rPr>
                <w:sz w:val="20"/>
                <w:szCs w:val="20"/>
                <w:color w:val="auto"/>
              </w:rPr>
            </w:pPr>
            <w:r>
              <w:rPr>
                <w:rFonts w:ascii="Arial" w:cs="Arial" w:eastAsia="Arial" w:hAnsi="Arial"/>
                <w:sz w:val="14"/>
                <w:szCs w:val="14"/>
                <w:color w:val="auto"/>
              </w:rPr>
              <w:t>6,165.53 (11 shares)</w:t>
            </w:r>
          </w:p>
        </w:tc>
        <w:tc>
          <w:tcPr>
            <w:tcW w:w="580" w:type="dxa"/>
            <w:vAlign w:val="bottom"/>
            <w:shd w:val="clear" w:color="auto" w:fill="EDF0FC"/>
          </w:tcPr>
          <w:p>
            <w:pPr>
              <w:jc w:val="right"/>
              <w:ind w:right="71"/>
              <w:spacing w:after="0"/>
              <w:rPr>
                <w:sz w:val="20"/>
                <w:szCs w:val="20"/>
                <w:color w:val="auto"/>
              </w:rPr>
            </w:pPr>
            <w:r>
              <w:rPr>
                <w:rFonts w:ascii="Arial" w:cs="Arial" w:eastAsia="Arial" w:hAnsi="Arial"/>
                <w:sz w:val="14"/>
                <w:szCs w:val="14"/>
                <w:color w:val="auto"/>
              </w:rPr>
              <w:t>$</w:t>
            </w:r>
          </w:p>
        </w:tc>
        <w:tc>
          <w:tcPr>
            <w:tcW w:w="760" w:type="dxa"/>
            <w:vAlign w:val="bottom"/>
            <w:shd w:val="clear" w:color="auto" w:fill="EDF0FC"/>
          </w:tcPr>
          <w:p>
            <w:pPr>
              <w:jc w:val="right"/>
              <w:spacing w:after="0"/>
              <w:rPr>
                <w:sz w:val="20"/>
                <w:szCs w:val="20"/>
                <w:color w:val="auto"/>
              </w:rPr>
            </w:pPr>
            <w:r>
              <w:rPr>
                <w:rFonts w:ascii="Arial" w:cs="Arial" w:eastAsia="Arial" w:hAnsi="Arial"/>
                <w:sz w:val="14"/>
                <w:szCs w:val="14"/>
                <w:color w:val="auto"/>
              </w:rPr>
              <w:t>952.87</w:t>
            </w:r>
          </w:p>
        </w:tc>
      </w:tr>
      <w:tr>
        <w:trPr>
          <w:trHeight w:val="222"/>
        </w:trPr>
        <w:tc>
          <w:tcPr>
            <w:tcW w:w="3900" w:type="dxa"/>
            <w:vAlign w:val="bottom"/>
          </w:tcPr>
          <w:p>
            <w:pPr>
              <w:ind w:left="20"/>
              <w:spacing w:after="0"/>
              <w:rPr>
                <w:sz w:val="20"/>
                <w:szCs w:val="20"/>
                <w:color w:val="auto"/>
              </w:rPr>
            </w:pPr>
            <w:r>
              <w:rPr>
                <w:rFonts w:ascii="Arial" w:cs="Arial" w:eastAsia="Arial" w:hAnsi="Arial"/>
                <w:sz w:val="14"/>
                <w:szCs w:val="14"/>
                <w:b w:val="1"/>
                <w:bCs w:val="1"/>
                <w:color w:val="1A3FD6"/>
              </w:rPr>
              <w:t>Ms. Riefler</w:t>
            </w:r>
          </w:p>
        </w:tc>
        <w:tc>
          <w:tcPr>
            <w:tcW w:w="3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8,410.01</w:t>
            </w:r>
          </w:p>
        </w:tc>
        <w:tc>
          <w:tcPr>
            <w:tcW w:w="980" w:type="dxa"/>
            <w:vAlign w:val="bottom"/>
          </w:tcPr>
          <w:p>
            <w:pPr>
              <w:jc w:val="right"/>
              <w:ind w:right="151"/>
              <w:spacing w:after="0"/>
              <w:rPr>
                <w:sz w:val="20"/>
                <w:szCs w:val="20"/>
                <w:color w:val="auto"/>
              </w:rPr>
            </w:pPr>
            <w:r>
              <w:rPr>
                <w:rFonts w:ascii="Arial" w:cs="Arial" w:eastAsia="Arial" w:hAnsi="Arial"/>
                <w:sz w:val="14"/>
                <w:szCs w:val="14"/>
                <w:color w:val="auto"/>
              </w:rPr>
              <w:t>(15 shares)</w:t>
            </w:r>
          </w:p>
        </w:tc>
        <w:tc>
          <w:tcPr>
            <w:tcW w:w="5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1,284.39</w:t>
            </w:r>
          </w:p>
        </w:tc>
      </w:tr>
      <w:tr>
        <w:trPr>
          <w:trHeight w:val="231"/>
        </w:trPr>
        <w:tc>
          <w:tcPr>
            <w:tcW w:w="3900" w:type="dxa"/>
            <w:vAlign w:val="bottom"/>
            <w:tcBorders>
              <w:bottom w:val="single" w:sz="8" w:color="auto"/>
            </w:tcBorders>
            <w:shd w:val="clear" w:color="auto" w:fill="EDF0FC"/>
          </w:tcPr>
          <w:p>
            <w:pPr>
              <w:ind w:left="20"/>
              <w:spacing w:after="0"/>
              <w:rPr>
                <w:sz w:val="20"/>
                <w:szCs w:val="20"/>
                <w:color w:val="auto"/>
              </w:rPr>
            </w:pPr>
            <w:r>
              <w:rPr>
                <w:rFonts w:ascii="Arial" w:cs="Arial" w:eastAsia="Arial" w:hAnsi="Arial"/>
                <w:sz w:val="14"/>
                <w:szCs w:val="14"/>
                <w:b w:val="1"/>
                <w:bCs w:val="1"/>
                <w:color w:val="1A3FD6"/>
              </w:rPr>
              <w:t>Mr. Taneja</w:t>
            </w:r>
          </w:p>
        </w:tc>
        <w:tc>
          <w:tcPr>
            <w:tcW w:w="3400" w:type="dxa"/>
            <w:vAlign w:val="bottom"/>
            <w:tcBorders>
              <w:bottom w:val="single" w:sz="8" w:color="auto"/>
            </w:tcBorders>
            <w:shd w:val="clear" w:color="auto" w:fill="EDF0FC"/>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EDF0FC"/>
          </w:tcPr>
          <w:p>
            <w:pPr>
              <w:jc w:val="right"/>
              <w:spacing w:after="0"/>
              <w:rPr>
                <w:sz w:val="20"/>
                <w:szCs w:val="20"/>
                <w:color w:val="auto"/>
              </w:rPr>
            </w:pPr>
            <w:r>
              <w:rPr>
                <w:rFonts w:ascii="Arial" w:cs="Arial" w:eastAsia="Arial" w:hAnsi="Arial"/>
                <w:sz w:val="14"/>
                <w:szCs w:val="14"/>
                <w:color w:val="auto"/>
              </w:rPr>
              <w:t>12,820.58</w:t>
            </w:r>
          </w:p>
        </w:tc>
        <w:tc>
          <w:tcPr>
            <w:tcW w:w="980" w:type="dxa"/>
            <w:vAlign w:val="bottom"/>
            <w:tcBorders>
              <w:bottom w:val="single" w:sz="8" w:color="auto"/>
            </w:tcBorders>
            <w:shd w:val="clear" w:color="auto" w:fill="EDF0FC"/>
          </w:tcPr>
          <w:p>
            <w:pPr>
              <w:jc w:val="right"/>
              <w:ind w:right="151"/>
              <w:spacing w:after="0"/>
              <w:rPr>
                <w:sz w:val="20"/>
                <w:szCs w:val="20"/>
                <w:color w:val="auto"/>
              </w:rPr>
            </w:pPr>
            <w:r>
              <w:rPr>
                <w:rFonts w:ascii="Arial" w:cs="Arial" w:eastAsia="Arial" w:hAnsi="Arial"/>
                <w:sz w:val="14"/>
                <w:szCs w:val="14"/>
                <w:color w:val="auto"/>
              </w:rPr>
              <w:t>(23 shares)</w:t>
            </w:r>
          </w:p>
        </w:tc>
        <w:tc>
          <w:tcPr>
            <w:tcW w:w="580" w:type="dxa"/>
            <w:vAlign w:val="bottom"/>
            <w:tcBorders>
              <w:bottom w:val="single" w:sz="8" w:color="auto"/>
            </w:tcBorders>
            <w:shd w:val="clear" w:color="auto" w:fill="EDF0FC"/>
          </w:tcPr>
          <w:p>
            <w:pPr>
              <w:jc w:val="right"/>
              <w:ind w:right="7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EDF0FC"/>
          </w:tcPr>
          <w:p>
            <w:pPr>
              <w:jc w:val="right"/>
              <w:spacing w:after="0"/>
              <w:rPr>
                <w:sz w:val="20"/>
                <w:szCs w:val="20"/>
                <w:color w:val="auto"/>
              </w:rPr>
            </w:pPr>
            <w:r>
              <w:rPr>
                <w:rFonts w:ascii="Arial" w:cs="Arial" w:eastAsia="Arial" w:hAnsi="Arial"/>
                <w:sz w:val="14"/>
                <w:szCs w:val="14"/>
                <w:color w:val="auto"/>
              </w:rPr>
              <w:t>1,553.82</w:t>
            </w:r>
          </w:p>
        </w:tc>
      </w:tr>
    </w:tbl>
    <w:p>
      <w:pPr>
        <w:spacing w:after="0" w:line="193" w:lineRule="exact"/>
        <w:rPr>
          <w:sz w:val="20"/>
          <w:szCs w:val="20"/>
          <w:color w:val="auto"/>
        </w:rPr>
      </w:pPr>
    </w:p>
    <w:p>
      <w:pPr>
        <w:ind w:left="192" w:right="280" w:hanging="192"/>
        <w:spacing w:after="0" w:line="231" w:lineRule="auto"/>
        <w:tabs>
          <w:tab w:leader="none" w:pos="179" w:val="left"/>
        </w:tabs>
        <w:numPr>
          <w:ilvl w:val="0"/>
          <w:numId w:val="60"/>
        </w:numPr>
        <w:rPr>
          <w:rFonts w:ascii="Arial" w:cs="Arial" w:eastAsia="Arial" w:hAnsi="Arial"/>
          <w:sz w:val="19"/>
          <w:szCs w:val="19"/>
          <w:color w:val="auto"/>
          <w:vertAlign w:val="superscript"/>
        </w:rPr>
      </w:pPr>
      <w:r>
        <w:rPr>
          <w:rFonts w:ascii="Arial" w:cs="Arial" w:eastAsia="Arial" w:hAnsi="Arial"/>
          <w:sz w:val="14"/>
          <w:szCs w:val="14"/>
          <w:color w:val="auto"/>
        </w:rPr>
        <w:t>Mr. Desai was appointed to the Board effective March 11, 2024 and resigned from the Board effective July 25, 2024. In connection with his resignation, Mr. Desai forfeited 450 RSUs granted to him in May 2024 that were unvested as of his resignation date.</w:t>
      </w:r>
    </w:p>
    <w:p>
      <w:pPr>
        <w:spacing w:after="0" w:line="53" w:lineRule="exact"/>
        <w:rPr>
          <w:rFonts w:ascii="Arial" w:cs="Arial" w:eastAsia="Arial" w:hAnsi="Arial"/>
          <w:sz w:val="19"/>
          <w:szCs w:val="19"/>
          <w:color w:val="auto"/>
          <w:vertAlign w:val="superscript"/>
        </w:rPr>
      </w:pPr>
    </w:p>
    <w:p>
      <w:pPr>
        <w:ind w:left="172" w:hanging="172"/>
        <w:spacing w:after="0"/>
        <w:tabs>
          <w:tab w:leader="none" w:pos="172" w:val="left"/>
        </w:tabs>
        <w:numPr>
          <w:ilvl w:val="0"/>
          <w:numId w:val="60"/>
        </w:numPr>
        <w:rPr>
          <w:rFonts w:ascii="Arial" w:cs="Arial" w:eastAsia="Arial" w:hAnsi="Arial"/>
          <w:sz w:val="9"/>
          <w:szCs w:val="9"/>
          <w:color w:val="auto"/>
        </w:rPr>
      </w:pPr>
      <w:r>
        <w:rPr>
          <w:rFonts w:ascii="Arial" w:cs="Arial" w:eastAsia="Arial" w:hAnsi="Arial"/>
          <w:sz w:val="14"/>
          <w:szCs w:val="14"/>
          <w:color w:val="auto"/>
        </w:rPr>
        <w:t>Mr. Edmunds is not standing for re-election at the 2025 Annual Meeting but will remain on the Board through the date of the meeting.</w:t>
      </w:r>
    </w:p>
    <w:p>
      <w:pPr>
        <w:spacing w:after="0" w:line="82" w:lineRule="exact"/>
        <w:rPr>
          <w:rFonts w:ascii="Arial" w:cs="Arial" w:eastAsia="Arial" w:hAnsi="Arial"/>
          <w:sz w:val="9"/>
          <w:szCs w:val="9"/>
          <w:color w:val="auto"/>
        </w:rPr>
      </w:pPr>
    </w:p>
    <w:p>
      <w:pPr>
        <w:ind w:left="192" w:right="120" w:hanging="192"/>
        <w:spacing w:after="0" w:line="239" w:lineRule="auto"/>
        <w:tabs>
          <w:tab w:leader="none" w:pos="179" w:val="left"/>
        </w:tabs>
        <w:numPr>
          <w:ilvl w:val="0"/>
          <w:numId w:val="60"/>
        </w:numPr>
        <w:rPr>
          <w:rFonts w:ascii="Arial" w:cs="Arial" w:eastAsia="Arial" w:hAnsi="Arial"/>
          <w:sz w:val="19"/>
          <w:szCs w:val="19"/>
          <w:color w:val="auto"/>
          <w:vertAlign w:val="superscript"/>
        </w:rPr>
      </w:pPr>
      <w:r>
        <w:rPr>
          <w:rFonts w:ascii="Arial" w:cs="Arial" w:eastAsia="Arial" w:hAnsi="Arial"/>
          <w:sz w:val="14"/>
          <w:szCs w:val="14"/>
          <w:color w:val="auto"/>
        </w:rPr>
        <w:t>Ms. Kinney did not stand for re-election at the 2024 annual meeting of shareholders and served on the Board through April 23, 2024, and thus did not receive compensation for the 2024 Board Term.</w:t>
      </w:r>
    </w:p>
    <w:p>
      <w:pPr>
        <w:spacing w:after="0" w:line="25" w:lineRule="exact"/>
        <w:rPr>
          <w:rFonts w:ascii="Arial" w:cs="Arial" w:eastAsia="Arial" w:hAnsi="Arial"/>
          <w:sz w:val="19"/>
          <w:szCs w:val="19"/>
          <w:color w:val="auto"/>
          <w:vertAlign w:val="superscript"/>
        </w:rPr>
      </w:pPr>
    </w:p>
    <w:p>
      <w:pPr>
        <w:ind w:left="172" w:hanging="172"/>
        <w:spacing w:after="0"/>
        <w:tabs>
          <w:tab w:leader="none" w:pos="172" w:val="left"/>
        </w:tabs>
        <w:numPr>
          <w:ilvl w:val="0"/>
          <w:numId w:val="60"/>
        </w:numPr>
        <w:rPr>
          <w:rFonts w:ascii="Arial" w:cs="Arial" w:eastAsia="Arial" w:hAnsi="Arial"/>
          <w:sz w:val="19"/>
          <w:szCs w:val="19"/>
          <w:color w:val="auto"/>
          <w:vertAlign w:val="superscript"/>
        </w:rPr>
      </w:pPr>
      <w:r>
        <w:rPr>
          <w:rFonts w:ascii="Arial" w:cs="Arial" w:eastAsia="Arial" w:hAnsi="Arial"/>
          <w:sz w:val="14"/>
          <w:szCs w:val="14"/>
          <w:color w:val="auto"/>
        </w:rPr>
        <w:t>Ms. Seitz was appointed to the Board effective August 5, 2024.</w:t>
      </w:r>
    </w:p>
    <w:p>
      <w:pPr>
        <w:spacing w:after="0" w:line="57" w:lineRule="exact"/>
        <w:rPr>
          <w:rFonts w:ascii="Arial" w:cs="Arial" w:eastAsia="Arial" w:hAnsi="Arial"/>
          <w:sz w:val="19"/>
          <w:szCs w:val="19"/>
          <w:color w:val="auto"/>
          <w:vertAlign w:val="superscript"/>
        </w:rPr>
      </w:pPr>
    </w:p>
    <w:p>
      <w:pPr>
        <w:ind w:left="172" w:hanging="172"/>
        <w:spacing w:after="0"/>
        <w:tabs>
          <w:tab w:leader="none" w:pos="172" w:val="left"/>
        </w:tabs>
        <w:numPr>
          <w:ilvl w:val="0"/>
          <w:numId w:val="60"/>
        </w:numPr>
        <w:rPr>
          <w:rFonts w:ascii="Arial" w:cs="Arial" w:eastAsia="Arial" w:hAnsi="Arial"/>
          <w:sz w:val="13"/>
          <w:szCs w:val="13"/>
          <w:color w:val="auto"/>
          <w:vertAlign w:val="superscript"/>
        </w:rPr>
      </w:pPr>
      <w:r>
        <w:rPr>
          <w:rFonts w:ascii="Arial" w:cs="Arial" w:eastAsia="Arial" w:hAnsi="Arial"/>
          <w:sz w:val="11"/>
          <w:szCs w:val="11"/>
          <w:color w:val="auto"/>
        </w:rPr>
        <w:t>Ms. Yang was appointed to the Board effective December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770255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292" w:right="339" w:bottom="1440" w:gutter="0" w:footer="0" w:header="0"/>
          <w:type w:val="continuous"/>
        </w:sectPr>
      </w:pPr>
    </w:p>
    <w:bookmarkStart w:id="56" w:name="page57"/>
    <w:bookmarkEnd w:id="56"/>
    <w:p>
      <w:pPr>
        <w:ind w:left="6100"/>
        <w:spacing w:after="0"/>
        <w:tabs>
          <w:tab w:leader="none" w:pos="109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Director Compensation and Stock Ownership Guidelines | MSCI</w:t>
      </w:r>
      <w:r>
        <w:rPr>
          <w:sz w:val="20"/>
          <w:szCs w:val="20"/>
          <w:color w:val="auto"/>
        </w:rPr>
        <w:tab/>
      </w:r>
      <w:r>
        <w:rPr>
          <w:rFonts w:ascii="Arial" w:cs="Arial" w:eastAsia="Arial" w:hAnsi="Arial"/>
          <w:sz w:val="14"/>
          <w:szCs w:val="14"/>
          <w:b w:val="1"/>
          <w:bCs w:val="1"/>
          <w:color w:val="1A3FD6"/>
        </w:rPr>
        <w:t>55</w:t>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Non-Employee Director Stock Ownership Guidelines</w:t>
      </w:r>
    </w:p>
    <w:p>
      <w:pPr>
        <w:spacing w:after="0" w:line="200"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Our Board believes that our directors should hold a meaningful financial stake in our Company in order to further align their interests with those of our shareholders. Under the Company’s stock ownership guidelines for non-employee directors, commencing on April 28, 2016, each non-employee director has been required to own a target number of shares of stock of the Company equal to the sum of the “net shares” resulting from the vesting of the RSUs granted to such director for each of the last five years, with such aggregate share ownership to be achieved within five years of initially being elected or appointed to the Board and maintained thereafter. “Net Shares” means the number of shares that would remain if the shares underlying the equity awards are sold or withheld by the Company to (i) pay the exercise price of a stock option, (ii) satisfy any tax withholding obligations (assuming a tax rate of 50%) or (iii) satisfy any other applicable transaction costs.</w:t>
      </w:r>
    </w:p>
    <w:p>
      <w:pPr>
        <w:spacing w:after="0" w:line="82"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Shares that count towards satisfaction of the target level of stock ownership under the stock ownership guidelines for non-employee directors consist of the following:</w:t>
      </w:r>
    </w:p>
    <w:p>
      <w:pPr>
        <w:spacing w:after="0" w:line="60" w:lineRule="exact"/>
        <w:rPr>
          <w:sz w:val="20"/>
          <w:szCs w:val="20"/>
          <w:color w:val="auto"/>
        </w:rPr>
      </w:pPr>
    </w:p>
    <w:p>
      <w:pPr>
        <w:ind w:left="260" w:right="140" w:hanging="252"/>
        <w:spacing w:after="0" w:line="308" w:lineRule="auto"/>
        <w:tabs>
          <w:tab w:leader="none" w:pos="244" w:val="left"/>
        </w:tabs>
        <w:numPr>
          <w:ilvl w:val="0"/>
          <w:numId w:val="61"/>
        </w:numPr>
        <w:rPr>
          <w:rFonts w:ascii="Arial" w:cs="Arial" w:eastAsia="Arial" w:hAnsi="Arial"/>
          <w:sz w:val="16"/>
          <w:szCs w:val="16"/>
          <w:b w:val="1"/>
          <w:bCs w:val="1"/>
          <w:color w:val="1A3FD6"/>
        </w:rPr>
      </w:pPr>
      <w:r>
        <w:rPr>
          <w:rFonts w:ascii="Arial" w:cs="Arial" w:eastAsia="Arial" w:hAnsi="Arial"/>
          <w:sz w:val="16"/>
          <w:szCs w:val="16"/>
          <w:color w:val="auto"/>
        </w:rPr>
        <w:t>Shares beneficially owned individually, either directly or indirectly (including any shares beneficially owned as a result of an election to receive a retainer (or any portion thereof) in shares);</w:t>
      </w:r>
    </w:p>
    <w:p>
      <w:pPr>
        <w:ind w:left="260" w:hanging="252"/>
        <w:spacing w:after="0"/>
        <w:tabs>
          <w:tab w:leader="none" w:pos="260" w:val="left"/>
        </w:tabs>
        <w:numPr>
          <w:ilvl w:val="0"/>
          <w:numId w:val="61"/>
        </w:numPr>
        <w:rPr>
          <w:rFonts w:ascii="Arial" w:cs="Arial" w:eastAsia="Arial" w:hAnsi="Arial"/>
          <w:sz w:val="16"/>
          <w:szCs w:val="16"/>
          <w:b w:val="1"/>
          <w:bCs w:val="1"/>
          <w:color w:val="1A3FD6"/>
        </w:rPr>
      </w:pPr>
      <w:r>
        <w:rPr>
          <w:rFonts w:ascii="Arial" w:cs="Arial" w:eastAsia="Arial" w:hAnsi="Arial"/>
          <w:sz w:val="16"/>
          <w:szCs w:val="16"/>
          <w:color w:val="auto"/>
        </w:rPr>
        <w:t>Shares beneficially owned jointly with, or separately by, immediate family members residing in the same household, either directly or indirectly;</w:t>
      </w:r>
    </w:p>
    <w:p>
      <w:pPr>
        <w:spacing w:after="0" w:line="86" w:lineRule="exact"/>
        <w:rPr>
          <w:rFonts w:ascii="Arial" w:cs="Arial" w:eastAsia="Arial" w:hAnsi="Arial"/>
          <w:sz w:val="16"/>
          <w:szCs w:val="16"/>
          <w:b w:val="1"/>
          <w:bCs w:val="1"/>
          <w:color w:val="1A3FD6"/>
        </w:rPr>
      </w:pPr>
    </w:p>
    <w:p>
      <w:pPr>
        <w:ind w:left="260" w:hanging="252"/>
        <w:spacing w:after="0"/>
        <w:tabs>
          <w:tab w:leader="none" w:pos="260" w:val="left"/>
        </w:tabs>
        <w:numPr>
          <w:ilvl w:val="0"/>
          <w:numId w:val="61"/>
        </w:numPr>
        <w:rPr>
          <w:rFonts w:ascii="Arial" w:cs="Arial" w:eastAsia="Arial" w:hAnsi="Arial"/>
          <w:sz w:val="16"/>
          <w:szCs w:val="16"/>
          <w:b w:val="1"/>
          <w:bCs w:val="1"/>
          <w:color w:val="1A3FD6"/>
        </w:rPr>
      </w:pPr>
      <w:r>
        <w:rPr>
          <w:rFonts w:ascii="Arial" w:cs="Arial" w:eastAsia="Arial" w:hAnsi="Arial"/>
          <w:sz w:val="16"/>
          <w:szCs w:val="16"/>
          <w:color w:val="auto"/>
        </w:rPr>
        <w:t>Shares underlying vested and unvested RSUs granted under the Directors Plan; and</w:t>
      </w:r>
    </w:p>
    <w:p>
      <w:pPr>
        <w:spacing w:after="0" w:line="72" w:lineRule="exact"/>
        <w:rPr>
          <w:rFonts w:ascii="Arial" w:cs="Arial" w:eastAsia="Arial" w:hAnsi="Arial"/>
          <w:sz w:val="16"/>
          <w:szCs w:val="16"/>
          <w:b w:val="1"/>
          <w:bCs w:val="1"/>
          <w:color w:val="1A3FD6"/>
        </w:rPr>
      </w:pPr>
    </w:p>
    <w:p>
      <w:pPr>
        <w:ind w:left="260" w:right="100" w:hanging="252"/>
        <w:spacing w:after="0" w:line="316" w:lineRule="auto"/>
        <w:tabs>
          <w:tab w:leader="none" w:pos="244" w:val="left"/>
        </w:tabs>
        <w:numPr>
          <w:ilvl w:val="0"/>
          <w:numId w:val="61"/>
        </w:numPr>
        <w:rPr>
          <w:rFonts w:ascii="Arial" w:cs="Arial" w:eastAsia="Arial" w:hAnsi="Arial"/>
          <w:sz w:val="16"/>
          <w:szCs w:val="16"/>
          <w:b w:val="1"/>
          <w:bCs w:val="1"/>
          <w:color w:val="1A3FD6"/>
        </w:rPr>
      </w:pPr>
      <w:r>
        <w:rPr>
          <w:rFonts w:ascii="Arial" w:cs="Arial" w:eastAsia="Arial" w:hAnsi="Arial"/>
          <w:sz w:val="16"/>
          <w:szCs w:val="16"/>
          <w:color w:val="auto"/>
        </w:rPr>
        <w:t>Shares for which receipt has been deferred (including any shares held through the Deferral Plan or any other deferred compensation plan maintained by the Company).</w:t>
      </w:r>
    </w:p>
    <w:p>
      <w:pPr>
        <w:spacing w:after="0" w:line="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As described above, under these guidelines, non-employee directors are required to hold all after-tax shares received on the vesting of annual awards in the prior five years of service until the requirement is met and maintained. As of the date of this Proxy Statement, all of our non-employee directors are in compliance with the Company’s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57" w:name="page58"/>
    <w:bookmarkEnd w:id="57"/>
    <w:p>
      <w:pPr>
        <w:spacing w:after="0"/>
        <w:tabs>
          <w:tab w:leader="none" w:pos="6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56</w:t>
      </w:r>
      <w:r>
        <w:rPr>
          <w:sz w:val="20"/>
          <w:szCs w:val="20"/>
          <w:color w:val="auto"/>
        </w:rPr>
        <w:tab/>
      </w:r>
      <w:r>
        <w:rPr>
          <w:rFonts w:ascii="Arial" w:cs="Arial" w:eastAsia="Arial" w:hAnsi="Arial"/>
          <w:sz w:val="14"/>
          <w:szCs w:val="14"/>
          <w:b w:val="1"/>
          <w:bCs w:val="1"/>
          <w:color w:val="1A3FD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434975</wp:posOffset>
            </wp:positionV>
            <wp:extent cx="7132320" cy="11061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PROPOSAL NO. 2</w:t>
      </w:r>
    </w:p>
    <w:p>
      <w:pPr>
        <w:spacing w:after="0" w:line="103" w:lineRule="exact"/>
        <w:rPr>
          <w:sz w:val="20"/>
          <w:szCs w:val="20"/>
          <w:color w:val="auto"/>
        </w:rPr>
      </w:pPr>
    </w:p>
    <w:p>
      <w:pPr>
        <w:ind w:left="1080" w:right="3640"/>
        <w:spacing w:after="0" w:line="337" w:lineRule="auto"/>
        <w:rPr>
          <w:sz w:val="20"/>
          <w:szCs w:val="20"/>
          <w:color w:val="auto"/>
        </w:rPr>
      </w:pPr>
      <w:r>
        <w:rPr>
          <w:rFonts w:ascii="Arial" w:cs="Arial" w:eastAsia="Arial" w:hAnsi="Arial"/>
          <w:sz w:val="35"/>
          <w:szCs w:val="35"/>
          <w:b w:val="1"/>
          <w:bCs w:val="1"/>
          <w:color w:val="1A3FD6"/>
        </w:rPr>
        <w:t>Advisory Vote to Approve Executive Compensation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26035</wp:posOffset>
            </wp:positionV>
            <wp:extent cx="7132320" cy="5740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574040"/>
                    </a:xfrm>
                    <a:prstGeom prst="rect">
                      <a:avLst/>
                    </a:prstGeom>
                    <a:noFill/>
                  </pic:spPr>
                </pic:pic>
              </a:graphicData>
            </a:graphic>
          </wp:anchor>
        </w:drawing>
      </w:r>
    </w:p>
    <w:p>
      <w:pPr>
        <w:spacing w:after="0" w:line="88" w:lineRule="exact"/>
        <w:rPr>
          <w:sz w:val="20"/>
          <w:szCs w:val="20"/>
          <w:color w:val="auto"/>
        </w:rPr>
      </w:pPr>
    </w:p>
    <w:p>
      <w:pPr>
        <w:ind w:left="1660" w:right="280"/>
        <w:spacing w:after="0" w:line="321" w:lineRule="auto"/>
        <w:rPr>
          <w:sz w:val="20"/>
          <w:szCs w:val="20"/>
          <w:color w:val="auto"/>
        </w:rPr>
      </w:pPr>
      <w:r>
        <w:rPr>
          <w:rFonts w:ascii="Arial" w:cs="Arial" w:eastAsia="Arial" w:hAnsi="Arial"/>
          <w:sz w:val="16"/>
          <w:szCs w:val="16"/>
          <w:color w:val="FFFFFF"/>
        </w:rPr>
        <w:t xml:space="preserve">Our Board of Directors recommends a vote </w:t>
      </w:r>
      <w:r>
        <w:rPr>
          <w:rFonts w:ascii="Arial" w:cs="Arial" w:eastAsia="Arial" w:hAnsi="Arial"/>
          <w:sz w:val="16"/>
          <w:szCs w:val="16"/>
          <w:b w:val="1"/>
          <w:bCs w:val="1"/>
          <w:color w:val="FFFFFF"/>
        </w:rPr>
        <w:t>“FOR”</w:t>
      </w:r>
      <w:r>
        <w:rPr>
          <w:rFonts w:ascii="Arial" w:cs="Arial" w:eastAsia="Arial" w:hAnsi="Arial"/>
          <w:sz w:val="16"/>
          <w:szCs w:val="16"/>
          <w:color w:val="FFFFFF"/>
        </w:rPr>
        <w:t xml:space="preserve"> the approval of the compensation of MSCI’s Named Executive Officers as disclosed in this Proxy Statement pursuant to the compensation disclosure rules of the SEC.</w:t>
      </w:r>
    </w:p>
    <w:p>
      <w:pPr>
        <w:spacing w:after="0" w:line="34" w:lineRule="exact"/>
        <w:rPr>
          <w:sz w:val="20"/>
          <w:szCs w:val="20"/>
          <w:color w:val="auto"/>
        </w:rPr>
      </w:pPr>
    </w:p>
    <w:p>
      <w:pPr>
        <w:ind w:left="1660"/>
        <w:spacing w:after="0"/>
        <w:rPr>
          <w:sz w:val="20"/>
          <w:szCs w:val="20"/>
          <w:color w:val="auto"/>
        </w:rPr>
      </w:pPr>
      <w:r>
        <w:rPr>
          <w:rFonts w:ascii="Arial" w:cs="Arial" w:eastAsia="Arial" w:hAnsi="Arial"/>
          <w:sz w:val="16"/>
          <w:szCs w:val="16"/>
          <w:color w:val="FFFFFF"/>
        </w:rPr>
        <w:t xml:space="preserve">Proxies solicited by the Board will be voted </w:t>
      </w:r>
      <w:r>
        <w:rPr>
          <w:rFonts w:ascii="Arial" w:cs="Arial" w:eastAsia="Arial" w:hAnsi="Arial"/>
          <w:sz w:val="16"/>
          <w:szCs w:val="16"/>
          <w:b w:val="1"/>
          <w:bCs w:val="1"/>
          <w:color w:val="FFFFFF"/>
        </w:rPr>
        <w:t>“FOR”</w:t>
      </w:r>
      <w:r>
        <w:rPr>
          <w:rFonts w:ascii="Arial" w:cs="Arial" w:eastAsia="Arial" w:hAnsi="Arial"/>
          <w:sz w:val="16"/>
          <w:szCs w:val="16"/>
          <w:color w:val="FFFFFF"/>
        </w:rPr>
        <w:t xml:space="preserve"> this approval unless otherwise instructed.</w:t>
      </w:r>
    </w:p>
    <w:p>
      <w:pPr>
        <w:spacing w:after="0" w:line="200" w:lineRule="exact"/>
        <w:rPr>
          <w:sz w:val="20"/>
          <w:szCs w:val="20"/>
          <w:color w:val="auto"/>
        </w:rPr>
      </w:pPr>
    </w:p>
    <w:p>
      <w:pPr>
        <w:spacing w:after="0" w:line="224" w:lineRule="exact"/>
        <w:rPr>
          <w:sz w:val="20"/>
          <w:szCs w:val="20"/>
          <w:color w:val="auto"/>
        </w:rPr>
      </w:pPr>
    </w:p>
    <w:p>
      <w:pPr>
        <w:ind w:left="100"/>
        <w:spacing w:after="0" w:line="304" w:lineRule="auto"/>
        <w:rPr>
          <w:sz w:val="20"/>
          <w:szCs w:val="20"/>
          <w:color w:val="auto"/>
        </w:rPr>
      </w:pPr>
      <w:r>
        <w:rPr>
          <w:rFonts w:ascii="Arial" w:cs="Arial" w:eastAsia="Arial" w:hAnsi="Arial"/>
          <w:sz w:val="16"/>
          <w:szCs w:val="16"/>
          <w:color w:val="auto"/>
        </w:rPr>
        <w:t>The Dodd-Frank Wall Street Reform and Consumer Protection Act of 2010 (the “Dodd-Frank Act”) enables MSCI’s shareholders to vote to approve, on an advisory or non-binding basis, the compensation of our NEOs as disclosed in this Proxy Statement in accordance with SEC rules.</w:t>
      </w:r>
    </w:p>
    <w:p>
      <w:pPr>
        <w:spacing w:after="0" w:line="60" w:lineRule="exact"/>
        <w:rPr>
          <w:sz w:val="20"/>
          <w:szCs w:val="20"/>
          <w:color w:val="auto"/>
        </w:rPr>
      </w:pPr>
    </w:p>
    <w:p>
      <w:pPr>
        <w:ind w:left="100" w:right="500"/>
        <w:spacing w:after="0" w:line="304" w:lineRule="auto"/>
        <w:rPr>
          <w:sz w:val="20"/>
          <w:szCs w:val="20"/>
          <w:color w:val="auto"/>
        </w:rPr>
      </w:pPr>
      <w:r>
        <w:rPr>
          <w:rFonts w:ascii="Arial" w:cs="Arial" w:eastAsia="Arial" w:hAnsi="Arial"/>
          <w:sz w:val="16"/>
          <w:szCs w:val="16"/>
          <w:color w:val="auto"/>
        </w:rPr>
        <w:t>For an overview of the compensation of our NEOs and our compensation strategy, see “Compensation Matters—Compensation Discussion and Analysis—Executive Summary” below.</w:t>
      </w:r>
    </w:p>
    <w:p>
      <w:pPr>
        <w:spacing w:after="0" w:line="60" w:lineRule="exact"/>
        <w:rPr>
          <w:sz w:val="20"/>
          <w:szCs w:val="20"/>
          <w:color w:val="auto"/>
        </w:rPr>
      </w:pPr>
    </w:p>
    <w:p>
      <w:pPr>
        <w:ind w:left="100" w:right="200"/>
        <w:spacing w:after="0" w:line="289" w:lineRule="auto"/>
        <w:rPr>
          <w:sz w:val="20"/>
          <w:szCs w:val="20"/>
          <w:color w:val="auto"/>
        </w:rPr>
      </w:pPr>
      <w:r>
        <w:rPr>
          <w:rFonts w:ascii="Arial" w:cs="Arial" w:eastAsia="Arial" w:hAnsi="Arial"/>
          <w:sz w:val="16"/>
          <w:szCs w:val="16"/>
          <w:color w:val="auto"/>
        </w:rPr>
        <w:t>We are asking for shareholder approval of the compensation of our NEOs as disclosed in this Proxy Statement in accordance with SEC rules, which include the disclosures under “Compensation Matters—Compensation Discussion and Analysis,” the compensation tables included herein and the narrative following the compensation tables. This vote is not intended to address any specific item of compensation, but rather the overall compensation of our NEOs and the policies and practices described in this Proxy Statement.</w:t>
      </w:r>
    </w:p>
    <w:p>
      <w:pPr>
        <w:spacing w:after="0" w:line="59" w:lineRule="exact"/>
        <w:rPr>
          <w:sz w:val="20"/>
          <w:szCs w:val="20"/>
          <w:color w:val="auto"/>
        </w:rPr>
      </w:pPr>
    </w:p>
    <w:p>
      <w:pPr>
        <w:ind w:left="100" w:right="20"/>
        <w:spacing w:after="0" w:line="289" w:lineRule="auto"/>
        <w:rPr>
          <w:sz w:val="20"/>
          <w:szCs w:val="20"/>
          <w:color w:val="auto"/>
        </w:rPr>
      </w:pPr>
      <w:r>
        <w:rPr>
          <w:rFonts w:ascii="Arial" w:cs="Arial" w:eastAsia="Arial" w:hAnsi="Arial"/>
          <w:sz w:val="16"/>
          <w:szCs w:val="16"/>
          <w:color w:val="auto"/>
        </w:rPr>
        <w:t>This vote is advisory and therefore not binding on MSCI, the Compensation Committee or the Board. The Board and the Compensation Committee value the opinions of MSCI’s shareholders. To the extent there is any significant vote against NEO compensation as disclosed in this Proxy Statement, we will consider those shareholders’ concerns, and the Compensation Committee will evaluate whether any actions are necessary to address those concerns. MSCI currently conducts annual advisory votes on executive compensation.</w:t>
      </w:r>
    </w:p>
    <w:p>
      <w:pPr>
        <w:spacing w:after="0" w:line="7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1A3FD6"/>
        </w:rPr>
        <w:t>VOTE REQUIRED AND RECOMMENDATION</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affirmative vote of a majority of the votes cast at our 2025 Annual Meeting, at which a quorum is present, is required to approve Proposal No. 2.</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Abstentions and broker non-votes shall not be treated as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762635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420" w:top="292" w:right="59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8420"/>
              <w:spacing w:after="0"/>
              <w:rPr>
                <w:sz w:val="20"/>
                <w:szCs w:val="20"/>
                <w:color w:val="auto"/>
              </w:rPr>
            </w:pPr>
            <w:r>
              <w:rPr>
                <w:rFonts w:ascii="Arial" w:cs="Arial" w:eastAsia="Arial" w:hAnsi="Arial"/>
                <w:sz w:val="14"/>
                <w:szCs w:val="14"/>
                <w:b w:val="1"/>
                <w:bCs w:val="1"/>
                <w:color w:val="1A3FD6"/>
              </w:rPr>
              <w:t>Compensation Matters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57</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240"/>
          </w:cols>
          <w:pgMar w:left="320" w:top="167" w:right="339" w:bottom="1440" w:gutter="0" w:footer="0" w:header="0"/>
        </w:sectPr>
      </w:pPr>
    </w:p>
    <w:p>
      <w:pPr>
        <w:spacing w:after="0" w:line="291" w:lineRule="exact"/>
        <w:rPr>
          <w:sz w:val="20"/>
          <w:szCs w:val="20"/>
          <w:color w:val="auto"/>
        </w:rPr>
      </w:pPr>
    </w:p>
    <w:p>
      <w:pPr>
        <w:ind w:left="1380" w:right="340"/>
        <w:spacing w:after="0" w:line="281" w:lineRule="auto"/>
        <w:rPr>
          <w:sz w:val="20"/>
          <w:szCs w:val="20"/>
          <w:color w:val="auto"/>
        </w:rPr>
      </w:pPr>
      <w:r>
        <w:rPr>
          <w:rFonts w:ascii="Arial" w:cs="Arial" w:eastAsia="Arial" w:hAnsi="Arial"/>
          <w:sz w:val="50"/>
          <w:szCs w:val="50"/>
          <w:b w:val="1"/>
          <w:bCs w:val="1"/>
          <w:color w:val="1A3FD6"/>
        </w:rPr>
        <w:t>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-797560</wp:posOffset>
            </wp:positionV>
            <wp:extent cx="488315" cy="6172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88315" cy="617220"/>
                    </a:xfrm>
                    <a:prstGeom prst="rect">
                      <a:avLst/>
                    </a:prstGeom>
                    <a:noFill/>
                  </pic:spPr>
                </pic:pic>
              </a:graphicData>
            </a:graphic>
          </wp:anchor>
        </w:drawing>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040" w:type="dxa"/>
            <w:vAlign w:val="bottom"/>
          </w:tcPr>
          <w:p>
            <w:pPr>
              <w:spacing w:after="0"/>
              <w:rPr>
                <w:sz w:val="20"/>
                <w:szCs w:val="20"/>
                <w:color w:val="auto"/>
              </w:rPr>
            </w:pPr>
            <w:r>
              <w:rPr>
                <w:rFonts w:ascii="Arial" w:cs="Arial" w:eastAsia="Arial" w:hAnsi="Arial"/>
                <w:sz w:val="16"/>
                <w:szCs w:val="16"/>
                <w:b w:val="1"/>
                <w:bCs w:val="1"/>
                <w:color w:val="1A3FD6"/>
              </w:rPr>
              <w:t>Compensation Discussion and Analysis</w:t>
            </w: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1A3FD6"/>
              </w:rPr>
              <w:t>58</w:t>
            </w:r>
          </w:p>
        </w:tc>
        <w:tc>
          <w:tcPr>
            <w:tcW w:w="0" w:type="dxa"/>
            <w:vAlign w:val="bottom"/>
          </w:tcPr>
          <w:p>
            <w:pPr>
              <w:spacing w:after="0"/>
              <w:rPr>
                <w:sz w:val="1"/>
                <w:szCs w:val="1"/>
                <w:color w:val="auto"/>
              </w:rPr>
            </w:pPr>
          </w:p>
        </w:tc>
      </w:tr>
      <w:tr>
        <w:trPr>
          <w:trHeight w:val="68"/>
        </w:trPr>
        <w:tc>
          <w:tcPr>
            <w:tcW w:w="40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4040" w:type="dxa"/>
            <w:vAlign w:val="bottom"/>
          </w:tcPr>
          <w:p>
            <w:pPr>
              <w:spacing w:after="0"/>
              <w:rPr>
                <w:sz w:val="20"/>
                <w:szCs w:val="20"/>
                <w:color w:val="auto"/>
              </w:rPr>
            </w:pPr>
            <w:r>
              <w:rPr>
                <w:rFonts w:ascii="Arial" w:cs="Arial" w:eastAsia="Arial" w:hAnsi="Arial"/>
                <w:sz w:val="16"/>
                <w:szCs w:val="16"/>
                <w:b w:val="1"/>
                <w:bCs w:val="1"/>
                <w:color w:val="1A3FD6"/>
              </w:rPr>
              <w:t>Highlights</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1A3FD6"/>
              </w:rPr>
              <w:t>58</w:t>
            </w:r>
          </w:p>
        </w:tc>
        <w:tc>
          <w:tcPr>
            <w:tcW w:w="0" w:type="dxa"/>
            <w:vAlign w:val="bottom"/>
          </w:tcPr>
          <w:p>
            <w:pPr>
              <w:spacing w:after="0"/>
              <w:rPr>
                <w:sz w:val="1"/>
                <w:szCs w:val="1"/>
                <w:color w:val="auto"/>
              </w:rPr>
            </w:pPr>
          </w:p>
        </w:tc>
      </w:tr>
      <w:tr>
        <w:trPr>
          <w:trHeight w:val="235"/>
        </w:trPr>
        <w:tc>
          <w:tcPr>
            <w:tcW w:w="4040" w:type="dxa"/>
            <w:vAlign w:val="bottom"/>
          </w:tcPr>
          <w:p>
            <w:pPr>
              <w:spacing w:after="0"/>
              <w:rPr>
                <w:sz w:val="20"/>
                <w:szCs w:val="20"/>
                <w:color w:val="auto"/>
              </w:rPr>
            </w:pPr>
            <w:r>
              <w:rPr>
                <w:rFonts w:ascii="Arial" w:cs="Arial" w:eastAsia="Arial" w:hAnsi="Arial"/>
                <w:sz w:val="16"/>
                <w:szCs w:val="16"/>
                <w:color w:val="auto"/>
              </w:rPr>
              <w:t>Executive Summary</w:t>
            </w:r>
          </w:p>
        </w:tc>
        <w:tc>
          <w:tcPr>
            <w:tcW w:w="112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6"/>
                <w:szCs w:val="16"/>
                <w:color w:val="auto"/>
              </w:rPr>
              <w:t>2024 Business Highlights</w:t>
            </w:r>
          </w:p>
        </w:tc>
        <w:tc>
          <w:tcPr>
            <w:tcW w:w="112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6"/>
                <w:szCs w:val="16"/>
                <w:color w:val="auto"/>
              </w:rPr>
              <w:t>Key 2024 Compensation Decisions</w:t>
            </w:r>
          </w:p>
        </w:tc>
        <w:tc>
          <w:tcPr>
            <w:tcW w:w="112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bl>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200" w:type="dxa"/>
            <w:vAlign w:val="bottom"/>
          </w:tcPr>
          <w:p>
            <w:pPr>
              <w:spacing w:after="0"/>
              <w:rPr>
                <w:sz w:val="20"/>
                <w:szCs w:val="20"/>
                <w:color w:val="auto"/>
              </w:rPr>
            </w:pPr>
            <w:r>
              <w:rPr>
                <w:rFonts w:ascii="Arial" w:cs="Arial" w:eastAsia="Arial" w:hAnsi="Arial"/>
                <w:sz w:val="16"/>
                <w:szCs w:val="16"/>
                <w:b w:val="1"/>
                <w:bCs w:val="1"/>
                <w:color w:val="1A3FD6"/>
              </w:rPr>
              <w:t>Governance and Administration</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1A3FD6"/>
              </w:rPr>
              <w:t>62</w:t>
            </w:r>
          </w:p>
        </w:tc>
      </w:tr>
      <w:tr>
        <w:trPr>
          <w:trHeight w:val="235"/>
        </w:trPr>
        <w:tc>
          <w:tcPr>
            <w:tcW w:w="4200" w:type="dxa"/>
            <w:vAlign w:val="bottom"/>
          </w:tcPr>
          <w:p>
            <w:pPr>
              <w:spacing w:after="0"/>
              <w:rPr>
                <w:sz w:val="20"/>
                <w:szCs w:val="20"/>
                <w:color w:val="auto"/>
              </w:rPr>
            </w:pPr>
            <w:r>
              <w:rPr>
                <w:rFonts w:ascii="Arial" w:cs="Arial" w:eastAsia="Arial" w:hAnsi="Arial"/>
                <w:sz w:val="16"/>
                <w:szCs w:val="16"/>
                <w:color w:val="auto"/>
              </w:rPr>
              <w:t>Executive Compensation Philosophy and Goals</w:t>
            </w:r>
          </w:p>
        </w:tc>
        <w:tc>
          <w:tcPr>
            <w:tcW w:w="9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43"/>
        </w:trPr>
        <w:tc>
          <w:tcPr>
            <w:tcW w:w="4200" w:type="dxa"/>
            <w:vAlign w:val="bottom"/>
          </w:tcPr>
          <w:p>
            <w:pPr>
              <w:spacing w:after="0"/>
              <w:rPr>
                <w:sz w:val="20"/>
                <w:szCs w:val="20"/>
                <w:color w:val="auto"/>
              </w:rPr>
            </w:pPr>
            <w:r>
              <w:rPr>
                <w:rFonts w:ascii="Arial" w:cs="Arial" w:eastAsia="Arial" w:hAnsi="Arial"/>
                <w:sz w:val="16"/>
                <w:szCs w:val="16"/>
                <w:color w:val="auto"/>
              </w:rPr>
              <w:t>Executive Compensation Practices</w:t>
            </w:r>
          </w:p>
        </w:tc>
        <w:tc>
          <w:tcPr>
            <w:tcW w:w="96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43"/>
        </w:trPr>
        <w:tc>
          <w:tcPr>
            <w:tcW w:w="4200" w:type="dxa"/>
            <w:vAlign w:val="bottom"/>
          </w:tcPr>
          <w:p>
            <w:pPr>
              <w:spacing w:after="0"/>
              <w:rPr>
                <w:sz w:val="20"/>
                <w:szCs w:val="20"/>
                <w:color w:val="auto"/>
              </w:rPr>
            </w:pPr>
            <w:r>
              <w:rPr>
                <w:rFonts w:ascii="Arial" w:cs="Arial" w:eastAsia="Arial" w:hAnsi="Arial"/>
                <w:sz w:val="16"/>
                <w:szCs w:val="16"/>
                <w:color w:val="auto"/>
              </w:rPr>
              <w:t>Executive Compensation Process</w:t>
            </w:r>
          </w:p>
        </w:tc>
        <w:tc>
          <w:tcPr>
            <w:tcW w:w="96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43"/>
        </w:trPr>
        <w:tc>
          <w:tcPr>
            <w:tcW w:w="4200" w:type="dxa"/>
            <w:vAlign w:val="bottom"/>
          </w:tcPr>
          <w:p>
            <w:pPr>
              <w:spacing w:after="0"/>
              <w:rPr>
                <w:sz w:val="20"/>
                <w:szCs w:val="20"/>
                <w:color w:val="auto"/>
              </w:rPr>
            </w:pPr>
            <w:r>
              <w:rPr>
                <w:rFonts w:ascii="Arial" w:cs="Arial" w:eastAsia="Arial" w:hAnsi="Arial"/>
                <w:sz w:val="16"/>
                <w:szCs w:val="16"/>
                <w:color w:val="auto"/>
              </w:rPr>
              <w:t>Executive Compensation Considerations</w:t>
            </w:r>
          </w:p>
        </w:tc>
        <w:tc>
          <w:tcPr>
            <w:tcW w:w="960" w:type="dxa"/>
            <w:vAlign w:val="bottom"/>
          </w:tcPr>
          <w:p>
            <w:pPr>
              <w:jc w:val="right"/>
              <w:spacing w:after="0"/>
              <w:rPr>
                <w:sz w:val="20"/>
                <w:szCs w:val="20"/>
                <w:color w:val="auto"/>
              </w:rPr>
            </w:pPr>
            <w:r>
              <w:rPr>
                <w:rFonts w:ascii="Arial" w:cs="Arial" w:eastAsia="Arial" w:hAnsi="Arial"/>
                <w:sz w:val="16"/>
                <w:szCs w:val="16"/>
                <w:color w:val="auto"/>
              </w:rPr>
              <w:t>65</w:t>
            </w:r>
          </w:p>
        </w:tc>
      </w:tr>
    </w:tbl>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840" w:type="dxa"/>
            <w:vAlign w:val="bottom"/>
          </w:tcPr>
          <w:p>
            <w:pPr>
              <w:spacing w:after="0"/>
              <w:rPr>
                <w:sz w:val="20"/>
                <w:szCs w:val="20"/>
                <w:color w:val="auto"/>
              </w:rPr>
            </w:pPr>
            <w:r>
              <w:rPr>
                <w:rFonts w:ascii="Arial" w:cs="Arial" w:eastAsia="Arial" w:hAnsi="Arial"/>
                <w:sz w:val="16"/>
                <w:szCs w:val="16"/>
                <w:b w:val="1"/>
                <w:bCs w:val="1"/>
                <w:color w:val="1A3FD6"/>
              </w:rPr>
              <w:t>Review of our Programs</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1A3FD6"/>
              </w:rPr>
              <w:t>68</w:t>
            </w:r>
          </w:p>
        </w:tc>
      </w:tr>
      <w:tr>
        <w:trPr>
          <w:trHeight w:val="235"/>
        </w:trPr>
        <w:tc>
          <w:tcPr>
            <w:tcW w:w="3840" w:type="dxa"/>
            <w:vAlign w:val="bottom"/>
          </w:tcPr>
          <w:p>
            <w:pPr>
              <w:spacing w:after="0"/>
              <w:rPr>
                <w:sz w:val="20"/>
                <w:szCs w:val="20"/>
                <w:color w:val="auto"/>
              </w:rPr>
            </w:pPr>
            <w:r>
              <w:rPr>
                <w:rFonts w:ascii="Arial" w:cs="Arial" w:eastAsia="Arial" w:hAnsi="Arial"/>
                <w:sz w:val="16"/>
                <w:szCs w:val="16"/>
                <w:color w:val="auto"/>
              </w:rPr>
              <w:t>Elements of Executive Compensation</w:t>
            </w:r>
          </w:p>
        </w:tc>
        <w:tc>
          <w:tcPr>
            <w:tcW w:w="132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43"/>
        </w:trPr>
        <w:tc>
          <w:tcPr>
            <w:tcW w:w="3840" w:type="dxa"/>
            <w:vAlign w:val="bottom"/>
          </w:tcPr>
          <w:p>
            <w:pPr>
              <w:spacing w:after="0"/>
              <w:rPr>
                <w:sz w:val="20"/>
                <w:szCs w:val="20"/>
                <w:color w:val="auto"/>
              </w:rPr>
            </w:pPr>
            <w:r>
              <w:rPr>
                <w:rFonts w:ascii="Arial" w:cs="Arial" w:eastAsia="Arial" w:hAnsi="Arial"/>
                <w:sz w:val="16"/>
                <w:szCs w:val="16"/>
                <w:color w:val="auto"/>
              </w:rPr>
              <w:t>Fixed Compensation</w:t>
            </w:r>
          </w:p>
        </w:tc>
        <w:tc>
          <w:tcPr>
            <w:tcW w:w="132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43"/>
        </w:trPr>
        <w:tc>
          <w:tcPr>
            <w:tcW w:w="3840" w:type="dxa"/>
            <w:vAlign w:val="bottom"/>
          </w:tcPr>
          <w:p>
            <w:pPr>
              <w:spacing w:after="0"/>
              <w:rPr>
                <w:sz w:val="20"/>
                <w:szCs w:val="20"/>
                <w:color w:val="auto"/>
              </w:rPr>
            </w:pPr>
            <w:r>
              <w:rPr>
                <w:rFonts w:ascii="Arial" w:cs="Arial" w:eastAsia="Arial" w:hAnsi="Arial"/>
                <w:sz w:val="16"/>
                <w:szCs w:val="16"/>
                <w:color w:val="auto"/>
              </w:rPr>
              <w:t>Variable Compensation</w:t>
            </w:r>
          </w:p>
        </w:tc>
        <w:tc>
          <w:tcPr>
            <w:tcW w:w="132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43"/>
        </w:trPr>
        <w:tc>
          <w:tcPr>
            <w:tcW w:w="3840" w:type="dxa"/>
            <w:vAlign w:val="bottom"/>
          </w:tcPr>
          <w:p>
            <w:pPr>
              <w:spacing w:after="0"/>
              <w:rPr>
                <w:sz w:val="20"/>
                <w:szCs w:val="20"/>
                <w:color w:val="auto"/>
              </w:rPr>
            </w:pPr>
            <w:r>
              <w:rPr>
                <w:rFonts w:ascii="Arial" w:cs="Arial" w:eastAsia="Arial" w:hAnsi="Arial"/>
                <w:sz w:val="16"/>
                <w:szCs w:val="16"/>
                <w:color w:val="auto"/>
              </w:rPr>
              <w:t>Benefits</w:t>
            </w:r>
          </w:p>
        </w:tc>
        <w:tc>
          <w:tcPr>
            <w:tcW w:w="132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43"/>
        </w:trPr>
        <w:tc>
          <w:tcPr>
            <w:tcW w:w="3840" w:type="dxa"/>
            <w:vAlign w:val="bottom"/>
          </w:tcPr>
          <w:p>
            <w:pPr>
              <w:spacing w:after="0"/>
              <w:rPr>
                <w:sz w:val="20"/>
                <w:szCs w:val="20"/>
                <w:color w:val="auto"/>
              </w:rPr>
            </w:pPr>
            <w:r>
              <w:rPr>
                <w:rFonts w:ascii="Arial" w:cs="Arial" w:eastAsia="Arial" w:hAnsi="Arial"/>
                <w:sz w:val="16"/>
                <w:szCs w:val="16"/>
                <w:color w:val="auto"/>
              </w:rPr>
              <w:t>Employment Agreements</w:t>
            </w:r>
          </w:p>
        </w:tc>
        <w:tc>
          <w:tcPr>
            <w:tcW w:w="132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43"/>
        </w:trPr>
        <w:tc>
          <w:tcPr>
            <w:tcW w:w="3840" w:type="dxa"/>
            <w:vAlign w:val="bottom"/>
          </w:tcPr>
          <w:p>
            <w:pPr>
              <w:spacing w:after="0"/>
              <w:rPr>
                <w:sz w:val="20"/>
                <w:szCs w:val="20"/>
                <w:color w:val="auto"/>
              </w:rPr>
            </w:pPr>
            <w:r>
              <w:rPr>
                <w:rFonts w:ascii="Arial" w:cs="Arial" w:eastAsia="Arial" w:hAnsi="Arial"/>
                <w:sz w:val="16"/>
                <w:szCs w:val="16"/>
                <w:color w:val="auto"/>
              </w:rPr>
              <w:t>No Excessive Perquisites</w:t>
            </w:r>
          </w:p>
        </w:tc>
        <w:tc>
          <w:tcPr>
            <w:tcW w:w="13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43"/>
        </w:trPr>
        <w:tc>
          <w:tcPr>
            <w:tcW w:w="3840" w:type="dxa"/>
            <w:vAlign w:val="bottom"/>
          </w:tcPr>
          <w:p>
            <w:pPr>
              <w:spacing w:after="0"/>
              <w:rPr>
                <w:sz w:val="20"/>
                <w:szCs w:val="20"/>
                <w:color w:val="auto"/>
              </w:rPr>
            </w:pPr>
            <w:r>
              <w:rPr>
                <w:rFonts w:ascii="Arial" w:cs="Arial" w:eastAsia="Arial" w:hAnsi="Arial"/>
                <w:sz w:val="16"/>
                <w:szCs w:val="16"/>
                <w:color w:val="auto"/>
              </w:rPr>
              <w:t>Stock Ownership Guidelines</w:t>
            </w:r>
          </w:p>
        </w:tc>
        <w:tc>
          <w:tcPr>
            <w:tcW w:w="1320" w:type="dxa"/>
            <w:vAlign w:val="bottom"/>
          </w:tcPr>
          <w:p>
            <w:pPr>
              <w:jc w:val="right"/>
              <w:spacing w:after="0"/>
              <w:rPr>
                <w:sz w:val="20"/>
                <w:szCs w:val="20"/>
                <w:color w:val="auto"/>
              </w:rPr>
            </w:pPr>
            <w:r>
              <w:rPr>
                <w:rFonts w:ascii="Arial" w:cs="Arial" w:eastAsia="Arial" w:hAnsi="Arial"/>
                <w:sz w:val="16"/>
                <w:szCs w:val="16"/>
                <w:color w:val="auto"/>
              </w:rPr>
              <w:t>80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700" w:type="dxa"/>
            <w:vAlign w:val="bottom"/>
          </w:tcPr>
          <w:p>
            <w:pPr>
              <w:spacing w:after="0"/>
              <w:rPr>
                <w:sz w:val="20"/>
                <w:szCs w:val="20"/>
                <w:color w:val="auto"/>
              </w:rPr>
            </w:pPr>
            <w:r>
              <w:rPr>
                <w:rFonts w:ascii="Arial" w:cs="Arial" w:eastAsia="Arial" w:hAnsi="Arial"/>
                <w:sz w:val="16"/>
                <w:szCs w:val="16"/>
                <w:b w:val="1"/>
                <w:bCs w:val="1"/>
                <w:color w:val="1A3FD6"/>
              </w:rPr>
              <w:t>Other Policies</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1A3FD6"/>
              </w:rPr>
              <w:t>81</w:t>
            </w:r>
          </w:p>
        </w:tc>
        <w:tc>
          <w:tcPr>
            <w:tcW w:w="0" w:type="dxa"/>
            <w:vAlign w:val="bottom"/>
          </w:tcPr>
          <w:p>
            <w:pPr>
              <w:spacing w:after="0"/>
              <w:rPr>
                <w:sz w:val="1"/>
                <w:szCs w:val="1"/>
                <w:color w:val="auto"/>
              </w:rPr>
            </w:pPr>
          </w:p>
        </w:tc>
      </w:tr>
      <w:tr>
        <w:trPr>
          <w:trHeight w:val="235"/>
        </w:trPr>
        <w:tc>
          <w:tcPr>
            <w:tcW w:w="4700" w:type="dxa"/>
            <w:vAlign w:val="bottom"/>
          </w:tcPr>
          <w:p>
            <w:pPr>
              <w:spacing w:after="0"/>
              <w:rPr>
                <w:sz w:val="20"/>
                <w:szCs w:val="20"/>
                <w:color w:val="auto"/>
              </w:rPr>
            </w:pPr>
            <w:r>
              <w:rPr>
                <w:rFonts w:ascii="Arial" w:cs="Arial" w:eastAsia="Arial" w:hAnsi="Arial"/>
                <w:sz w:val="16"/>
                <w:szCs w:val="16"/>
                <w:color w:val="auto"/>
              </w:rPr>
              <w:t>Clawback Policies</w:t>
            </w:r>
          </w:p>
        </w:tc>
        <w:tc>
          <w:tcPr>
            <w:tcW w:w="46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16"/>
                <w:szCs w:val="16"/>
                <w:color w:val="auto"/>
              </w:rPr>
              <w:t>Anti-Hedging and Anti-Pledging Policy</w:t>
            </w:r>
          </w:p>
        </w:tc>
        <w:tc>
          <w:tcPr>
            <w:tcW w:w="46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494"/>
        </w:trPr>
        <w:tc>
          <w:tcPr>
            <w:tcW w:w="4700" w:type="dxa"/>
            <w:vAlign w:val="bottom"/>
          </w:tcPr>
          <w:p>
            <w:pPr>
              <w:spacing w:after="0"/>
              <w:rPr>
                <w:sz w:val="20"/>
                <w:szCs w:val="20"/>
                <w:color w:val="auto"/>
              </w:rPr>
            </w:pPr>
            <w:r>
              <w:rPr>
                <w:rFonts w:ascii="Arial" w:cs="Arial" w:eastAsia="Arial" w:hAnsi="Arial"/>
                <w:sz w:val="16"/>
                <w:szCs w:val="16"/>
                <w:b w:val="1"/>
                <w:bCs w:val="1"/>
                <w:color w:val="1A3FD6"/>
              </w:rPr>
              <w:t>Tax Considerations</w:t>
            </w:r>
          </w:p>
        </w:tc>
        <w:tc>
          <w:tcPr>
            <w:tcW w:w="460" w:type="dxa"/>
            <w:vAlign w:val="bottom"/>
            <w:vMerge w:val="restart"/>
          </w:tcPr>
          <w:p>
            <w:pPr>
              <w:jc w:val="right"/>
              <w:spacing w:after="0"/>
              <w:rPr>
                <w:sz w:val="20"/>
                <w:szCs w:val="20"/>
                <w:color w:val="auto"/>
              </w:rPr>
            </w:pPr>
            <w:r>
              <w:rPr>
                <w:rFonts w:ascii="Arial" w:cs="Arial" w:eastAsia="Arial" w:hAnsi="Arial"/>
                <w:sz w:val="16"/>
                <w:szCs w:val="16"/>
                <w:b w:val="1"/>
                <w:bCs w:val="1"/>
                <w:color w:val="1A3FD6"/>
              </w:rPr>
              <w:t>82</w:t>
            </w:r>
          </w:p>
        </w:tc>
        <w:tc>
          <w:tcPr>
            <w:tcW w:w="0" w:type="dxa"/>
            <w:vAlign w:val="bottom"/>
          </w:tcPr>
          <w:p>
            <w:pPr>
              <w:spacing w:after="0"/>
              <w:rPr>
                <w:sz w:val="1"/>
                <w:szCs w:val="1"/>
                <w:color w:val="auto"/>
              </w:rPr>
            </w:pPr>
          </w:p>
        </w:tc>
      </w:tr>
      <w:tr>
        <w:trPr>
          <w:trHeight w:val="68"/>
        </w:trPr>
        <w:tc>
          <w:tcPr>
            <w:tcW w:w="4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4700" w:type="dxa"/>
            <w:vAlign w:val="bottom"/>
          </w:tcPr>
          <w:p>
            <w:pPr>
              <w:spacing w:after="0"/>
              <w:rPr>
                <w:sz w:val="20"/>
                <w:szCs w:val="20"/>
                <w:color w:val="auto"/>
              </w:rPr>
            </w:pPr>
            <w:r>
              <w:rPr>
                <w:rFonts w:ascii="Arial" w:cs="Arial" w:eastAsia="Arial" w:hAnsi="Arial"/>
                <w:sz w:val="16"/>
                <w:szCs w:val="16"/>
                <w:b w:val="1"/>
                <w:bCs w:val="1"/>
                <w:color w:val="1A3FD6"/>
              </w:rPr>
              <w:t>Compensation Risk Assessment</w:t>
            </w:r>
          </w:p>
        </w:tc>
        <w:tc>
          <w:tcPr>
            <w:tcW w:w="460" w:type="dxa"/>
            <w:vAlign w:val="bottom"/>
            <w:vMerge w:val="restart"/>
          </w:tcPr>
          <w:p>
            <w:pPr>
              <w:jc w:val="right"/>
              <w:spacing w:after="0"/>
              <w:rPr>
                <w:sz w:val="20"/>
                <w:szCs w:val="20"/>
                <w:color w:val="auto"/>
              </w:rPr>
            </w:pPr>
            <w:r>
              <w:rPr>
                <w:rFonts w:ascii="Arial" w:cs="Arial" w:eastAsia="Arial" w:hAnsi="Arial"/>
                <w:sz w:val="16"/>
                <w:szCs w:val="16"/>
                <w:b w:val="1"/>
                <w:bCs w:val="1"/>
                <w:color w:val="1A3FD6"/>
              </w:rPr>
              <w:t>82</w:t>
            </w:r>
          </w:p>
        </w:tc>
        <w:tc>
          <w:tcPr>
            <w:tcW w:w="0" w:type="dxa"/>
            <w:vAlign w:val="bottom"/>
          </w:tcPr>
          <w:p>
            <w:pPr>
              <w:spacing w:after="0"/>
              <w:rPr>
                <w:sz w:val="1"/>
                <w:szCs w:val="1"/>
                <w:color w:val="auto"/>
              </w:rPr>
            </w:pPr>
          </w:p>
        </w:tc>
      </w:tr>
      <w:tr>
        <w:trPr>
          <w:trHeight w:val="68"/>
        </w:trPr>
        <w:tc>
          <w:tcPr>
            <w:tcW w:w="4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4700" w:type="dxa"/>
            <w:vAlign w:val="bottom"/>
          </w:tcPr>
          <w:p>
            <w:pPr>
              <w:spacing w:after="0"/>
              <w:rPr>
                <w:sz w:val="20"/>
                <w:szCs w:val="20"/>
                <w:color w:val="auto"/>
              </w:rPr>
            </w:pPr>
            <w:r>
              <w:rPr>
                <w:rFonts w:ascii="Arial" w:cs="Arial" w:eastAsia="Arial" w:hAnsi="Arial"/>
                <w:sz w:val="16"/>
                <w:szCs w:val="16"/>
                <w:b w:val="1"/>
                <w:bCs w:val="1"/>
                <w:color w:val="1A3FD6"/>
              </w:rPr>
              <w:t>Compensation, Talent and Culture Committee Report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1A3FD6"/>
              </w:rPr>
              <w:t>83</w:t>
            </w:r>
          </w:p>
        </w:tc>
        <w:tc>
          <w:tcPr>
            <w:tcW w:w="0" w:type="dxa"/>
            <w:vAlign w:val="bottom"/>
          </w:tcPr>
          <w:p>
            <w:pPr>
              <w:spacing w:after="0"/>
              <w:rPr>
                <w:sz w:val="1"/>
                <w:szCs w:val="1"/>
                <w:color w:val="auto"/>
              </w:rPr>
            </w:pPr>
          </w:p>
        </w:tc>
      </w:tr>
      <w:tr>
        <w:trPr>
          <w:trHeight w:val="405"/>
        </w:trPr>
        <w:tc>
          <w:tcPr>
            <w:tcW w:w="4700" w:type="dxa"/>
            <w:vAlign w:val="bottom"/>
          </w:tcPr>
          <w:p>
            <w:pPr>
              <w:spacing w:after="0"/>
              <w:rPr>
                <w:sz w:val="20"/>
                <w:szCs w:val="20"/>
                <w:color w:val="auto"/>
              </w:rPr>
            </w:pPr>
            <w:r>
              <w:rPr>
                <w:rFonts w:ascii="Arial" w:cs="Arial" w:eastAsia="Arial" w:hAnsi="Arial"/>
                <w:sz w:val="16"/>
                <w:szCs w:val="16"/>
                <w:b w:val="1"/>
                <w:bCs w:val="1"/>
                <w:color w:val="1A3FD6"/>
              </w:rPr>
              <w:t>Executive Compensation Tables</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1A3FD6"/>
              </w:rPr>
              <w:t>84</w:t>
            </w:r>
          </w:p>
        </w:tc>
        <w:tc>
          <w:tcPr>
            <w:tcW w:w="0" w:type="dxa"/>
            <w:vAlign w:val="bottom"/>
          </w:tcPr>
          <w:p>
            <w:pPr>
              <w:spacing w:after="0"/>
              <w:rPr>
                <w:sz w:val="1"/>
                <w:szCs w:val="1"/>
                <w:color w:val="auto"/>
              </w:rPr>
            </w:pPr>
          </w:p>
        </w:tc>
      </w:tr>
      <w:tr>
        <w:trPr>
          <w:trHeight w:val="235"/>
        </w:trPr>
        <w:tc>
          <w:tcPr>
            <w:tcW w:w="4700" w:type="dxa"/>
            <w:vAlign w:val="bottom"/>
          </w:tcPr>
          <w:p>
            <w:pPr>
              <w:spacing w:after="0"/>
              <w:rPr>
                <w:sz w:val="20"/>
                <w:szCs w:val="20"/>
                <w:color w:val="auto"/>
              </w:rPr>
            </w:pPr>
            <w:r>
              <w:rPr>
                <w:rFonts w:ascii="Arial" w:cs="Arial" w:eastAsia="Arial" w:hAnsi="Arial"/>
                <w:sz w:val="16"/>
                <w:szCs w:val="16"/>
                <w:color w:val="auto"/>
              </w:rPr>
              <w:t>Summary Compensation Table</w:t>
            </w:r>
          </w:p>
        </w:tc>
        <w:tc>
          <w:tcPr>
            <w:tcW w:w="46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16"/>
                <w:szCs w:val="16"/>
                <w:color w:val="auto"/>
              </w:rPr>
              <w:t>Grants of Plan-Based Awards</w:t>
            </w:r>
          </w:p>
        </w:tc>
        <w:tc>
          <w:tcPr>
            <w:tcW w:w="46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16"/>
                <w:szCs w:val="16"/>
                <w:color w:val="auto"/>
              </w:rPr>
              <w:t>Outstanding Equity Awards at Fiscal Year-End</w:t>
            </w:r>
          </w:p>
        </w:tc>
        <w:tc>
          <w:tcPr>
            <w:tcW w:w="46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16"/>
                <w:szCs w:val="16"/>
                <w:color w:val="auto"/>
              </w:rPr>
              <w:t>Option Exercises and Stock Vested</w:t>
            </w:r>
          </w:p>
        </w:tc>
        <w:tc>
          <w:tcPr>
            <w:tcW w:w="46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16"/>
                <w:szCs w:val="16"/>
                <w:color w:val="auto"/>
              </w:rPr>
              <w:t>Potential Payments upon Termination or Change in Control</w:t>
            </w:r>
          </w:p>
        </w:tc>
        <w:tc>
          <w:tcPr>
            <w:tcW w:w="46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0"/>
                <w:szCs w:val="20"/>
                <w:color w:val="auto"/>
              </w:rPr>
            </w:pPr>
            <w:r>
              <w:rPr>
                <w:rFonts w:ascii="Arial" w:cs="Arial" w:eastAsia="Arial" w:hAnsi="Arial"/>
                <w:sz w:val="16"/>
                <w:szCs w:val="16"/>
                <w:color w:val="auto"/>
              </w:rPr>
              <w:t>Estimated Potential Payments upon Termination or Change in</w:t>
            </w:r>
          </w:p>
        </w:tc>
        <w:tc>
          <w:tcPr>
            <w:tcW w:w="46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6"/>
                <w:szCs w:val="16"/>
                <w:color w:val="auto"/>
              </w:rPr>
              <w:t>Control</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8"/>
        </w:trPr>
        <w:tc>
          <w:tcPr>
            <w:tcW w:w="4700" w:type="dxa"/>
            <w:vAlign w:val="bottom"/>
          </w:tcPr>
          <w:p>
            <w:pPr>
              <w:spacing w:after="0"/>
              <w:rPr>
                <w:sz w:val="20"/>
                <w:szCs w:val="20"/>
                <w:color w:val="auto"/>
              </w:rPr>
            </w:pPr>
            <w:r>
              <w:rPr>
                <w:rFonts w:ascii="Arial" w:cs="Arial" w:eastAsia="Arial" w:hAnsi="Arial"/>
                <w:sz w:val="16"/>
                <w:szCs w:val="16"/>
                <w:b w:val="1"/>
                <w:bCs w:val="1"/>
                <w:color w:val="1A3FD6"/>
              </w:rPr>
              <w:t>CEO Pay Ratio</w:t>
            </w:r>
          </w:p>
        </w:tc>
        <w:tc>
          <w:tcPr>
            <w:tcW w:w="460" w:type="dxa"/>
            <w:vAlign w:val="bottom"/>
            <w:vMerge w:val="restart"/>
          </w:tcPr>
          <w:p>
            <w:pPr>
              <w:jc w:val="right"/>
              <w:spacing w:after="0"/>
              <w:rPr>
                <w:sz w:val="20"/>
                <w:szCs w:val="20"/>
                <w:color w:val="auto"/>
              </w:rPr>
            </w:pPr>
            <w:r>
              <w:rPr>
                <w:rFonts w:ascii="Arial" w:cs="Arial" w:eastAsia="Arial" w:hAnsi="Arial"/>
                <w:sz w:val="16"/>
                <w:szCs w:val="16"/>
                <w:b w:val="1"/>
                <w:bCs w:val="1"/>
                <w:color w:val="1A3FD6"/>
              </w:rPr>
              <w:t>93</w:t>
            </w:r>
          </w:p>
        </w:tc>
        <w:tc>
          <w:tcPr>
            <w:tcW w:w="0" w:type="dxa"/>
            <w:vAlign w:val="bottom"/>
          </w:tcPr>
          <w:p>
            <w:pPr>
              <w:spacing w:after="0"/>
              <w:rPr>
                <w:sz w:val="1"/>
                <w:szCs w:val="1"/>
                <w:color w:val="auto"/>
              </w:rPr>
            </w:pPr>
          </w:p>
        </w:tc>
      </w:tr>
      <w:tr>
        <w:trPr>
          <w:trHeight w:val="68"/>
        </w:trPr>
        <w:tc>
          <w:tcPr>
            <w:tcW w:w="4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4700" w:type="dxa"/>
            <w:vAlign w:val="bottom"/>
          </w:tcPr>
          <w:p>
            <w:pPr>
              <w:spacing w:after="0"/>
              <w:rPr>
                <w:sz w:val="20"/>
                <w:szCs w:val="20"/>
                <w:color w:val="auto"/>
              </w:rPr>
            </w:pPr>
            <w:r>
              <w:rPr>
                <w:rFonts w:ascii="Arial" w:cs="Arial" w:eastAsia="Arial" w:hAnsi="Arial"/>
                <w:sz w:val="16"/>
                <w:szCs w:val="16"/>
                <w:b w:val="1"/>
                <w:bCs w:val="1"/>
                <w:color w:val="1A3FD6"/>
              </w:rPr>
              <w:t>Pay Versus Performance</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1A3FD6"/>
              </w:rPr>
              <w:t>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926465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720"/>
            <w:col w:w="5300"/>
          </w:cols>
          <w:pgMar w:left="320" w:top="167" w:right="339" w:bottom="1440" w:gutter="0" w:footer="0" w:header="0"/>
          <w:type w:val="continuous"/>
        </w:sectPr>
      </w:pPr>
    </w:p>
    <w:bookmarkStart w:id="59" w:name="page60"/>
    <w:bookmarkEnd w:id="59"/>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58</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Compensation Discussion and Analysis</w:t>
      </w:r>
    </w:p>
    <w:p>
      <w:pPr>
        <w:spacing w:after="0" w:line="18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This Compensation Discussion and Analysis (referred to as the “CD&amp;A”) section summarizes our general philosophy with regard to the compensation of our Chief Executive Officer (“CEO”), our Chief Financial Officer (“CFO”), and our three next most highly paid executive officers for 2024 (collectively referred to as “named executive officers” or “NEOs”). The CD&amp;A provides context for the executive compensation disclosures presented below in both tabular and narrative form. Under its charter, the Compensation Committee reviews the Company’s compensation strategy and reviews and approves executive officer compensation as well as the Company’s compensation and benefits program generally. The Compensation Committee approved the compensation structure and amounts for each of our NEOs for 2024, which were materially consistent with those approved in 2023 and which were designed to further the Company’s strategic objectives.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Named Executive Officers for 2024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098030" cy="10026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098030"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900" w:type="dxa"/>
            <w:vAlign w:val="bottom"/>
          </w:tcPr>
          <w:p>
            <w:pPr>
              <w:spacing w:after="0"/>
              <w:rPr>
                <w:sz w:val="20"/>
                <w:szCs w:val="20"/>
                <w:color w:val="auto"/>
              </w:rPr>
            </w:pPr>
            <w:r>
              <w:rPr>
                <w:rFonts w:ascii="Arial" w:cs="Arial" w:eastAsia="Arial" w:hAnsi="Arial"/>
                <w:sz w:val="16"/>
                <w:szCs w:val="16"/>
                <w:b w:val="1"/>
                <w:bCs w:val="1"/>
                <w:color w:val="1A3FD6"/>
              </w:rPr>
              <w:t>HENRY A.</w:t>
            </w:r>
          </w:p>
        </w:tc>
        <w:tc>
          <w:tcPr>
            <w:tcW w:w="2360" w:type="dxa"/>
            <w:vAlign w:val="bottom"/>
          </w:tcPr>
          <w:p>
            <w:pPr>
              <w:ind w:left="440"/>
              <w:spacing w:after="0"/>
              <w:rPr>
                <w:sz w:val="20"/>
                <w:szCs w:val="20"/>
                <w:color w:val="auto"/>
              </w:rPr>
            </w:pPr>
            <w:r>
              <w:rPr>
                <w:rFonts w:ascii="Arial" w:cs="Arial" w:eastAsia="Arial" w:hAnsi="Arial"/>
                <w:sz w:val="16"/>
                <w:szCs w:val="16"/>
                <w:b w:val="1"/>
                <w:bCs w:val="1"/>
                <w:color w:val="1A3FD6"/>
              </w:rPr>
              <w:t>ANDREW C.</w:t>
            </w:r>
          </w:p>
        </w:tc>
        <w:tc>
          <w:tcPr>
            <w:tcW w:w="2160" w:type="dxa"/>
            <w:vAlign w:val="bottom"/>
          </w:tcPr>
          <w:p>
            <w:pPr>
              <w:ind w:left="340"/>
              <w:spacing w:after="0"/>
              <w:rPr>
                <w:sz w:val="20"/>
                <w:szCs w:val="20"/>
                <w:color w:val="auto"/>
              </w:rPr>
            </w:pPr>
            <w:r>
              <w:rPr>
                <w:rFonts w:ascii="Arial" w:cs="Arial" w:eastAsia="Arial" w:hAnsi="Arial"/>
                <w:sz w:val="16"/>
                <w:szCs w:val="16"/>
                <w:b w:val="1"/>
                <w:bCs w:val="1"/>
                <w:color w:val="1A3FD6"/>
              </w:rPr>
              <w:t>C. D. BAER</w:t>
            </w:r>
          </w:p>
        </w:tc>
        <w:tc>
          <w:tcPr>
            <w:tcW w:w="2420" w:type="dxa"/>
            <w:vAlign w:val="bottom"/>
          </w:tcPr>
          <w:p>
            <w:pPr>
              <w:ind w:left="420"/>
              <w:spacing w:after="0"/>
              <w:rPr>
                <w:sz w:val="20"/>
                <w:szCs w:val="20"/>
                <w:color w:val="auto"/>
              </w:rPr>
            </w:pPr>
            <w:r>
              <w:rPr>
                <w:rFonts w:ascii="Arial" w:cs="Arial" w:eastAsia="Arial" w:hAnsi="Arial"/>
                <w:sz w:val="16"/>
                <w:szCs w:val="16"/>
                <w:b w:val="1"/>
                <w:bCs w:val="1"/>
                <w:color w:val="1A3FD6"/>
              </w:rPr>
              <w:t>SCOTT A.</w:t>
            </w:r>
          </w:p>
        </w:tc>
        <w:tc>
          <w:tcPr>
            <w:tcW w:w="2200" w:type="dxa"/>
            <w:vAlign w:val="bottom"/>
          </w:tcPr>
          <w:p>
            <w:pPr>
              <w:ind w:left="240"/>
              <w:spacing w:after="0"/>
              <w:rPr>
                <w:sz w:val="20"/>
                <w:szCs w:val="20"/>
                <w:color w:val="auto"/>
              </w:rPr>
            </w:pPr>
            <w:r>
              <w:rPr>
                <w:rFonts w:ascii="Arial" w:cs="Arial" w:eastAsia="Arial" w:hAnsi="Arial"/>
                <w:sz w:val="16"/>
                <w:szCs w:val="16"/>
                <w:b w:val="1"/>
                <w:bCs w:val="1"/>
                <w:color w:val="1A3FD6"/>
              </w:rPr>
              <w:t>ROBERT J.</w:t>
            </w:r>
          </w:p>
        </w:tc>
      </w:tr>
      <w:tr>
        <w:trPr>
          <w:trHeight w:val="203"/>
        </w:trPr>
        <w:tc>
          <w:tcPr>
            <w:tcW w:w="1900" w:type="dxa"/>
            <w:vAlign w:val="bottom"/>
          </w:tcPr>
          <w:p>
            <w:pPr>
              <w:spacing w:after="0"/>
              <w:rPr>
                <w:sz w:val="20"/>
                <w:szCs w:val="20"/>
                <w:color w:val="auto"/>
              </w:rPr>
            </w:pPr>
            <w:r>
              <w:rPr>
                <w:rFonts w:ascii="Arial" w:cs="Arial" w:eastAsia="Arial" w:hAnsi="Arial"/>
                <w:sz w:val="16"/>
                <w:szCs w:val="16"/>
                <w:b w:val="1"/>
                <w:bCs w:val="1"/>
                <w:color w:val="1A3FD6"/>
              </w:rPr>
              <w:t>FERNANDEZ</w:t>
            </w:r>
          </w:p>
        </w:tc>
        <w:tc>
          <w:tcPr>
            <w:tcW w:w="2360" w:type="dxa"/>
            <w:vAlign w:val="bottom"/>
          </w:tcPr>
          <w:p>
            <w:pPr>
              <w:ind w:left="440"/>
              <w:spacing w:after="0"/>
              <w:rPr>
                <w:sz w:val="20"/>
                <w:szCs w:val="20"/>
                <w:color w:val="auto"/>
              </w:rPr>
            </w:pPr>
            <w:r>
              <w:rPr>
                <w:rFonts w:ascii="Arial" w:cs="Arial" w:eastAsia="Arial" w:hAnsi="Arial"/>
                <w:sz w:val="16"/>
                <w:szCs w:val="16"/>
                <w:b w:val="1"/>
                <w:bCs w:val="1"/>
                <w:color w:val="1A3FD6"/>
              </w:rPr>
              <w:t>WIECHMANN</w:t>
            </w:r>
          </w:p>
        </w:tc>
        <w:tc>
          <w:tcPr>
            <w:tcW w:w="2160" w:type="dxa"/>
            <w:vAlign w:val="bottom"/>
          </w:tcPr>
          <w:p>
            <w:pPr>
              <w:ind w:left="340"/>
              <w:spacing w:after="0"/>
              <w:rPr>
                <w:sz w:val="20"/>
                <w:szCs w:val="20"/>
                <w:color w:val="auto"/>
              </w:rPr>
            </w:pPr>
            <w:r>
              <w:rPr>
                <w:rFonts w:ascii="Arial" w:cs="Arial" w:eastAsia="Arial" w:hAnsi="Arial"/>
                <w:sz w:val="16"/>
                <w:szCs w:val="16"/>
                <w:b w:val="1"/>
                <w:bCs w:val="1"/>
                <w:color w:val="1A3FD6"/>
              </w:rPr>
              <w:t>PETTIT</w:t>
            </w:r>
          </w:p>
        </w:tc>
        <w:tc>
          <w:tcPr>
            <w:tcW w:w="2420" w:type="dxa"/>
            <w:vAlign w:val="bottom"/>
          </w:tcPr>
          <w:p>
            <w:pPr>
              <w:ind w:left="420"/>
              <w:spacing w:after="0"/>
              <w:rPr>
                <w:sz w:val="20"/>
                <w:szCs w:val="20"/>
                <w:color w:val="auto"/>
              </w:rPr>
            </w:pPr>
            <w:r>
              <w:rPr>
                <w:rFonts w:ascii="Arial" w:cs="Arial" w:eastAsia="Arial" w:hAnsi="Arial"/>
                <w:sz w:val="16"/>
                <w:szCs w:val="16"/>
                <w:b w:val="1"/>
                <w:bCs w:val="1"/>
                <w:color w:val="1A3FD6"/>
              </w:rPr>
              <w:t>CRUM</w:t>
            </w:r>
          </w:p>
        </w:tc>
        <w:tc>
          <w:tcPr>
            <w:tcW w:w="2200" w:type="dxa"/>
            <w:vAlign w:val="bottom"/>
          </w:tcPr>
          <w:p>
            <w:pPr>
              <w:ind w:left="240"/>
              <w:spacing w:after="0"/>
              <w:rPr>
                <w:sz w:val="20"/>
                <w:szCs w:val="20"/>
                <w:color w:val="auto"/>
              </w:rPr>
            </w:pPr>
            <w:r>
              <w:rPr>
                <w:rFonts w:ascii="Arial" w:cs="Arial" w:eastAsia="Arial" w:hAnsi="Arial"/>
                <w:sz w:val="16"/>
                <w:szCs w:val="16"/>
                <w:b w:val="1"/>
                <w:bCs w:val="1"/>
                <w:color w:val="1A3FD6"/>
              </w:rPr>
              <w:t>GUTOWSKI</w:t>
            </w:r>
          </w:p>
        </w:tc>
      </w:tr>
      <w:tr>
        <w:trPr>
          <w:trHeight w:val="189"/>
        </w:trPr>
        <w:tc>
          <w:tcPr>
            <w:tcW w:w="1900" w:type="dxa"/>
            <w:vAlign w:val="bottom"/>
          </w:tcPr>
          <w:p>
            <w:pPr>
              <w:spacing w:after="0"/>
              <w:rPr>
                <w:sz w:val="20"/>
                <w:szCs w:val="20"/>
                <w:color w:val="auto"/>
              </w:rPr>
            </w:pPr>
            <w:r>
              <w:rPr>
                <w:rFonts w:ascii="Arial" w:cs="Arial" w:eastAsia="Arial" w:hAnsi="Arial"/>
                <w:sz w:val="16"/>
                <w:szCs w:val="16"/>
                <w:color w:val="auto"/>
              </w:rPr>
              <w:t>Chairman and Chief</w:t>
            </w:r>
          </w:p>
        </w:tc>
        <w:tc>
          <w:tcPr>
            <w:tcW w:w="2360" w:type="dxa"/>
            <w:vAlign w:val="bottom"/>
          </w:tcPr>
          <w:p>
            <w:pPr>
              <w:ind w:left="440"/>
              <w:spacing w:after="0"/>
              <w:rPr>
                <w:sz w:val="20"/>
                <w:szCs w:val="20"/>
                <w:color w:val="auto"/>
              </w:rPr>
            </w:pPr>
            <w:r>
              <w:rPr>
                <w:rFonts w:ascii="Arial" w:cs="Arial" w:eastAsia="Arial" w:hAnsi="Arial"/>
                <w:sz w:val="16"/>
                <w:szCs w:val="16"/>
                <w:color w:val="auto"/>
              </w:rPr>
              <w:t>Chief Financial Officer</w:t>
            </w:r>
          </w:p>
        </w:tc>
        <w:tc>
          <w:tcPr>
            <w:tcW w:w="2160" w:type="dxa"/>
            <w:vAlign w:val="bottom"/>
          </w:tcPr>
          <w:p>
            <w:pPr>
              <w:ind w:left="340"/>
              <w:spacing w:after="0"/>
              <w:rPr>
                <w:sz w:val="20"/>
                <w:szCs w:val="20"/>
                <w:color w:val="auto"/>
              </w:rPr>
            </w:pPr>
            <w:r>
              <w:rPr>
                <w:rFonts w:ascii="Arial" w:cs="Arial" w:eastAsia="Arial" w:hAnsi="Arial"/>
                <w:sz w:val="16"/>
                <w:szCs w:val="16"/>
                <w:color w:val="auto"/>
              </w:rPr>
              <w:t>President and Chief</w:t>
            </w:r>
          </w:p>
        </w:tc>
        <w:tc>
          <w:tcPr>
            <w:tcW w:w="2420" w:type="dxa"/>
            <w:vAlign w:val="bottom"/>
          </w:tcPr>
          <w:p>
            <w:pPr>
              <w:ind w:left="420"/>
              <w:spacing w:after="0"/>
              <w:rPr>
                <w:sz w:val="20"/>
                <w:szCs w:val="20"/>
                <w:color w:val="auto"/>
              </w:rPr>
            </w:pPr>
            <w:r>
              <w:rPr>
                <w:rFonts w:ascii="Arial" w:cs="Arial" w:eastAsia="Arial" w:hAnsi="Arial"/>
                <w:sz w:val="16"/>
                <w:szCs w:val="16"/>
                <w:color w:val="auto"/>
              </w:rPr>
              <w:t>Chief Human Resources</w:t>
            </w:r>
          </w:p>
        </w:tc>
        <w:tc>
          <w:tcPr>
            <w:tcW w:w="2200" w:type="dxa"/>
            <w:vAlign w:val="bottom"/>
          </w:tcPr>
          <w:p>
            <w:pPr>
              <w:ind w:left="240"/>
              <w:spacing w:after="0"/>
              <w:rPr>
                <w:sz w:val="20"/>
                <w:szCs w:val="20"/>
                <w:color w:val="auto"/>
              </w:rPr>
            </w:pPr>
            <w:r>
              <w:rPr>
                <w:rFonts w:ascii="Arial" w:cs="Arial" w:eastAsia="Arial" w:hAnsi="Arial"/>
                <w:sz w:val="16"/>
                <w:szCs w:val="16"/>
                <w:color w:val="auto"/>
              </w:rPr>
              <w:t>General Counsel and Head</w:t>
            </w:r>
          </w:p>
        </w:tc>
      </w:tr>
      <w:tr>
        <w:trPr>
          <w:trHeight w:val="228"/>
        </w:trPr>
        <w:tc>
          <w:tcPr>
            <w:tcW w:w="1900" w:type="dxa"/>
            <w:vAlign w:val="bottom"/>
          </w:tcPr>
          <w:p>
            <w:pPr>
              <w:spacing w:after="0"/>
              <w:rPr>
                <w:sz w:val="20"/>
                <w:szCs w:val="20"/>
                <w:color w:val="auto"/>
              </w:rPr>
            </w:pPr>
            <w:r>
              <w:rPr>
                <w:rFonts w:ascii="Arial" w:cs="Arial" w:eastAsia="Arial" w:hAnsi="Arial"/>
                <w:sz w:val="16"/>
                <w:szCs w:val="16"/>
                <w:color w:val="auto"/>
              </w:rPr>
              <w:t>Executive Officer</w:t>
            </w:r>
          </w:p>
        </w:tc>
        <w:tc>
          <w:tcPr>
            <w:tcW w:w="2360" w:type="dxa"/>
            <w:vAlign w:val="bottom"/>
          </w:tcPr>
          <w:p>
            <w:pPr>
              <w:spacing w:after="0"/>
              <w:rPr>
                <w:sz w:val="19"/>
                <w:szCs w:val="19"/>
                <w:color w:val="auto"/>
              </w:rPr>
            </w:pPr>
          </w:p>
        </w:tc>
        <w:tc>
          <w:tcPr>
            <w:tcW w:w="2160" w:type="dxa"/>
            <w:vAlign w:val="bottom"/>
          </w:tcPr>
          <w:p>
            <w:pPr>
              <w:ind w:left="340"/>
              <w:spacing w:after="0"/>
              <w:rPr>
                <w:sz w:val="20"/>
                <w:szCs w:val="20"/>
                <w:color w:val="auto"/>
              </w:rPr>
            </w:pPr>
            <w:r>
              <w:rPr>
                <w:rFonts w:ascii="Arial" w:cs="Arial" w:eastAsia="Arial" w:hAnsi="Arial"/>
                <w:sz w:val="16"/>
                <w:szCs w:val="16"/>
                <w:color w:val="auto"/>
              </w:rPr>
              <w:t>Operating Officer</w:t>
            </w:r>
          </w:p>
        </w:tc>
        <w:tc>
          <w:tcPr>
            <w:tcW w:w="2420" w:type="dxa"/>
            <w:vAlign w:val="bottom"/>
          </w:tcPr>
          <w:p>
            <w:pPr>
              <w:ind w:left="420"/>
              <w:spacing w:after="0"/>
              <w:rPr>
                <w:sz w:val="20"/>
                <w:szCs w:val="20"/>
                <w:color w:val="auto"/>
              </w:rPr>
            </w:pPr>
            <w:r>
              <w:rPr>
                <w:rFonts w:ascii="Arial" w:cs="Arial" w:eastAsia="Arial" w:hAnsi="Arial"/>
                <w:sz w:val="16"/>
                <w:szCs w:val="16"/>
                <w:color w:val="auto"/>
              </w:rPr>
              <w:t>Officer</w:t>
            </w:r>
          </w:p>
        </w:tc>
        <w:tc>
          <w:tcPr>
            <w:tcW w:w="2200" w:type="dxa"/>
            <w:vAlign w:val="bottom"/>
          </w:tcPr>
          <w:p>
            <w:pPr>
              <w:ind w:left="240"/>
              <w:spacing w:after="0"/>
              <w:rPr>
                <w:sz w:val="20"/>
                <w:szCs w:val="20"/>
                <w:color w:val="auto"/>
              </w:rPr>
            </w:pPr>
            <w:r>
              <w:rPr>
                <w:rFonts w:ascii="Arial" w:cs="Arial" w:eastAsia="Arial" w:hAnsi="Arial"/>
                <w:sz w:val="16"/>
                <w:szCs w:val="16"/>
                <w:color w:val="auto"/>
              </w:rPr>
              <w:t>of Corporate Affairs</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Highlights</w:t>
      </w:r>
    </w:p>
    <w:p>
      <w:pPr>
        <w:spacing w:after="0" w:line="174"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Executive Summary</w:t>
      </w:r>
    </w:p>
    <w:p>
      <w:pPr>
        <w:spacing w:after="0" w:line="18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executive compensation program is designed to link pay to performance, encourage prudent decision-making and risk management, and create a balanced focus on short-term and long-term performance that supports sustained, long-term shareholder value creation. In the dynamic and competitive environment in which we operate, it is imperative that we maintain a responsible executive compensation program that encourages and rewards our leaders for achieving short-term and long-term results.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key components of our target-based compensation program in effect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06285" cy="2825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06285" cy="282575"/>
                    </a:xfrm>
                    <a:prstGeom prst="rect">
                      <a:avLst/>
                    </a:prstGeom>
                    <a:noFill/>
                  </pic:spPr>
                </pic:pic>
              </a:graphicData>
            </a:graphic>
          </wp:anchor>
        </w:drawing>
      </w: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FFFFFF"/>
        </w:rPr>
        <w:t>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06285" cy="18605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06285" cy="1860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ELEMENTS</w:t>
      </w:r>
    </w:p>
    <w:p>
      <w:pPr>
        <w:spacing w:after="0" w:line="53" w:lineRule="exact"/>
        <w:rPr>
          <w:sz w:val="20"/>
          <w:szCs w:val="20"/>
          <w:color w:val="auto"/>
        </w:rPr>
      </w:pPr>
    </w:p>
    <w:tbl>
      <w:tblPr>
        <w:tblLayout w:type="fixed"/>
        <w:tblInd w:w="260" w:type="dxa"/>
        <w:tblCellMar>
          <w:top w:w="0" w:type="dxa"/>
          <w:left w:w="0" w:type="dxa"/>
          <w:bottom w:w="0" w:type="dxa"/>
          <w:right w:w="0" w:type="dxa"/>
        </w:tblCellMar>
      </w:tblPr>
      <w:tr>
        <w:trPr>
          <w:trHeight w:val="74"/>
        </w:trPr>
        <w:tc>
          <w:tcPr>
            <w:tcW w:w="3420" w:type="dxa"/>
            <w:vAlign w:val="bottom"/>
            <w:tcBorders>
              <w:top w:val="single" w:sz="8" w:color="EDF0FC"/>
            </w:tcBorders>
            <w:shd w:val="clear" w:color="auto" w:fill="1A3FD6"/>
          </w:tcPr>
          <w:p>
            <w:pPr>
              <w:spacing w:after="0"/>
              <w:rPr>
                <w:sz w:val="6"/>
                <w:szCs w:val="6"/>
                <w:color w:val="auto"/>
              </w:rPr>
            </w:pPr>
          </w:p>
        </w:tc>
        <w:tc>
          <w:tcPr>
            <w:tcW w:w="200" w:type="dxa"/>
            <w:vAlign w:val="bottom"/>
            <w:shd w:val="clear" w:color="auto" w:fill="1A3FD6"/>
          </w:tcPr>
          <w:p>
            <w:pPr>
              <w:spacing w:after="0"/>
              <w:rPr>
                <w:sz w:val="6"/>
                <w:szCs w:val="6"/>
                <w:color w:val="auto"/>
              </w:rPr>
            </w:pPr>
          </w:p>
        </w:tc>
        <w:tc>
          <w:tcPr>
            <w:tcW w:w="3440" w:type="dxa"/>
            <w:vAlign w:val="bottom"/>
            <w:shd w:val="clear" w:color="auto" w:fill="EDF0FC"/>
          </w:tcPr>
          <w:p>
            <w:pPr>
              <w:spacing w:after="0"/>
              <w:rPr>
                <w:sz w:val="6"/>
                <w:szCs w:val="6"/>
                <w:color w:val="auto"/>
              </w:rPr>
            </w:pPr>
          </w:p>
        </w:tc>
        <w:tc>
          <w:tcPr>
            <w:tcW w:w="200" w:type="dxa"/>
            <w:vAlign w:val="bottom"/>
            <w:shd w:val="clear" w:color="auto" w:fill="EDF0FC"/>
          </w:tcPr>
          <w:p>
            <w:pPr>
              <w:spacing w:after="0"/>
              <w:rPr>
                <w:sz w:val="6"/>
                <w:szCs w:val="6"/>
                <w:color w:val="auto"/>
              </w:rPr>
            </w:pPr>
          </w:p>
        </w:tc>
        <w:tc>
          <w:tcPr>
            <w:tcW w:w="3420" w:type="dxa"/>
            <w:vAlign w:val="bottom"/>
            <w:shd w:val="clear" w:color="auto" w:fill="EDF0FC"/>
          </w:tcPr>
          <w:p>
            <w:pPr>
              <w:spacing w:after="0"/>
              <w:rPr>
                <w:sz w:val="6"/>
                <w:szCs w:val="6"/>
                <w:color w:val="auto"/>
              </w:rPr>
            </w:pPr>
          </w:p>
        </w:tc>
        <w:tc>
          <w:tcPr>
            <w:tcW w:w="260" w:type="dxa"/>
            <w:vAlign w:val="bottom"/>
            <w:shd w:val="clear" w:color="auto" w:fill="EDF0FC"/>
          </w:tcPr>
          <w:p>
            <w:pPr>
              <w:spacing w:after="0"/>
              <w:rPr>
                <w:sz w:val="6"/>
                <w:szCs w:val="6"/>
                <w:color w:val="auto"/>
              </w:rPr>
            </w:pPr>
          </w:p>
        </w:tc>
      </w:tr>
      <w:tr>
        <w:trPr>
          <w:trHeight w:val="270"/>
        </w:trPr>
        <w:tc>
          <w:tcPr>
            <w:tcW w:w="3420" w:type="dxa"/>
            <w:vAlign w:val="bottom"/>
            <w:shd w:val="clear" w:color="auto" w:fill="EDF0FC"/>
          </w:tcPr>
          <w:p>
            <w:pPr>
              <w:spacing w:after="0"/>
              <w:rPr>
                <w:sz w:val="20"/>
                <w:szCs w:val="20"/>
                <w:color w:val="auto"/>
              </w:rPr>
            </w:pPr>
            <w:r>
              <w:rPr>
                <w:rFonts w:ascii="Arial" w:cs="Arial" w:eastAsia="Arial" w:hAnsi="Arial"/>
                <w:sz w:val="16"/>
                <w:szCs w:val="16"/>
                <w:b w:val="1"/>
                <w:bCs w:val="1"/>
                <w:color w:val="auto"/>
              </w:rPr>
              <w:t>Fixed Component:</w:t>
            </w:r>
          </w:p>
        </w:tc>
        <w:tc>
          <w:tcPr>
            <w:tcW w:w="200" w:type="dxa"/>
            <w:vAlign w:val="bottom"/>
            <w:shd w:val="clear" w:color="auto" w:fill="EDF0FC"/>
          </w:tcPr>
          <w:p>
            <w:pPr>
              <w:spacing w:after="0"/>
              <w:rPr>
                <w:sz w:val="23"/>
                <w:szCs w:val="23"/>
                <w:color w:val="auto"/>
              </w:rPr>
            </w:pPr>
          </w:p>
        </w:tc>
        <w:tc>
          <w:tcPr>
            <w:tcW w:w="344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auto"/>
              </w:rPr>
              <w:t>Variable Components:</w:t>
            </w:r>
          </w:p>
        </w:tc>
        <w:tc>
          <w:tcPr>
            <w:tcW w:w="200" w:type="dxa"/>
            <w:vAlign w:val="bottom"/>
            <w:shd w:val="clear" w:color="auto" w:fill="EDF0FC"/>
          </w:tcPr>
          <w:p>
            <w:pPr>
              <w:spacing w:after="0"/>
              <w:rPr>
                <w:sz w:val="23"/>
                <w:szCs w:val="23"/>
                <w:color w:val="auto"/>
              </w:rPr>
            </w:pPr>
          </w:p>
        </w:tc>
        <w:tc>
          <w:tcPr>
            <w:tcW w:w="3420" w:type="dxa"/>
            <w:vAlign w:val="bottom"/>
            <w:shd w:val="clear" w:color="auto" w:fill="EDF0FC"/>
          </w:tcPr>
          <w:p>
            <w:pPr>
              <w:spacing w:after="0"/>
              <w:rPr>
                <w:sz w:val="23"/>
                <w:szCs w:val="23"/>
                <w:color w:val="auto"/>
              </w:rPr>
            </w:pPr>
          </w:p>
        </w:tc>
        <w:tc>
          <w:tcPr>
            <w:tcW w:w="260" w:type="dxa"/>
            <w:vAlign w:val="bottom"/>
            <w:shd w:val="clear" w:color="auto" w:fill="EDF0FC"/>
          </w:tcPr>
          <w:p>
            <w:pPr>
              <w:spacing w:after="0"/>
              <w:rPr>
                <w:sz w:val="23"/>
                <w:szCs w:val="23"/>
                <w:color w:val="auto"/>
              </w:rPr>
            </w:pPr>
          </w:p>
        </w:tc>
      </w:tr>
      <w:tr>
        <w:trPr>
          <w:trHeight w:val="88"/>
        </w:trPr>
        <w:tc>
          <w:tcPr>
            <w:tcW w:w="3420" w:type="dxa"/>
            <w:vAlign w:val="bottom"/>
            <w:shd w:val="clear" w:color="auto" w:fill="EDF0FC"/>
          </w:tcPr>
          <w:p>
            <w:pPr>
              <w:spacing w:after="0"/>
              <w:rPr>
                <w:sz w:val="7"/>
                <w:szCs w:val="7"/>
                <w:color w:val="auto"/>
              </w:rPr>
            </w:pPr>
          </w:p>
        </w:tc>
        <w:tc>
          <w:tcPr>
            <w:tcW w:w="200" w:type="dxa"/>
            <w:vAlign w:val="bottom"/>
            <w:shd w:val="clear" w:color="auto" w:fill="EDF0FC"/>
          </w:tcPr>
          <w:p>
            <w:pPr>
              <w:spacing w:after="0"/>
              <w:rPr>
                <w:sz w:val="7"/>
                <w:szCs w:val="7"/>
                <w:color w:val="auto"/>
              </w:rPr>
            </w:pPr>
          </w:p>
        </w:tc>
        <w:tc>
          <w:tcPr>
            <w:tcW w:w="3440" w:type="dxa"/>
            <w:vAlign w:val="bottom"/>
            <w:shd w:val="clear" w:color="auto" w:fill="EDF0FC"/>
          </w:tcPr>
          <w:p>
            <w:pPr>
              <w:spacing w:after="0"/>
              <w:rPr>
                <w:sz w:val="7"/>
                <w:szCs w:val="7"/>
                <w:color w:val="auto"/>
              </w:rPr>
            </w:pPr>
          </w:p>
        </w:tc>
        <w:tc>
          <w:tcPr>
            <w:tcW w:w="200" w:type="dxa"/>
            <w:vAlign w:val="bottom"/>
            <w:shd w:val="clear" w:color="auto" w:fill="EDF0FC"/>
          </w:tcPr>
          <w:p>
            <w:pPr>
              <w:spacing w:after="0"/>
              <w:rPr>
                <w:sz w:val="7"/>
                <w:szCs w:val="7"/>
                <w:color w:val="auto"/>
              </w:rPr>
            </w:pPr>
          </w:p>
        </w:tc>
        <w:tc>
          <w:tcPr>
            <w:tcW w:w="3420" w:type="dxa"/>
            <w:vAlign w:val="bottom"/>
            <w:shd w:val="clear" w:color="auto" w:fill="EDF0FC"/>
          </w:tcPr>
          <w:p>
            <w:pPr>
              <w:spacing w:after="0"/>
              <w:rPr>
                <w:sz w:val="7"/>
                <w:szCs w:val="7"/>
                <w:color w:val="auto"/>
              </w:rPr>
            </w:pPr>
          </w:p>
        </w:tc>
        <w:tc>
          <w:tcPr>
            <w:tcW w:w="260" w:type="dxa"/>
            <w:vAlign w:val="bottom"/>
            <w:shd w:val="clear" w:color="auto" w:fill="EDF0FC"/>
          </w:tcPr>
          <w:p>
            <w:pPr>
              <w:spacing w:after="0"/>
              <w:rPr>
                <w:sz w:val="7"/>
                <w:szCs w:val="7"/>
                <w:color w:val="auto"/>
              </w:rPr>
            </w:pPr>
          </w:p>
        </w:tc>
      </w:tr>
      <w:tr>
        <w:trPr>
          <w:trHeight w:val="290"/>
        </w:trPr>
        <w:tc>
          <w:tcPr>
            <w:tcW w:w="3420" w:type="dxa"/>
            <w:vAlign w:val="bottom"/>
            <w:shd w:val="clear" w:color="auto" w:fill="1A3FD6"/>
          </w:tcPr>
          <w:p>
            <w:pPr>
              <w:ind w:left="1240"/>
              <w:spacing w:after="0"/>
              <w:rPr>
                <w:sz w:val="20"/>
                <w:szCs w:val="20"/>
                <w:color w:val="auto"/>
              </w:rPr>
            </w:pPr>
            <w:r>
              <w:rPr>
                <w:rFonts w:ascii="Arial" w:cs="Arial" w:eastAsia="Arial" w:hAnsi="Arial"/>
                <w:sz w:val="16"/>
                <w:szCs w:val="16"/>
                <w:b w:val="1"/>
                <w:bCs w:val="1"/>
                <w:color w:val="FFFFFF"/>
              </w:rPr>
              <w:t>Base Salary</w:t>
            </w:r>
          </w:p>
        </w:tc>
        <w:tc>
          <w:tcPr>
            <w:tcW w:w="200" w:type="dxa"/>
            <w:vAlign w:val="bottom"/>
            <w:shd w:val="clear" w:color="auto" w:fill="EDF0FC"/>
          </w:tcPr>
          <w:p>
            <w:pPr>
              <w:spacing w:after="0"/>
              <w:rPr>
                <w:sz w:val="24"/>
                <w:szCs w:val="24"/>
                <w:color w:val="auto"/>
              </w:rPr>
            </w:pPr>
          </w:p>
        </w:tc>
        <w:tc>
          <w:tcPr>
            <w:tcW w:w="3440" w:type="dxa"/>
            <w:vAlign w:val="bottom"/>
            <w:shd w:val="clear" w:color="auto" w:fill="0626A9"/>
          </w:tcPr>
          <w:p>
            <w:pPr>
              <w:ind w:left="880"/>
              <w:spacing w:after="0"/>
              <w:rPr>
                <w:sz w:val="20"/>
                <w:szCs w:val="20"/>
                <w:color w:val="auto"/>
              </w:rPr>
            </w:pPr>
            <w:r>
              <w:rPr>
                <w:rFonts w:ascii="Arial" w:cs="Arial" w:eastAsia="Arial" w:hAnsi="Arial"/>
                <w:sz w:val="16"/>
                <w:szCs w:val="16"/>
                <w:b w:val="1"/>
                <w:bCs w:val="1"/>
                <w:color w:val="FFFFFF"/>
              </w:rPr>
              <w:t>Annual Incentive Plan</w:t>
            </w:r>
          </w:p>
        </w:tc>
        <w:tc>
          <w:tcPr>
            <w:tcW w:w="200" w:type="dxa"/>
            <w:vAlign w:val="bottom"/>
            <w:shd w:val="clear" w:color="auto" w:fill="EDF0FC"/>
          </w:tcPr>
          <w:p>
            <w:pPr>
              <w:spacing w:after="0"/>
              <w:rPr>
                <w:sz w:val="24"/>
                <w:szCs w:val="24"/>
                <w:color w:val="auto"/>
              </w:rPr>
            </w:pPr>
          </w:p>
        </w:tc>
        <w:tc>
          <w:tcPr>
            <w:tcW w:w="3420" w:type="dxa"/>
            <w:vAlign w:val="bottom"/>
            <w:shd w:val="clear" w:color="auto" w:fill="00A798"/>
          </w:tcPr>
          <w:p>
            <w:pPr>
              <w:ind w:left="560"/>
              <w:spacing w:after="0"/>
              <w:rPr>
                <w:sz w:val="20"/>
                <w:szCs w:val="20"/>
                <w:color w:val="auto"/>
              </w:rPr>
            </w:pPr>
            <w:r>
              <w:rPr>
                <w:rFonts w:ascii="Arial" w:cs="Arial" w:eastAsia="Arial" w:hAnsi="Arial"/>
                <w:sz w:val="16"/>
                <w:szCs w:val="16"/>
                <w:b w:val="1"/>
                <w:bCs w:val="1"/>
                <w:color w:val="auto"/>
              </w:rPr>
              <w:t>Long-Term Incentive Program</w:t>
            </w:r>
          </w:p>
        </w:tc>
        <w:tc>
          <w:tcPr>
            <w:tcW w:w="260" w:type="dxa"/>
            <w:vAlign w:val="bottom"/>
          </w:tcPr>
          <w:p>
            <w:pPr>
              <w:spacing w:after="0"/>
              <w:rPr>
                <w:sz w:val="24"/>
                <w:szCs w:val="24"/>
                <w:color w:val="auto"/>
              </w:rPr>
            </w:pPr>
          </w:p>
        </w:tc>
      </w:tr>
      <w:tr>
        <w:trPr>
          <w:trHeight w:val="89"/>
        </w:trPr>
        <w:tc>
          <w:tcPr>
            <w:tcW w:w="3420" w:type="dxa"/>
            <w:vAlign w:val="bottom"/>
            <w:shd w:val="clear" w:color="auto" w:fill="1A3FD6"/>
          </w:tcPr>
          <w:p>
            <w:pPr>
              <w:spacing w:after="0"/>
              <w:rPr>
                <w:sz w:val="7"/>
                <w:szCs w:val="7"/>
                <w:color w:val="auto"/>
              </w:rPr>
            </w:pPr>
          </w:p>
        </w:tc>
        <w:tc>
          <w:tcPr>
            <w:tcW w:w="200" w:type="dxa"/>
            <w:vAlign w:val="bottom"/>
            <w:shd w:val="clear" w:color="auto" w:fill="EDF0FC"/>
          </w:tcPr>
          <w:p>
            <w:pPr>
              <w:spacing w:after="0"/>
              <w:rPr>
                <w:sz w:val="7"/>
                <w:szCs w:val="7"/>
                <w:color w:val="auto"/>
              </w:rPr>
            </w:pPr>
          </w:p>
        </w:tc>
        <w:tc>
          <w:tcPr>
            <w:tcW w:w="3440" w:type="dxa"/>
            <w:vAlign w:val="bottom"/>
            <w:shd w:val="clear" w:color="auto" w:fill="0626A9"/>
          </w:tcPr>
          <w:p>
            <w:pPr>
              <w:spacing w:after="0"/>
              <w:rPr>
                <w:sz w:val="7"/>
                <w:szCs w:val="7"/>
                <w:color w:val="auto"/>
              </w:rPr>
            </w:pPr>
          </w:p>
        </w:tc>
        <w:tc>
          <w:tcPr>
            <w:tcW w:w="200" w:type="dxa"/>
            <w:vAlign w:val="bottom"/>
            <w:shd w:val="clear" w:color="auto" w:fill="EDF0FC"/>
          </w:tcPr>
          <w:p>
            <w:pPr>
              <w:spacing w:after="0"/>
              <w:rPr>
                <w:sz w:val="7"/>
                <w:szCs w:val="7"/>
                <w:color w:val="auto"/>
              </w:rPr>
            </w:pPr>
          </w:p>
        </w:tc>
        <w:tc>
          <w:tcPr>
            <w:tcW w:w="3420" w:type="dxa"/>
            <w:vAlign w:val="bottom"/>
            <w:shd w:val="clear" w:color="auto" w:fill="00A798"/>
          </w:tcPr>
          <w:p>
            <w:pPr>
              <w:spacing w:after="0"/>
              <w:rPr>
                <w:sz w:val="7"/>
                <w:szCs w:val="7"/>
                <w:color w:val="auto"/>
              </w:rPr>
            </w:pPr>
          </w:p>
        </w:tc>
        <w:tc>
          <w:tcPr>
            <w:tcW w:w="260" w:type="dxa"/>
            <w:vAlign w:val="bottom"/>
          </w:tcPr>
          <w:p>
            <w:pPr>
              <w:spacing w:after="0"/>
              <w:rPr>
                <w:sz w:val="7"/>
                <w:szCs w:val="7"/>
                <w:color w:val="auto"/>
              </w:rPr>
            </w:pPr>
          </w:p>
        </w:tc>
      </w:tr>
      <w:tr>
        <w:trPr>
          <w:trHeight w:val="162"/>
        </w:trPr>
        <w:tc>
          <w:tcPr>
            <w:tcW w:w="3420" w:type="dxa"/>
            <w:vAlign w:val="bottom"/>
            <w:shd w:val="clear" w:color="auto" w:fill="EDF0FC"/>
          </w:tcPr>
          <w:p>
            <w:pPr>
              <w:spacing w:after="0"/>
              <w:rPr>
                <w:sz w:val="14"/>
                <w:szCs w:val="14"/>
                <w:color w:val="auto"/>
              </w:rPr>
            </w:pPr>
          </w:p>
        </w:tc>
        <w:tc>
          <w:tcPr>
            <w:tcW w:w="200" w:type="dxa"/>
            <w:vAlign w:val="bottom"/>
            <w:shd w:val="clear" w:color="auto" w:fill="EDF0FC"/>
          </w:tcPr>
          <w:p>
            <w:pPr>
              <w:spacing w:after="0"/>
              <w:rPr>
                <w:sz w:val="14"/>
                <w:szCs w:val="14"/>
                <w:color w:val="auto"/>
              </w:rPr>
            </w:pPr>
          </w:p>
        </w:tc>
        <w:tc>
          <w:tcPr>
            <w:tcW w:w="3440" w:type="dxa"/>
            <w:vAlign w:val="bottom"/>
            <w:shd w:val="clear" w:color="auto" w:fill="EDF0FC"/>
          </w:tcPr>
          <w:p>
            <w:pPr>
              <w:spacing w:after="0"/>
              <w:rPr>
                <w:sz w:val="14"/>
                <w:szCs w:val="14"/>
                <w:color w:val="auto"/>
              </w:rPr>
            </w:pPr>
          </w:p>
        </w:tc>
        <w:tc>
          <w:tcPr>
            <w:tcW w:w="200" w:type="dxa"/>
            <w:vAlign w:val="bottom"/>
            <w:shd w:val="clear" w:color="auto" w:fill="EDF0FC"/>
          </w:tcPr>
          <w:p>
            <w:pPr>
              <w:spacing w:after="0"/>
              <w:rPr>
                <w:sz w:val="14"/>
                <w:szCs w:val="14"/>
                <w:color w:val="auto"/>
              </w:rPr>
            </w:pPr>
          </w:p>
        </w:tc>
        <w:tc>
          <w:tcPr>
            <w:tcW w:w="3420" w:type="dxa"/>
            <w:vAlign w:val="bottom"/>
            <w:shd w:val="clear" w:color="auto" w:fill="EDF0FC"/>
          </w:tcPr>
          <w:p>
            <w:pPr>
              <w:spacing w:after="0"/>
              <w:rPr>
                <w:sz w:val="14"/>
                <w:szCs w:val="14"/>
                <w:color w:val="auto"/>
              </w:rPr>
            </w:pPr>
          </w:p>
        </w:tc>
        <w:tc>
          <w:tcPr>
            <w:tcW w:w="2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6948805</wp:posOffset>
            </wp:positionH>
            <wp:positionV relativeFrom="paragraph">
              <wp:posOffset>-342265</wp:posOffset>
            </wp:positionV>
            <wp:extent cx="162560" cy="11315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62560" cy="1131570"/>
                    </a:xfrm>
                    <a:prstGeom prst="rect">
                      <a:avLst/>
                    </a:prstGeom>
                    <a:noFill/>
                  </pic:spPr>
                </pic:pic>
              </a:graphicData>
            </a:graphic>
          </wp:anchor>
        </w:drawing>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1A3FD6"/>
        </w:rPr>
        <w:t>PHILOSOPHY</w:t>
      </w:r>
    </w:p>
    <w:p>
      <w:pPr>
        <w:spacing w:after="0" w:line="39" w:lineRule="exact"/>
        <w:rPr>
          <w:sz w:val="20"/>
          <w:szCs w:val="20"/>
          <w:color w:val="auto"/>
        </w:rPr>
      </w:pPr>
    </w:p>
    <w:p>
      <w:pPr>
        <w:jc w:val="both"/>
        <w:ind w:left="340" w:right="380"/>
        <w:spacing w:after="0" w:line="288" w:lineRule="auto"/>
        <w:rPr>
          <w:sz w:val="20"/>
          <w:szCs w:val="20"/>
          <w:color w:val="auto"/>
        </w:rPr>
      </w:pPr>
      <w:r>
        <w:rPr>
          <w:rFonts w:ascii="Arial" w:cs="Arial" w:eastAsia="Arial" w:hAnsi="Arial"/>
          <w:sz w:val="16"/>
          <w:szCs w:val="16"/>
          <w:color w:val="auto"/>
        </w:rPr>
        <w:t>Each of the three components has a different purpose. The sum of the base salary, target annual cash incentive and target equity incentive creates a target total compensation. Actual cash incentive and equity incentive payouts are dependent upon the achievement of the relevant AIP and LTIP goals tied directly to the performance of the Company and its share price, the product/functional unit and the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960120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55880</wp:posOffset>
            </wp:positionV>
            <wp:extent cx="6789420" cy="1028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789420" cy="102870"/>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8420"/>
              <w:spacing w:after="0"/>
              <w:rPr>
                <w:sz w:val="20"/>
                <w:szCs w:val="20"/>
                <w:color w:val="auto"/>
              </w:rPr>
            </w:pPr>
            <w:r>
              <w:rPr>
                <w:rFonts w:ascii="Arial" w:cs="Arial" w:eastAsia="Arial" w:hAnsi="Arial"/>
                <w:sz w:val="14"/>
                <w:szCs w:val="14"/>
                <w:b w:val="1"/>
                <w:bCs w:val="1"/>
                <w:color w:val="1A3FD6"/>
              </w:rPr>
              <w:t>Compensation Matters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59</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right="140"/>
        <w:spacing w:after="0" w:line="292" w:lineRule="auto"/>
        <w:rPr>
          <w:sz w:val="20"/>
          <w:szCs w:val="20"/>
          <w:color w:val="auto"/>
        </w:rPr>
      </w:pPr>
      <w:r>
        <w:rPr>
          <w:rFonts w:ascii="Arial" w:cs="Arial" w:eastAsia="Arial" w:hAnsi="Arial"/>
          <w:sz w:val="16"/>
          <w:szCs w:val="16"/>
          <w:color w:val="auto"/>
        </w:rPr>
        <w:t>We believe that this target-based incentive structure fosters a culture of high performance and accountability and promotes shareholder interests by closely aligning executive compensation with objectively measured Company performance and strategic goal attainment as further described below. The following table sets forth the key components of our executive compensation program in effect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5554980" cy="2654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554980" cy="265430"/>
                    </a:xfrm>
                    <a:prstGeom prst="rect">
                      <a:avLst/>
                    </a:prstGeom>
                    <a:noFill/>
                  </pic:spPr>
                </pic:pic>
              </a:graphicData>
            </a:graphic>
          </wp:anchor>
        </w:drawing>
      </w:r>
    </w:p>
    <w:p>
      <w:pPr>
        <w:spacing w:after="0" w:line="266" w:lineRule="exact"/>
        <w:rPr>
          <w:sz w:val="20"/>
          <w:szCs w:val="20"/>
          <w:color w:val="auto"/>
        </w:rPr>
      </w:pPr>
    </w:p>
    <w:p>
      <w:pPr>
        <w:ind w:left="2580"/>
        <w:spacing w:after="0"/>
        <w:rPr>
          <w:sz w:val="20"/>
          <w:szCs w:val="20"/>
          <w:color w:val="auto"/>
        </w:rPr>
      </w:pPr>
      <w:r>
        <w:rPr>
          <w:rFonts w:ascii="Arial" w:cs="Arial" w:eastAsia="Arial" w:hAnsi="Arial"/>
          <w:sz w:val="22"/>
          <w:szCs w:val="22"/>
          <w:b w:val="1"/>
          <w:bCs w:val="1"/>
          <w:color w:val="FFFFFF"/>
        </w:rPr>
        <w:t>Performance-Based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128905" cy="35318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8905" cy="353187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shd w:val="clear" w:color="auto" w:fill="EDF0FC"/>
          </w:tcPr>
          <w:p>
            <w:pPr>
              <w:spacing w:after="0"/>
              <w:rPr>
                <w:sz w:val="14"/>
                <w:szCs w:val="14"/>
                <w:color w:val="auto"/>
              </w:rPr>
            </w:pPr>
          </w:p>
        </w:tc>
        <w:tc>
          <w:tcPr>
            <w:tcW w:w="1780" w:type="dxa"/>
            <w:vAlign w:val="bottom"/>
            <w:vMerge w:val="restart"/>
            <w:shd w:val="clear" w:color="auto" w:fill="EDF0FC"/>
          </w:tcPr>
          <w:p>
            <w:pPr>
              <w:spacing w:after="0"/>
              <w:rPr>
                <w:sz w:val="20"/>
                <w:szCs w:val="20"/>
                <w:color w:val="auto"/>
              </w:rPr>
            </w:pPr>
            <w:r>
              <w:rPr>
                <w:rFonts w:ascii="Arial" w:cs="Arial" w:eastAsia="Arial" w:hAnsi="Arial"/>
                <w:sz w:val="20"/>
                <w:szCs w:val="20"/>
                <w:color w:val="1A3FD6"/>
              </w:rPr>
              <w:t>Short-Term</w:t>
            </w:r>
          </w:p>
        </w:tc>
        <w:tc>
          <w:tcPr>
            <w:tcW w:w="1280" w:type="dxa"/>
            <w:vAlign w:val="bottom"/>
            <w:shd w:val="clear" w:color="auto" w:fill="EDF0FC"/>
          </w:tcPr>
          <w:p>
            <w:pPr>
              <w:spacing w:after="0"/>
              <w:rPr>
                <w:sz w:val="14"/>
                <w:szCs w:val="14"/>
                <w:color w:val="auto"/>
              </w:rPr>
            </w:pPr>
          </w:p>
        </w:tc>
        <w:tc>
          <w:tcPr>
            <w:tcW w:w="1160" w:type="dxa"/>
            <w:vAlign w:val="bottom"/>
            <w:shd w:val="clear" w:color="auto" w:fill="EDF0FC"/>
          </w:tcPr>
          <w:p>
            <w:pPr>
              <w:spacing w:after="0"/>
              <w:rPr>
                <w:sz w:val="14"/>
                <w:szCs w:val="14"/>
                <w:color w:val="auto"/>
              </w:rPr>
            </w:pPr>
          </w:p>
        </w:tc>
        <w:tc>
          <w:tcPr>
            <w:tcW w:w="260" w:type="dxa"/>
            <w:vAlign w:val="bottom"/>
            <w:shd w:val="clear" w:color="auto" w:fill="EDF0FC"/>
          </w:tcPr>
          <w:p>
            <w:pPr>
              <w:spacing w:after="0"/>
              <w:rPr>
                <w:sz w:val="14"/>
                <w:szCs w:val="14"/>
                <w:color w:val="auto"/>
              </w:rPr>
            </w:pPr>
          </w:p>
        </w:tc>
        <w:tc>
          <w:tcPr>
            <w:tcW w:w="4060" w:type="dxa"/>
            <w:vAlign w:val="bottom"/>
            <w:gridSpan w:val="2"/>
            <w:vMerge w:val="restart"/>
            <w:shd w:val="clear" w:color="auto" w:fill="EDF0FC"/>
          </w:tcPr>
          <w:p>
            <w:pPr>
              <w:ind w:left="20"/>
              <w:spacing w:after="0"/>
              <w:rPr>
                <w:sz w:val="20"/>
                <w:szCs w:val="20"/>
                <w:color w:val="auto"/>
              </w:rPr>
            </w:pPr>
            <w:r>
              <w:rPr>
                <w:rFonts w:ascii="Arial" w:cs="Arial" w:eastAsia="Arial" w:hAnsi="Arial"/>
                <w:sz w:val="20"/>
                <w:szCs w:val="20"/>
                <w:color w:val="1A3FD6"/>
              </w:rPr>
              <w:t>Long-Term</w:t>
            </w:r>
          </w:p>
        </w:tc>
        <w:tc>
          <w:tcPr>
            <w:tcW w:w="0" w:type="dxa"/>
            <w:vAlign w:val="bottom"/>
          </w:tcPr>
          <w:p>
            <w:pPr>
              <w:spacing w:after="0"/>
              <w:rPr>
                <w:sz w:val="1"/>
                <w:szCs w:val="1"/>
                <w:color w:val="auto"/>
              </w:rPr>
            </w:pPr>
          </w:p>
        </w:tc>
      </w:tr>
      <w:tr>
        <w:trPr>
          <w:trHeight w:val="343"/>
        </w:trPr>
        <w:tc>
          <w:tcPr>
            <w:tcW w:w="220" w:type="dxa"/>
            <w:vAlign w:val="bottom"/>
          </w:tcPr>
          <w:p>
            <w:pPr>
              <w:spacing w:after="0"/>
              <w:rPr>
                <w:sz w:val="24"/>
                <w:szCs w:val="24"/>
                <w:color w:val="auto"/>
              </w:rPr>
            </w:pPr>
          </w:p>
        </w:tc>
        <w:tc>
          <w:tcPr>
            <w:tcW w:w="1780" w:type="dxa"/>
            <w:vAlign w:val="bottom"/>
            <w:vMerge w:val="continue"/>
            <w:shd w:val="clear" w:color="auto" w:fill="EDF0FC"/>
          </w:tcPr>
          <w:p>
            <w:pPr>
              <w:spacing w:after="0"/>
              <w:rPr>
                <w:sz w:val="24"/>
                <w:szCs w:val="24"/>
                <w:color w:val="auto"/>
              </w:rPr>
            </w:pPr>
          </w:p>
        </w:tc>
        <w:tc>
          <w:tcPr>
            <w:tcW w:w="1280" w:type="dxa"/>
            <w:vAlign w:val="bottom"/>
            <w:shd w:val="clear" w:color="auto" w:fill="EDF0FC"/>
          </w:tcPr>
          <w:p>
            <w:pPr>
              <w:spacing w:after="0"/>
              <w:rPr>
                <w:sz w:val="24"/>
                <w:szCs w:val="24"/>
                <w:color w:val="auto"/>
              </w:rPr>
            </w:pPr>
          </w:p>
        </w:tc>
        <w:tc>
          <w:tcPr>
            <w:tcW w:w="1160" w:type="dxa"/>
            <w:vAlign w:val="bottom"/>
            <w:shd w:val="clear" w:color="auto" w:fill="EDF0FC"/>
          </w:tcPr>
          <w:p>
            <w:pPr>
              <w:spacing w:after="0"/>
              <w:rPr>
                <w:sz w:val="24"/>
                <w:szCs w:val="24"/>
                <w:color w:val="auto"/>
              </w:rPr>
            </w:pPr>
          </w:p>
        </w:tc>
        <w:tc>
          <w:tcPr>
            <w:tcW w:w="260" w:type="dxa"/>
            <w:vAlign w:val="bottom"/>
            <w:shd w:val="clear" w:color="auto" w:fill="EDF0FC"/>
          </w:tcPr>
          <w:p>
            <w:pPr>
              <w:spacing w:after="0"/>
              <w:rPr>
                <w:sz w:val="24"/>
                <w:szCs w:val="24"/>
                <w:color w:val="auto"/>
              </w:rPr>
            </w:pPr>
          </w:p>
        </w:tc>
        <w:tc>
          <w:tcPr>
            <w:tcW w:w="4060" w:type="dxa"/>
            <w:vAlign w:val="bottom"/>
            <w:gridSpan w:val="2"/>
            <w:vMerge w:val="continue"/>
            <w:shd w:val="clear" w:color="auto" w:fill="EDF0FC"/>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20" w:type="dxa"/>
            <w:vAlign w:val="bottom"/>
          </w:tcPr>
          <w:p>
            <w:pPr>
              <w:spacing w:after="0"/>
              <w:rPr>
                <w:sz w:val="22"/>
                <w:szCs w:val="22"/>
                <w:color w:val="auto"/>
              </w:rPr>
            </w:pPr>
          </w:p>
        </w:tc>
        <w:tc>
          <w:tcPr>
            <w:tcW w:w="3060" w:type="dxa"/>
            <w:vAlign w:val="bottom"/>
            <w:gridSpan w:val="2"/>
            <w:shd w:val="clear" w:color="auto" w:fill="EDF0FC"/>
          </w:tcPr>
          <w:p>
            <w:pPr>
              <w:spacing w:after="0"/>
              <w:rPr>
                <w:sz w:val="20"/>
                <w:szCs w:val="20"/>
                <w:color w:val="auto"/>
              </w:rPr>
            </w:pPr>
            <w:r>
              <w:rPr>
                <w:rFonts w:ascii="Arial" w:cs="Arial" w:eastAsia="Arial" w:hAnsi="Arial"/>
                <w:sz w:val="20"/>
                <w:szCs w:val="20"/>
                <w:color w:val="auto"/>
                <w:w w:val="98"/>
              </w:rPr>
              <w:t>Annual Incentive Plan Cash Bonus</w:t>
            </w:r>
          </w:p>
        </w:tc>
        <w:tc>
          <w:tcPr>
            <w:tcW w:w="1160" w:type="dxa"/>
            <w:vAlign w:val="bottom"/>
            <w:shd w:val="clear" w:color="auto" w:fill="EDF0FC"/>
          </w:tcPr>
          <w:p>
            <w:pPr>
              <w:spacing w:after="0"/>
              <w:rPr>
                <w:sz w:val="22"/>
                <w:szCs w:val="22"/>
                <w:color w:val="auto"/>
              </w:rPr>
            </w:pPr>
          </w:p>
        </w:tc>
        <w:tc>
          <w:tcPr>
            <w:tcW w:w="260" w:type="dxa"/>
            <w:vAlign w:val="bottom"/>
            <w:shd w:val="clear" w:color="auto" w:fill="EDF0FC"/>
          </w:tcPr>
          <w:p>
            <w:pPr>
              <w:spacing w:after="0"/>
              <w:rPr>
                <w:sz w:val="22"/>
                <w:szCs w:val="22"/>
                <w:color w:val="auto"/>
              </w:rPr>
            </w:pPr>
          </w:p>
        </w:tc>
        <w:tc>
          <w:tcPr>
            <w:tcW w:w="4060" w:type="dxa"/>
            <w:vAlign w:val="bottom"/>
            <w:gridSpan w:val="2"/>
            <w:shd w:val="clear" w:color="auto" w:fill="EDF0FC"/>
          </w:tcPr>
          <w:p>
            <w:pPr>
              <w:ind w:left="20"/>
              <w:spacing w:after="0"/>
              <w:rPr>
                <w:sz w:val="20"/>
                <w:szCs w:val="20"/>
                <w:color w:val="auto"/>
              </w:rPr>
            </w:pPr>
            <w:r>
              <w:rPr>
                <w:rFonts w:ascii="Arial" w:cs="Arial" w:eastAsia="Arial" w:hAnsi="Arial"/>
                <w:sz w:val="20"/>
                <w:szCs w:val="20"/>
                <w:color w:val="auto"/>
              </w:rPr>
              <w:t>Equity Incentive Awards</w:t>
            </w:r>
          </w:p>
        </w:tc>
        <w:tc>
          <w:tcPr>
            <w:tcW w:w="0" w:type="dxa"/>
            <w:vAlign w:val="bottom"/>
          </w:tcPr>
          <w:p>
            <w:pPr>
              <w:spacing w:after="0"/>
              <w:rPr>
                <w:sz w:val="1"/>
                <w:szCs w:val="1"/>
                <w:color w:val="auto"/>
              </w:rPr>
            </w:pPr>
          </w:p>
        </w:tc>
      </w:tr>
      <w:tr>
        <w:trPr>
          <w:trHeight w:val="123"/>
        </w:trPr>
        <w:tc>
          <w:tcPr>
            <w:tcW w:w="220" w:type="dxa"/>
            <w:vAlign w:val="bottom"/>
          </w:tcPr>
          <w:p>
            <w:pPr>
              <w:spacing w:after="0"/>
              <w:rPr>
                <w:sz w:val="10"/>
                <w:szCs w:val="10"/>
                <w:color w:val="auto"/>
              </w:rPr>
            </w:pPr>
          </w:p>
        </w:tc>
        <w:tc>
          <w:tcPr>
            <w:tcW w:w="1780" w:type="dxa"/>
            <w:vAlign w:val="bottom"/>
            <w:tcBorders>
              <w:bottom w:val="single" w:sz="8" w:color="1A3FD6"/>
            </w:tcBorders>
            <w:shd w:val="clear" w:color="auto" w:fill="EDF0FC"/>
          </w:tcPr>
          <w:p>
            <w:pPr>
              <w:spacing w:after="0"/>
              <w:rPr>
                <w:sz w:val="10"/>
                <w:szCs w:val="10"/>
                <w:color w:val="auto"/>
              </w:rPr>
            </w:pPr>
          </w:p>
        </w:tc>
        <w:tc>
          <w:tcPr>
            <w:tcW w:w="1280" w:type="dxa"/>
            <w:vAlign w:val="bottom"/>
            <w:tcBorders>
              <w:bottom w:val="single" w:sz="8" w:color="1A3FD6"/>
            </w:tcBorders>
            <w:shd w:val="clear" w:color="auto" w:fill="EDF0FC"/>
          </w:tcPr>
          <w:p>
            <w:pPr>
              <w:spacing w:after="0"/>
              <w:rPr>
                <w:sz w:val="10"/>
                <w:szCs w:val="10"/>
                <w:color w:val="auto"/>
              </w:rPr>
            </w:pPr>
          </w:p>
        </w:tc>
        <w:tc>
          <w:tcPr>
            <w:tcW w:w="1160" w:type="dxa"/>
            <w:vAlign w:val="bottom"/>
            <w:tcBorders>
              <w:bottom w:val="single" w:sz="8" w:color="1A3FD6"/>
            </w:tcBorders>
            <w:shd w:val="clear" w:color="auto" w:fill="EDF0FC"/>
          </w:tcPr>
          <w:p>
            <w:pPr>
              <w:spacing w:after="0"/>
              <w:rPr>
                <w:sz w:val="10"/>
                <w:szCs w:val="10"/>
                <w:color w:val="auto"/>
              </w:rPr>
            </w:pPr>
          </w:p>
        </w:tc>
        <w:tc>
          <w:tcPr>
            <w:tcW w:w="260" w:type="dxa"/>
            <w:vAlign w:val="bottom"/>
            <w:tcBorders>
              <w:bottom w:val="single" w:sz="8" w:color="EDF0FC"/>
            </w:tcBorders>
            <w:shd w:val="clear" w:color="auto" w:fill="EDF0FC"/>
          </w:tcPr>
          <w:p>
            <w:pPr>
              <w:spacing w:after="0"/>
              <w:rPr>
                <w:sz w:val="10"/>
                <w:szCs w:val="10"/>
                <w:color w:val="auto"/>
              </w:rPr>
            </w:pPr>
          </w:p>
        </w:tc>
        <w:tc>
          <w:tcPr>
            <w:tcW w:w="3820" w:type="dxa"/>
            <w:vAlign w:val="bottom"/>
            <w:tcBorders>
              <w:bottom w:val="single" w:sz="8" w:color="1A3FD6"/>
            </w:tcBorders>
            <w:shd w:val="clear" w:color="auto" w:fill="EDF0FC"/>
          </w:tcPr>
          <w:p>
            <w:pPr>
              <w:spacing w:after="0"/>
              <w:rPr>
                <w:sz w:val="10"/>
                <w:szCs w:val="10"/>
                <w:color w:val="auto"/>
              </w:rPr>
            </w:pPr>
          </w:p>
        </w:tc>
        <w:tc>
          <w:tcPr>
            <w:tcW w:w="240" w:type="dxa"/>
            <w:vAlign w:val="bottom"/>
            <w:tcBorders>
              <w:bottom w:val="single" w:sz="8" w:color="EDF0FC"/>
            </w:tcBorders>
            <w:shd w:val="clear" w:color="auto" w:fill="EDF0FC"/>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220" w:type="dxa"/>
            <w:vAlign w:val="bottom"/>
          </w:tcPr>
          <w:p>
            <w:pPr>
              <w:spacing w:after="0"/>
              <w:rPr>
                <w:sz w:val="19"/>
                <w:szCs w:val="19"/>
                <w:color w:val="auto"/>
              </w:rPr>
            </w:pPr>
          </w:p>
        </w:tc>
        <w:tc>
          <w:tcPr>
            <w:tcW w:w="1780" w:type="dxa"/>
            <w:vAlign w:val="bottom"/>
            <w:tcBorders>
              <w:top w:val="single" w:sz="8" w:color="EDF0FC"/>
            </w:tcBorders>
            <w:vMerge w:val="restart"/>
            <w:shd w:val="clear" w:color="auto" w:fill="EDF0FC"/>
          </w:tcPr>
          <w:p>
            <w:pPr>
              <w:spacing w:after="0"/>
              <w:rPr>
                <w:sz w:val="20"/>
                <w:szCs w:val="20"/>
                <w:color w:val="auto"/>
              </w:rPr>
            </w:pPr>
            <w:r>
              <w:rPr>
                <w:rFonts w:ascii="Arial" w:cs="Arial" w:eastAsia="Arial" w:hAnsi="Arial"/>
                <w:sz w:val="34"/>
                <w:szCs w:val="34"/>
                <w:b w:val="1"/>
                <w:bCs w:val="1"/>
                <w:color w:val="auto"/>
              </w:rPr>
              <w:t>70%</w:t>
            </w:r>
          </w:p>
        </w:tc>
        <w:tc>
          <w:tcPr>
            <w:tcW w:w="1280" w:type="dxa"/>
            <w:vAlign w:val="bottom"/>
            <w:tcBorders>
              <w:top w:val="single" w:sz="8" w:color="EDF0FC"/>
            </w:tcBorders>
            <w:vMerge w:val="restart"/>
            <w:shd w:val="clear" w:color="auto" w:fill="EDF0FC"/>
          </w:tcPr>
          <w:p>
            <w:pPr>
              <w:ind w:left="20"/>
              <w:spacing w:after="0"/>
              <w:rPr>
                <w:sz w:val="20"/>
                <w:szCs w:val="20"/>
                <w:color w:val="auto"/>
              </w:rPr>
            </w:pPr>
            <w:r>
              <w:rPr>
                <w:rFonts w:ascii="Arial" w:cs="Arial" w:eastAsia="Arial" w:hAnsi="Arial"/>
                <w:sz w:val="34"/>
                <w:szCs w:val="34"/>
                <w:b w:val="1"/>
                <w:bCs w:val="1"/>
                <w:color w:val="auto"/>
              </w:rPr>
              <w:t>20%</w:t>
            </w:r>
          </w:p>
        </w:tc>
        <w:tc>
          <w:tcPr>
            <w:tcW w:w="1160" w:type="dxa"/>
            <w:vAlign w:val="bottom"/>
            <w:tcBorders>
              <w:top w:val="single" w:sz="8" w:color="EDF0FC"/>
            </w:tcBorders>
            <w:vMerge w:val="restart"/>
            <w:shd w:val="clear" w:color="auto" w:fill="EDF0FC"/>
          </w:tcPr>
          <w:p>
            <w:pPr>
              <w:ind w:left="20"/>
              <w:spacing w:after="0"/>
              <w:rPr>
                <w:sz w:val="20"/>
                <w:szCs w:val="20"/>
                <w:color w:val="auto"/>
              </w:rPr>
            </w:pPr>
            <w:r>
              <w:rPr>
                <w:rFonts w:ascii="Arial" w:cs="Arial" w:eastAsia="Arial" w:hAnsi="Arial"/>
                <w:sz w:val="34"/>
                <w:szCs w:val="34"/>
                <w:b w:val="1"/>
                <w:bCs w:val="1"/>
                <w:color w:val="auto"/>
              </w:rPr>
              <w:t>10%</w:t>
            </w:r>
          </w:p>
        </w:tc>
        <w:tc>
          <w:tcPr>
            <w:tcW w:w="260" w:type="dxa"/>
            <w:vAlign w:val="bottom"/>
            <w:tcBorders>
              <w:top w:val="single" w:sz="8" w:color="EDF0FC"/>
            </w:tcBorders>
            <w:shd w:val="clear" w:color="auto" w:fill="EDF0FC"/>
          </w:tcPr>
          <w:p>
            <w:pPr>
              <w:spacing w:after="0"/>
              <w:rPr>
                <w:sz w:val="19"/>
                <w:szCs w:val="19"/>
                <w:color w:val="auto"/>
              </w:rPr>
            </w:pPr>
          </w:p>
        </w:tc>
        <w:tc>
          <w:tcPr>
            <w:tcW w:w="4060" w:type="dxa"/>
            <w:vAlign w:val="bottom"/>
            <w:tcBorders>
              <w:top w:val="single" w:sz="8" w:color="EDF0FC"/>
            </w:tcBorders>
            <w:gridSpan w:val="2"/>
          </w:tcPr>
          <w:p>
            <w:pPr>
              <w:ind w:left="2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Restricted Stock Units (3-year cliff-vest)</w:t>
            </w:r>
          </w:p>
        </w:tc>
        <w:tc>
          <w:tcPr>
            <w:tcW w:w="0" w:type="dxa"/>
            <w:vAlign w:val="bottom"/>
          </w:tcPr>
          <w:p>
            <w:pPr>
              <w:spacing w:after="0"/>
              <w:rPr>
                <w:sz w:val="1"/>
                <w:szCs w:val="1"/>
                <w:color w:val="auto"/>
              </w:rPr>
            </w:pPr>
          </w:p>
        </w:tc>
      </w:tr>
      <w:tr>
        <w:trPr>
          <w:trHeight w:val="259"/>
        </w:trPr>
        <w:tc>
          <w:tcPr>
            <w:tcW w:w="220" w:type="dxa"/>
            <w:vAlign w:val="bottom"/>
          </w:tcPr>
          <w:p>
            <w:pPr>
              <w:spacing w:after="0"/>
              <w:rPr>
                <w:sz w:val="22"/>
                <w:szCs w:val="22"/>
                <w:color w:val="auto"/>
              </w:rPr>
            </w:pPr>
          </w:p>
        </w:tc>
        <w:tc>
          <w:tcPr>
            <w:tcW w:w="1780" w:type="dxa"/>
            <w:vAlign w:val="bottom"/>
            <w:vMerge w:val="continue"/>
            <w:shd w:val="clear" w:color="auto" w:fill="EDF0FC"/>
          </w:tcPr>
          <w:p>
            <w:pPr>
              <w:spacing w:after="0"/>
              <w:rPr>
                <w:sz w:val="22"/>
                <w:szCs w:val="22"/>
                <w:color w:val="auto"/>
              </w:rPr>
            </w:pPr>
          </w:p>
        </w:tc>
        <w:tc>
          <w:tcPr>
            <w:tcW w:w="1280" w:type="dxa"/>
            <w:vAlign w:val="bottom"/>
            <w:vMerge w:val="continue"/>
            <w:shd w:val="clear" w:color="auto" w:fill="EDF0FC"/>
          </w:tcPr>
          <w:p>
            <w:pPr>
              <w:spacing w:after="0"/>
              <w:rPr>
                <w:sz w:val="22"/>
                <w:szCs w:val="22"/>
                <w:color w:val="auto"/>
              </w:rPr>
            </w:pPr>
          </w:p>
        </w:tc>
        <w:tc>
          <w:tcPr>
            <w:tcW w:w="1160" w:type="dxa"/>
            <w:vAlign w:val="bottom"/>
            <w:vMerge w:val="continue"/>
            <w:shd w:val="clear" w:color="auto" w:fill="EDF0FC"/>
          </w:tcPr>
          <w:p>
            <w:pPr>
              <w:spacing w:after="0"/>
              <w:rPr>
                <w:sz w:val="22"/>
                <w:szCs w:val="22"/>
                <w:color w:val="auto"/>
              </w:rPr>
            </w:pPr>
          </w:p>
        </w:tc>
        <w:tc>
          <w:tcPr>
            <w:tcW w:w="260" w:type="dxa"/>
            <w:vAlign w:val="bottom"/>
            <w:shd w:val="clear" w:color="auto" w:fill="EDF0FC"/>
          </w:tcPr>
          <w:p>
            <w:pPr>
              <w:spacing w:after="0"/>
              <w:rPr>
                <w:sz w:val="22"/>
                <w:szCs w:val="22"/>
                <w:color w:val="auto"/>
              </w:rPr>
            </w:pPr>
          </w:p>
        </w:tc>
        <w:tc>
          <w:tcPr>
            <w:tcW w:w="4060" w:type="dxa"/>
            <w:vAlign w:val="bottom"/>
            <w:gridSpan w:val="2"/>
          </w:tcPr>
          <w:p>
            <w:pPr>
              <w:ind w:left="2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Performance Stock Units (earned based on</w:t>
            </w: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780" w:type="dxa"/>
            <w:vAlign w:val="bottom"/>
            <w:vMerge w:val="restart"/>
            <w:shd w:val="clear" w:color="auto" w:fill="EDF0FC"/>
          </w:tcPr>
          <w:p>
            <w:pPr>
              <w:spacing w:after="0"/>
              <w:rPr>
                <w:sz w:val="20"/>
                <w:szCs w:val="20"/>
                <w:color w:val="auto"/>
              </w:rPr>
            </w:pPr>
            <w:r>
              <w:rPr>
                <w:rFonts w:ascii="Arial" w:cs="Arial" w:eastAsia="Arial" w:hAnsi="Arial"/>
                <w:sz w:val="16"/>
                <w:szCs w:val="16"/>
                <w:b w:val="1"/>
                <w:bCs w:val="1"/>
                <w:color w:val="auto"/>
              </w:rPr>
              <w:t>Financial</w:t>
            </w:r>
          </w:p>
        </w:tc>
        <w:tc>
          <w:tcPr>
            <w:tcW w:w="128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auto"/>
              </w:rPr>
              <w:t>Key</w:t>
            </w:r>
          </w:p>
        </w:tc>
        <w:tc>
          <w:tcPr>
            <w:tcW w:w="116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auto"/>
              </w:rPr>
              <w:t>Sustainability</w:t>
            </w:r>
          </w:p>
        </w:tc>
        <w:tc>
          <w:tcPr>
            <w:tcW w:w="260" w:type="dxa"/>
            <w:vAlign w:val="bottom"/>
          </w:tcPr>
          <w:p>
            <w:pPr>
              <w:spacing w:after="0"/>
              <w:rPr>
                <w:sz w:val="18"/>
                <w:szCs w:val="18"/>
                <w:color w:val="auto"/>
              </w:rPr>
            </w:pPr>
          </w:p>
        </w:tc>
        <w:tc>
          <w:tcPr>
            <w:tcW w:w="4060" w:type="dxa"/>
            <w:vAlign w:val="bottom"/>
            <w:gridSpan w:val="2"/>
          </w:tcPr>
          <w:p>
            <w:pPr>
              <w:ind w:left="200"/>
              <w:spacing w:after="0"/>
              <w:rPr>
                <w:sz w:val="20"/>
                <w:szCs w:val="20"/>
                <w:color w:val="auto"/>
              </w:rPr>
            </w:pPr>
            <w:r>
              <w:rPr>
                <w:rFonts w:ascii="Arial" w:cs="Arial" w:eastAsia="Arial" w:hAnsi="Arial"/>
                <w:sz w:val="16"/>
                <w:szCs w:val="16"/>
                <w:color w:val="auto"/>
              </w:rPr>
              <w:t>absolute TSR CAGR over a 3-year performance</w:t>
            </w: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1780" w:type="dxa"/>
            <w:vAlign w:val="bottom"/>
            <w:vMerge w:val="continue"/>
            <w:shd w:val="clear" w:color="auto" w:fill="EDF0FC"/>
          </w:tcPr>
          <w:p>
            <w:pPr>
              <w:spacing w:after="0"/>
              <w:rPr>
                <w:sz w:val="9"/>
                <w:szCs w:val="9"/>
                <w:color w:val="auto"/>
              </w:rPr>
            </w:pPr>
          </w:p>
        </w:tc>
        <w:tc>
          <w:tcPr>
            <w:tcW w:w="1280" w:type="dxa"/>
            <w:vAlign w:val="bottom"/>
            <w:vMerge w:val="restart"/>
            <w:shd w:val="clear" w:color="auto" w:fill="EDF0FC"/>
          </w:tcPr>
          <w:p>
            <w:pPr>
              <w:ind w:left="20"/>
              <w:spacing w:after="0"/>
              <w:rPr>
                <w:sz w:val="20"/>
                <w:szCs w:val="20"/>
                <w:color w:val="auto"/>
              </w:rPr>
            </w:pPr>
            <w:r>
              <w:rPr>
                <w:rFonts w:ascii="Arial" w:cs="Arial" w:eastAsia="Arial" w:hAnsi="Arial"/>
                <w:sz w:val="16"/>
                <w:szCs w:val="16"/>
                <w:b w:val="1"/>
                <w:bCs w:val="1"/>
                <w:color w:val="auto"/>
              </w:rPr>
              <w:t>Performance</w:t>
            </w:r>
          </w:p>
        </w:tc>
        <w:tc>
          <w:tcPr>
            <w:tcW w:w="1160" w:type="dxa"/>
            <w:vAlign w:val="bottom"/>
            <w:vMerge w:val="restart"/>
            <w:shd w:val="clear" w:color="auto" w:fill="EDF0FC"/>
          </w:tcPr>
          <w:p>
            <w:pPr>
              <w:ind w:left="20"/>
              <w:spacing w:after="0"/>
              <w:rPr>
                <w:sz w:val="20"/>
                <w:szCs w:val="20"/>
                <w:color w:val="auto"/>
              </w:rPr>
            </w:pPr>
            <w:r>
              <w:rPr>
                <w:rFonts w:ascii="Arial" w:cs="Arial" w:eastAsia="Arial" w:hAnsi="Arial"/>
                <w:sz w:val="16"/>
                <w:szCs w:val="16"/>
                <w:b w:val="1"/>
                <w:bCs w:val="1"/>
                <w:color w:val="auto"/>
              </w:rPr>
              <w:t>Goals (for</w:t>
            </w:r>
          </w:p>
        </w:tc>
        <w:tc>
          <w:tcPr>
            <w:tcW w:w="260" w:type="dxa"/>
            <w:vAlign w:val="bottom"/>
          </w:tcPr>
          <w:p>
            <w:pPr>
              <w:spacing w:after="0"/>
              <w:rPr>
                <w:sz w:val="9"/>
                <w:szCs w:val="9"/>
                <w:color w:val="auto"/>
              </w:rPr>
            </w:pPr>
          </w:p>
        </w:tc>
        <w:tc>
          <w:tcPr>
            <w:tcW w:w="4060" w:type="dxa"/>
            <w:vAlign w:val="bottom"/>
            <w:gridSpan w:val="2"/>
            <w:vMerge w:val="restart"/>
          </w:tcPr>
          <w:p>
            <w:pPr>
              <w:ind w:left="200"/>
              <w:spacing w:after="0"/>
              <w:rPr>
                <w:sz w:val="20"/>
                <w:szCs w:val="20"/>
                <w:color w:val="auto"/>
              </w:rPr>
            </w:pPr>
            <w:r>
              <w:rPr>
                <w:rFonts w:ascii="Arial" w:cs="Arial" w:eastAsia="Arial" w:hAnsi="Arial"/>
                <w:sz w:val="16"/>
                <w:szCs w:val="16"/>
                <w:color w:val="auto"/>
              </w:rPr>
              <w:t>period) with a 1-year post-vesting mandatory</w:t>
            </w:r>
          </w:p>
        </w:tc>
        <w:tc>
          <w:tcPr>
            <w:tcW w:w="0" w:type="dxa"/>
            <w:vAlign w:val="bottom"/>
          </w:tcPr>
          <w:p>
            <w:pPr>
              <w:spacing w:after="0"/>
              <w:rPr>
                <w:sz w:val="1"/>
                <w:szCs w:val="1"/>
                <w:color w:val="auto"/>
              </w:rPr>
            </w:pPr>
          </w:p>
        </w:tc>
      </w:tr>
      <w:tr>
        <w:trPr>
          <w:trHeight w:val="94"/>
        </w:trPr>
        <w:tc>
          <w:tcPr>
            <w:tcW w:w="220" w:type="dxa"/>
            <w:vAlign w:val="bottom"/>
          </w:tcPr>
          <w:p>
            <w:pPr>
              <w:spacing w:after="0"/>
              <w:rPr>
                <w:sz w:val="8"/>
                <w:szCs w:val="8"/>
                <w:color w:val="auto"/>
              </w:rPr>
            </w:pPr>
          </w:p>
        </w:tc>
        <w:tc>
          <w:tcPr>
            <w:tcW w:w="1780" w:type="dxa"/>
            <w:vAlign w:val="bottom"/>
            <w:vMerge w:val="restart"/>
            <w:shd w:val="clear" w:color="auto" w:fill="EDF0FC"/>
          </w:tcPr>
          <w:p>
            <w:pPr>
              <w:spacing w:after="0"/>
              <w:rPr>
                <w:sz w:val="20"/>
                <w:szCs w:val="20"/>
                <w:color w:val="auto"/>
              </w:rPr>
            </w:pPr>
            <w:r>
              <w:rPr>
                <w:rFonts w:ascii="Arial" w:cs="Arial" w:eastAsia="Arial" w:hAnsi="Arial"/>
                <w:sz w:val="16"/>
                <w:szCs w:val="16"/>
                <w:b w:val="1"/>
                <w:bCs w:val="1"/>
                <w:color w:val="auto"/>
              </w:rPr>
              <w:t>Performance</w:t>
            </w:r>
          </w:p>
        </w:tc>
        <w:tc>
          <w:tcPr>
            <w:tcW w:w="1280" w:type="dxa"/>
            <w:vAlign w:val="bottom"/>
            <w:vMerge w:val="continue"/>
            <w:shd w:val="clear" w:color="auto" w:fill="EDF0FC"/>
          </w:tcPr>
          <w:p>
            <w:pPr>
              <w:spacing w:after="0"/>
              <w:rPr>
                <w:sz w:val="8"/>
                <w:szCs w:val="8"/>
                <w:color w:val="auto"/>
              </w:rPr>
            </w:pPr>
          </w:p>
        </w:tc>
        <w:tc>
          <w:tcPr>
            <w:tcW w:w="1160" w:type="dxa"/>
            <w:vAlign w:val="bottom"/>
            <w:vMerge w:val="continue"/>
            <w:shd w:val="clear" w:color="auto" w:fill="EDF0FC"/>
          </w:tcPr>
          <w:p>
            <w:pPr>
              <w:spacing w:after="0"/>
              <w:rPr>
                <w:sz w:val="8"/>
                <w:szCs w:val="8"/>
                <w:color w:val="auto"/>
              </w:rPr>
            </w:pPr>
          </w:p>
        </w:tc>
        <w:tc>
          <w:tcPr>
            <w:tcW w:w="260" w:type="dxa"/>
            <w:vAlign w:val="bottom"/>
          </w:tcPr>
          <w:p>
            <w:pPr>
              <w:spacing w:after="0"/>
              <w:rPr>
                <w:sz w:val="8"/>
                <w:szCs w:val="8"/>
                <w:color w:val="auto"/>
              </w:rPr>
            </w:pPr>
          </w:p>
        </w:tc>
        <w:tc>
          <w:tcPr>
            <w:tcW w:w="40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20" w:type="dxa"/>
            <w:vAlign w:val="bottom"/>
          </w:tcPr>
          <w:p>
            <w:pPr>
              <w:spacing w:after="0"/>
              <w:rPr>
                <w:sz w:val="11"/>
                <w:szCs w:val="11"/>
                <w:color w:val="auto"/>
              </w:rPr>
            </w:pPr>
          </w:p>
        </w:tc>
        <w:tc>
          <w:tcPr>
            <w:tcW w:w="1780" w:type="dxa"/>
            <w:vAlign w:val="bottom"/>
            <w:vMerge w:val="continue"/>
            <w:shd w:val="clear" w:color="auto" w:fill="EDF0FC"/>
          </w:tcPr>
          <w:p>
            <w:pPr>
              <w:spacing w:after="0"/>
              <w:rPr>
                <w:sz w:val="11"/>
                <w:szCs w:val="11"/>
                <w:color w:val="auto"/>
              </w:rPr>
            </w:pPr>
          </w:p>
        </w:tc>
        <w:tc>
          <w:tcPr>
            <w:tcW w:w="1280" w:type="dxa"/>
            <w:vAlign w:val="bottom"/>
            <w:vMerge w:val="restart"/>
            <w:shd w:val="clear" w:color="auto" w:fill="EDF0FC"/>
          </w:tcPr>
          <w:p>
            <w:pPr>
              <w:ind w:left="20"/>
              <w:spacing w:after="0"/>
              <w:rPr>
                <w:sz w:val="20"/>
                <w:szCs w:val="20"/>
                <w:color w:val="auto"/>
              </w:rPr>
            </w:pPr>
            <w:r>
              <w:rPr>
                <w:rFonts w:ascii="Arial" w:cs="Arial" w:eastAsia="Arial" w:hAnsi="Arial"/>
                <w:sz w:val="16"/>
                <w:szCs w:val="16"/>
                <w:b w:val="1"/>
                <w:bCs w:val="1"/>
                <w:color w:val="auto"/>
              </w:rPr>
              <w:t>Indicators</w:t>
            </w:r>
          </w:p>
        </w:tc>
        <w:tc>
          <w:tcPr>
            <w:tcW w:w="1160" w:type="dxa"/>
            <w:vAlign w:val="bottom"/>
            <w:vMerge w:val="restart"/>
            <w:shd w:val="clear" w:color="auto" w:fill="EDF0FC"/>
          </w:tcPr>
          <w:p>
            <w:pPr>
              <w:ind w:left="20"/>
              <w:spacing w:after="0"/>
              <w:rPr>
                <w:sz w:val="20"/>
                <w:szCs w:val="20"/>
                <w:color w:val="auto"/>
              </w:rPr>
            </w:pPr>
            <w:r>
              <w:rPr>
                <w:rFonts w:ascii="Arial" w:cs="Arial" w:eastAsia="Arial" w:hAnsi="Arial"/>
                <w:sz w:val="16"/>
                <w:szCs w:val="16"/>
                <w:b w:val="1"/>
                <w:bCs w:val="1"/>
                <w:color w:val="auto"/>
              </w:rPr>
              <w:t>Management</w:t>
            </w:r>
          </w:p>
        </w:tc>
        <w:tc>
          <w:tcPr>
            <w:tcW w:w="260" w:type="dxa"/>
            <w:vAlign w:val="bottom"/>
          </w:tcPr>
          <w:p>
            <w:pPr>
              <w:spacing w:after="0"/>
              <w:rPr>
                <w:sz w:val="11"/>
                <w:szCs w:val="11"/>
                <w:color w:val="auto"/>
              </w:rPr>
            </w:pPr>
          </w:p>
        </w:tc>
        <w:tc>
          <w:tcPr>
            <w:tcW w:w="4060" w:type="dxa"/>
            <w:vAlign w:val="bottom"/>
            <w:gridSpan w:val="2"/>
            <w:vMerge w:val="restart"/>
          </w:tcPr>
          <w:p>
            <w:pPr>
              <w:ind w:left="200"/>
              <w:spacing w:after="0"/>
              <w:rPr>
                <w:sz w:val="20"/>
                <w:szCs w:val="20"/>
                <w:color w:val="auto"/>
              </w:rPr>
            </w:pPr>
            <w:r>
              <w:rPr>
                <w:rFonts w:ascii="Arial" w:cs="Arial" w:eastAsia="Arial" w:hAnsi="Arial"/>
                <w:sz w:val="16"/>
                <w:szCs w:val="16"/>
                <w:color w:val="auto"/>
              </w:rPr>
              <w:t>holding period</w:t>
            </w:r>
          </w:p>
        </w:tc>
        <w:tc>
          <w:tcPr>
            <w:tcW w:w="0" w:type="dxa"/>
            <w:vAlign w:val="bottom"/>
          </w:tcPr>
          <w:p>
            <w:pPr>
              <w:spacing w:after="0"/>
              <w:rPr>
                <w:sz w:val="1"/>
                <w:szCs w:val="1"/>
                <w:color w:val="auto"/>
              </w:rPr>
            </w:pPr>
          </w:p>
        </w:tc>
      </w:tr>
      <w:tr>
        <w:trPr>
          <w:trHeight w:val="101"/>
        </w:trPr>
        <w:tc>
          <w:tcPr>
            <w:tcW w:w="220" w:type="dxa"/>
            <w:vAlign w:val="bottom"/>
          </w:tcPr>
          <w:p>
            <w:pPr>
              <w:spacing w:after="0"/>
              <w:rPr>
                <w:sz w:val="8"/>
                <w:szCs w:val="8"/>
                <w:color w:val="auto"/>
              </w:rPr>
            </w:pPr>
          </w:p>
        </w:tc>
        <w:tc>
          <w:tcPr>
            <w:tcW w:w="1780" w:type="dxa"/>
            <w:vAlign w:val="bottom"/>
            <w:shd w:val="clear" w:color="auto" w:fill="EDF0FC"/>
          </w:tcPr>
          <w:p>
            <w:pPr>
              <w:spacing w:after="0"/>
              <w:rPr>
                <w:sz w:val="8"/>
                <w:szCs w:val="8"/>
                <w:color w:val="auto"/>
              </w:rPr>
            </w:pPr>
          </w:p>
        </w:tc>
        <w:tc>
          <w:tcPr>
            <w:tcW w:w="1280" w:type="dxa"/>
            <w:vAlign w:val="bottom"/>
            <w:vMerge w:val="continue"/>
            <w:shd w:val="clear" w:color="auto" w:fill="EDF0FC"/>
          </w:tcPr>
          <w:p>
            <w:pPr>
              <w:spacing w:after="0"/>
              <w:rPr>
                <w:sz w:val="8"/>
                <w:szCs w:val="8"/>
                <w:color w:val="auto"/>
              </w:rPr>
            </w:pPr>
          </w:p>
        </w:tc>
        <w:tc>
          <w:tcPr>
            <w:tcW w:w="1160" w:type="dxa"/>
            <w:vAlign w:val="bottom"/>
            <w:vMerge w:val="continue"/>
            <w:shd w:val="clear" w:color="auto" w:fill="EDF0FC"/>
          </w:tcPr>
          <w:p>
            <w:pPr>
              <w:spacing w:after="0"/>
              <w:rPr>
                <w:sz w:val="8"/>
                <w:szCs w:val="8"/>
                <w:color w:val="auto"/>
              </w:rPr>
            </w:pPr>
          </w:p>
        </w:tc>
        <w:tc>
          <w:tcPr>
            <w:tcW w:w="260" w:type="dxa"/>
            <w:vAlign w:val="bottom"/>
          </w:tcPr>
          <w:p>
            <w:pPr>
              <w:spacing w:after="0"/>
              <w:rPr>
                <w:sz w:val="8"/>
                <w:szCs w:val="8"/>
                <w:color w:val="auto"/>
              </w:rPr>
            </w:pPr>
          </w:p>
        </w:tc>
        <w:tc>
          <w:tcPr>
            <w:tcW w:w="40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1780" w:type="dxa"/>
            <w:vAlign w:val="bottom"/>
            <w:shd w:val="clear" w:color="auto" w:fill="EDF0FC"/>
          </w:tcPr>
          <w:p>
            <w:pPr>
              <w:spacing w:after="0"/>
              <w:rPr>
                <w:sz w:val="21"/>
                <w:szCs w:val="21"/>
                <w:color w:val="auto"/>
              </w:rPr>
            </w:pPr>
          </w:p>
        </w:tc>
        <w:tc>
          <w:tcPr>
            <w:tcW w:w="1280" w:type="dxa"/>
            <w:vAlign w:val="bottom"/>
            <w:shd w:val="clear" w:color="auto" w:fill="EDF0FC"/>
          </w:tcPr>
          <w:p>
            <w:pPr>
              <w:spacing w:after="0"/>
              <w:rPr>
                <w:sz w:val="21"/>
                <w:szCs w:val="21"/>
                <w:color w:val="auto"/>
              </w:rPr>
            </w:pPr>
          </w:p>
        </w:tc>
        <w:tc>
          <w:tcPr>
            <w:tcW w:w="116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auto"/>
              </w:rPr>
              <w:t>Committee)</w:t>
            </w:r>
          </w:p>
        </w:tc>
        <w:tc>
          <w:tcPr>
            <w:tcW w:w="260" w:type="dxa"/>
            <w:vAlign w:val="bottom"/>
          </w:tcPr>
          <w:p>
            <w:pPr>
              <w:spacing w:after="0"/>
              <w:rPr>
                <w:sz w:val="21"/>
                <w:szCs w:val="21"/>
                <w:color w:val="auto"/>
              </w:rPr>
            </w:pPr>
          </w:p>
        </w:tc>
        <w:tc>
          <w:tcPr>
            <w:tcW w:w="4060" w:type="dxa"/>
            <w:vAlign w:val="bottom"/>
            <w:gridSpan w:val="2"/>
          </w:tcPr>
          <w:p>
            <w:pPr>
              <w:ind w:left="2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Performance Stock Options (earned based 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-873760</wp:posOffset>
            </wp:positionV>
            <wp:extent cx="5426075" cy="29571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426075" cy="2957195"/>
                    </a:xfrm>
                    <a:prstGeom prst="rect">
                      <a:avLst/>
                    </a:prstGeom>
                    <a:noFill/>
                  </pic:spPr>
                </pic:pic>
              </a:graphicData>
            </a:graphic>
          </wp:anchor>
        </w:drawing>
      </w:r>
    </w:p>
    <w:p>
      <w:pPr>
        <w:ind w:left="4900" w:right="2760"/>
        <w:spacing w:after="0" w:line="320" w:lineRule="auto"/>
        <w:rPr>
          <w:sz w:val="20"/>
          <w:szCs w:val="20"/>
          <w:color w:val="auto"/>
        </w:rPr>
      </w:pPr>
      <w:r>
        <w:rPr>
          <w:rFonts w:ascii="Arial" w:cs="Arial" w:eastAsia="Arial" w:hAnsi="Arial"/>
          <w:sz w:val="16"/>
          <w:szCs w:val="16"/>
          <w:color w:val="auto"/>
        </w:rPr>
        <w:t>cumulative revenue and cumulative adjusted EPS over a 3-year performance period)</w:t>
      </w:r>
    </w:p>
    <w:p>
      <w:pPr>
        <w:sectPr>
          <w:pgSz w:w="11900" w:h="16838" w:orient="portrait"/>
          <w:cols w:equalWidth="0" w:num="1">
            <w:col w:w="11240"/>
          </w:cols>
          <w:pgMar w:left="320" w:top="167" w:right="339" w:bottom="1440" w:gutter="0" w:footer="0" w:header="0"/>
        </w:sectPr>
      </w:pPr>
    </w:p>
    <w:p>
      <w:pPr>
        <w:spacing w:after="0" w:line="3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Aligns NEOs’ interests with stakeholders’ interests by:</w:t>
      </w:r>
    </w:p>
    <w:p>
      <w:pPr>
        <w:spacing w:after="0" w:line="127" w:lineRule="exact"/>
        <w:rPr>
          <w:sz w:val="20"/>
          <w:szCs w:val="20"/>
          <w:color w:val="auto"/>
        </w:rPr>
      </w:pPr>
    </w:p>
    <w:p>
      <w:pPr>
        <w:ind w:left="420" w:right="140" w:hanging="192"/>
        <w:spacing w:after="0" w:line="299" w:lineRule="auto"/>
        <w:tabs>
          <w:tab w:leader="none" w:pos="417" w:val="left"/>
        </w:tabs>
        <w:numPr>
          <w:ilvl w:val="0"/>
          <w:numId w:val="62"/>
        </w:numPr>
        <w:rPr>
          <w:rFonts w:ascii="Arial" w:cs="Arial" w:eastAsia="Arial" w:hAnsi="Arial"/>
          <w:sz w:val="16"/>
          <w:szCs w:val="16"/>
          <w:color w:val="1A3FD6"/>
        </w:rPr>
      </w:pPr>
      <w:r>
        <w:rPr>
          <w:rFonts w:ascii="Arial" w:cs="Arial" w:eastAsia="Arial" w:hAnsi="Arial"/>
          <w:sz w:val="16"/>
          <w:szCs w:val="16"/>
          <w:color w:val="auto"/>
        </w:rPr>
        <w:t>Rewarding performance for achievement of strategic goals, which are designed to position the Company competitively</w:t>
      </w:r>
    </w:p>
    <w:p>
      <w:pPr>
        <w:ind w:left="420" w:right="1180" w:hanging="192"/>
        <w:spacing w:after="0" w:line="308" w:lineRule="auto"/>
        <w:tabs>
          <w:tab w:leader="none" w:pos="417" w:val="left"/>
        </w:tabs>
        <w:numPr>
          <w:ilvl w:val="0"/>
          <w:numId w:val="62"/>
        </w:numPr>
        <w:rPr>
          <w:rFonts w:ascii="Arial" w:cs="Arial" w:eastAsia="Arial" w:hAnsi="Arial"/>
          <w:sz w:val="16"/>
          <w:szCs w:val="16"/>
          <w:color w:val="1A3FD6"/>
        </w:rPr>
      </w:pPr>
      <w:r>
        <w:rPr>
          <w:rFonts w:ascii="Arial" w:cs="Arial" w:eastAsia="Arial" w:hAnsi="Arial"/>
          <w:sz w:val="16"/>
          <w:szCs w:val="16"/>
          <w:color w:val="auto"/>
        </w:rPr>
        <w:t>Promoting strong financial results and shareholder value</w:t>
      </w:r>
    </w:p>
    <w:p>
      <w:pPr>
        <w:ind w:left="420" w:hanging="192"/>
        <w:spacing w:after="0" w:line="301" w:lineRule="auto"/>
        <w:tabs>
          <w:tab w:leader="none" w:pos="417" w:val="left"/>
        </w:tabs>
        <w:numPr>
          <w:ilvl w:val="0"/>
          <w:numId w:val="62"/>
        </w:numPr>
        <w:rPr>
          <w:rFonts w:ascii="Arial" w:cs="Arial" w:eastAsia="Arial" w:hAnsi="Arial"/>
          <w:sz w:val="16"/>
          <w:szCs w:val="16"/>
          <w:color w:val="1A3FD6"/>
        </w:rPr>
      </w:pPr>
      <w:r>
        <w:rPr>
          <w:rFonts w:ascii="Arial" w:cs="Arial" w:eastAsia="Arial" w:hAnsi="Arial"/>
          <w:sz w:val="16"/>
          <w:szCs w:val="16"/>
          <w:color w:val="auto"/>
        </w:rPr>
        <w:t>Incentivizing a corporate culture that drives innovation, employee engagement and sustainable business outcomes</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ind w:left="10" w:right="3040"/>
        <w:spacing w:after="0" w:line="304" w:lineRule="auto"/>
        <w:rPr>
          <w:sz w:val="20"/>
          <w:szCs w:val="20"/>
          <w:color w:val="auto"/>
        </w:rPr>
      </w:pPr>
      <w:r>
        <w:rPr>
          <w:rFonts w:ascii="Arial" w:cs="Arial" w:eastAsia="Arial" w:hAnsi="Arial"/>
          <w:sz w:val="16"/>
          <w:szCs w:val="16"/>
          <w:color w:val="auto"/>
        </w:rPr>
        <w:t>Further aligns NEOs’ interests with stakeholders’ interests by:</w:t>
      </w:r>
    </w:p>
    <w:p>
      <w:pPr>
        <w:spacing w:after="0" w:line="6" w:lineRule="exact"/>
        <w:rPr>
          <w:sz w:val="20"/>
          <w:szCs w:val="20"/>
          <w:color w:val="auto"/>
        </w:rPr>
      </w:pPr>
    </w:p>
    <w:p>
      <w:pPr>
        <w:ind w:left="190" w:right="3320" w:hanging="190"/>
        <w:spacing w:after="0" w:line="289" w:lineRule="auto"/>
        <w:tabs>
          <w:tab w:leader="none" w:pos="187" w:val="left"/>
        </w:tabs>
        <w:numPr>
          <w:ilvl w:val="0"/>
          <w:numId w:val="63"/>
        </w:numPr>
        <w:rPr>
          <w:rFonts w:ascii="Arial" w:cs="Arial" w:eastAsia="Arial" w:hAnsi="Arial"/>
          <w:sz w:val="16"/>
          <w:szCs w:val="16"/>
          <w:color w:val="1A3FD6"/>
        </w:rPr>
      </w:pPr>
      <w:r>
        <w:rPr>
          <w:rFonts w:ascii="Arial" w:cs="Arial" w:eastAsia="Arial" w:hAnsi="Arial"/>
          <w:sz w:val="16"/>
          <w:szCs w:val="16"/>
          <w:color w:val="auto"/>
        </w:rPr>
        <w:t>Promoting an “owner-operator” mindset among senior leaders with rigorous share ownership guidelines and additional share retention requirements</w:t>
      </w:r>
    </w:p>
    <w:p>
      <w:pPr>
        <w:spacing w:after="0" w:line="4" w:lineRule="exact"/>
        <w:rPr>
          <w:rFonts w:ascii="Arial" w:cs="Arial" w:eastAsia="Arial" w:hAnsi="Arial"/>
          <w:sz w:val="16"/>
          <w:szCs w:val="16"/>
          <w:color w:val="1A3FD6"/>
        </w:rPr>
      </w:pPr>
    </w:p>
    <w:p>
      <w:pPr>
        <w:ind w:left="190" w:right="2880" w:hanging="190"/>
        <w:spacing w:after="0" w:line="289" w:lineRule="auto"/>
        <w:tabs>
          <w:tab w:leader="none" w:pos="187" w:val="left"/>
        </w:tabs>
        <w:numPr>
          <w:ilvl w:val="0"/>
          <w:numId w:val="63"/>
        </w:numPr>
        <w:rPr>
          <w:rFonts w:ascii="Arial" w:cs="Arial" w:eastAsia="Arial" w:hAnsi="Arial"/>
          <w:sz w:val="16"/>
          <w:szCs w:val="16"/>
          <w:color w:val="1A3FD6"/>
        </w:rPr>
      </w:pPr>
      <w:r>
        <w:rPr>
          <w:rFonts w:ascii="Arial" w:cs="Arial" w:eastAsia="Arial" w:hAnsi="Arial"/>
          <w:sz w:val="16"/>
          <w:szCs w:val="16"/>
          <w:color w:val="auto"/>
        </w:rPr>
        <w:t>Linking a substantial portion of long-term compensation to the achievement of operational results (revenue and adjusted EPS) and shareholder value creation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1002030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320" w:space="390"/>
            <w:col w:w="6530"/>
          </w:cols>
          <w:pgMar w:left="320" w:top="167" w:right="339" w:bottom="1440" w:gutter="0" w:footer="0" w:header="0"/>
          <w:type w:val="continuous"/>
        </w:sectPr>
      </w:pPr>
    </w:p>
    <w:bookmarkStart w:id="61" w:name="page62"/>
    <w:bookmarkEnd w:id="61"/>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60</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2024 Business Highlights</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Strong Financial Performance</w:t>
      </w:r>
    </w:p>
    <w:p>
      <w:pPr>
        <w:spacing w:after="0" w:line="114"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In 2024, we delivered strong results, underscoring the strength of our execution and the impact of our long-term investments. Our unwavering client focus has reinforced our position as a trusted partner, and our employees' exceptional performance has been instrumental in achieving these outcomes.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40" w:type="dxa"/>
            <w:vAlign w:val="bottom"/>
          </w:tcPr>
          <w:p>
            <w:pPr>
              <w:ind w:left="20"/>
              <w:spacing w:after="0"/>
              <w:rPr>
                <w:sz w:val="20"/>
                <w:szCs w:val="20"/>
                <w:color w:val="auto"/>
              </w:rPr>
            </w:pPr>
            <w:r>
              <w:rPr>
                <w:rFonts w:ascii="Arial" w:cs="Arial" w:eastAsia="Arial" w:hAnsi="Arial"/>
                <w:sz w:val="20"/>
                <w:szCs w:val="20"/>
                <w:color w:val="1A3FD6"/>
              </w:rPr>
              <w:t>Diluted EPS / Adjusted EPS</w:t>
            </w:r>
            <w:r>
              <w:rPr>
                <w:rFonts w:ascii="Arial" w:cs="Arial" w:eastAsia="Arial" w:hAnsi="Arial"/>
                <w:sz w:val="25"/>
                <w:szCs w:val="25"/>
                <w:color w:val="1A3FD6"/>
                <w:vertAlign w:val="superscript"/>
              </w:rPr>
              <w:t>(1)</w:t>
            </w:r>
          </w:p>
        </w:tc>
      </w:tr>
      <w:tr>
        <w:trPr>
          <w:trHeight w:val="261"/>
        </w:trPr>
        <w:tc>
          <w:tcPr>
            <w:tcW w:w="5440" w:type="dxa"/>
            <w:vAlign w:val="bottom"/>
          </w:tcPr>
          <w:p>
            <w:pPr>
              <w:ind w:left="20"/>
              <w:spacing w:after="0"/>
              <w:rPr>
                <w:sz w:val="20"/>
                <w:szCs w:val="20"/>
                <w:color w:val="auto"/>
              </w:rPr>
            </w:pPr>
            <w:r>
              <w:rPr>
                <w:rFonts w:ascii="Arial" w:cs="Arial" w:eastAsia="Arial" w:hAnsi="Arial"/>
                <w:sz w:val="20"/>
                <w:szCs w:val="20"/>
                <w:color w:val="1A3FD6"/>
              </w:rPr>
              <w:t>Operating Revenues</w:t>
            </w:r>
          </w:p>
        </w:tc>
        <w:tc>
          <w:tcPr>
            <w:tcW w:w="240" w:type="dxa"/>
            <w:vAlign w:val="bottom"/>
          </w:tcPr>
          <w:p>
            <w:pPr>
              <w:spacing w:after="0"/>
              <w:rPr>
                <w:sz w:val="22"/>
                <w:szCs w:val="22"/>
                <w:color w:val="auto"/>
              </w:rPr>
            </w:pPr>
          </w:p>
        </w:tc>
        <w:tc>
          <w:tcPr>
            <w:tcW w:w="5440" w:type="dxa"/>
            <w:vAlign w:val="bottom"/>
          </w:tcPr>
          <w:p>
            <w:pPr>
              <w:ind w:left="20"/>
              <w:spacing w:after="0"/>
              <w:rPr>
                <w:sz w:val="20"/>
                <w:szCs w:val="20"/>
                <w:color w:val="auto"/>
              </w:rPr>
            </w:pPr>
            <w:r>
              <w:rPr>
                <w:rFonts w:ascii="Arial" w:cs="Arial" w:eastAsia="Arial" w:hAnsi="Arial"/>
                <w:sz w:val="20"/>
                <w:szCs w:val="20"/>
                <w:color w:val="auto"/>
              </w:rPr>
              <w:t>(Unaudited)</w:t>
            </w:r>
          </w:p>
        </w:tc>
      </w:tr>
      <w:tr>
        <w:trPr>
          <w:trHeight w:val="78"/>
        </w:trPr>
        <w:tc>
          <w:tcPr>
            <w:tcW w:w="5440" w:type="dxa"/>
            <w:vAlign w:val="bottom"/>
            <w:tcBorders>
              <w:bottom w:val="single" w:sz="8" w:color="1A3FD6"/>
            </w:tcBorders>
          </w:tcPr>
          <w:p>
            <w:pPr>
              <w:spacing w:after="0"/>
              <w:rPr>
                <w:sz w:val="6"/>
                <w:szCs w:val="6"/>
                <w:color w:val="auto"/>
              </w:rPr>
            </w:pPr>
          </w:p>
        </w:tc>
        <w:tc>
          <w:tcPr>
            <w:tcW w:w="240" w:type="dxa"/>
            <w:vAlign w:val="bottom"/>
          </w:tcPr>
          <w:p>
            <w:pPr>
              <w:spacing w:after="0"/>
              <w:rPr>
                <w:sz w:val="6"/>
                <w:szCs w:val="6"/>
                <w:color w:val="auto"/>
              </w:rPr>
            </w:pPr>
          </w:p>
        </w:tc>
        <w:tc>
          <w:tcPr>
            <w:tcW w:w="5440" w:type="dxa"/>
            <w:vAlign w:val="bottom"/>
            <w:tcBorders>
              <w:bottom w:val="single" w:sz="8" w:color="1A3FD6"/>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59690</wp:posOffset>
            </wp:positionV>
            <wp:extent cx="6309360" cy="16370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309360" cy="1637030"/>
                    </a:xfrm>
                    <a:prstGeom prst="rect">
                      <a:avLst/>
                    </a:prstGeom>
                    <a:noFill/>
                  </pic:spPr>
                </pic:pic>
              </a:graphicData>
            </a:graphic>
          </wp:anchor>
        </w:drawing>
      </w:r>
    </w:p>
    <w:p>
      <w:pPr>
        <w:sectPr>
          <w:pgSz w:w="11900" w:h="16838" w:orient="portrait"/>
          <w:cols w:equalWidth="0" w:num="1">
            <w:col w:w="11120"/>
          </w:cols>
          <w:pgMar w:left="320" w:top="29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right="2100"/>
        <w:spacing w:after="0" w:line="232" w:lineRule="auto"/>
        <w:rPr>
          <w:sz w:val="20"/>
          <w:szCs w:val="20"/>
          <w:color w:val="auto"/>
        </w:rPr>
      </w:pPr>
      <w:r>
        <w:rPr>
          <w:rFonts w:ascii="Arial" w:cs="Arial" w:eastAsia="Arial" w:hAnsi="Arial"/>
          <w:sz w:val="20"/>
          <w:szCs w:val="20"/>
          <w:color w:val="1A3FD6"/>
        </w:rPr>
        <w:t>Net Cash Provided by Operating Activity / Free Cash Flow</w:t>
      </w:r>
      <w:r>
        <w:rPr>
          <w:rFonts w:ascii="Arial" w:cs="Arial" w:eastAsia="Arial" w:hAnsi="Arial"/>
          <w:sz w:val="25"/>
          <w:szCs w:val="25"/>
          <w:color w:val="1A3FD6"/>
          <w:vertAlign w:val="superscript"/>
        </w:rPr>
        <w:t>(1)</w:t>
      </w:r>
      <w:r>
        <w:rPr>
          <w:rFonts w:ascii="Arial" w:cs="Arial" w:eastAsia="Arial" w:hAnsi="Arial"/>
          <w:sz w:val="20"/>
          <w:szCs w:val="20"/>
          <w:color w:val="1A3FD6"/>
        </w:rPr>
        <w:t xml:space="preserve"> </w:t>
      </w:r>
      <w:r>
        <w:rPr>
          <w:rFonts w:ascii="Arial" w:cs="Arial" w:eastAsia="Arial" w:hAnsi="Arial"/>
          <w:sz w:val="20"/>
          <w:szCs w:val="20"/>
          <w:color w:val="000000"/>
        </w:rPr>
        <w:t>(Unaudited)</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3454400" cy="16630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54400" cy="1663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300" w:val="left"/>
          <w:tab w:leader="none" w:pos="2020" w:val="left"/>
          <w:tab w:leader="none" w:pos="2320" w:val="left"/>
        </w:tabs>
        <w:rPr>
          <w:sz w:val="20"/>
          <w:szCs w:val="20"/>
          <w:color w:val="auto"/>
        </w:rPr>
      </w:pPr>
      <w:r>
        <w:rPr>
          <w:rFonts w:ascii="Arial" w:cs="Arial" w:eastAsia="Arial" w:hAnsi="Arial"/>
          <w:sz w:val="12"/>
          <w:szCs w:val="12"/>
          <w:b w:val="1"/>
          <w:bCs w:val="1"/>
          <w:color w:val="CCCCCC"/>
        </w:rPr>
        <w:t>¢</w:t>
      </w:r>
      <w:r>
        <w:rPr>
          <w:sz w:val="20"/>
          <w:szCs w:val="20"/>
          <w:color w:val="auto"/>
        </w:rPr>
        <w:tab/>
      </w:r>
      <w:r>
        <w:rPr>
          <w:rFonts w:ascii="Arial" w:cs="Arial" w:eastAsia="Arial" w:hAnsi="Arial"/>
          <w:sz w:val="14"/>
          <w:szCs w:val="14"/>
          <w:color w:val="auto"/>
        </w:rPr>
        <w:t>Diluted EPS</w:t>
      </w:r>
      <w:r>
        <w:rPr>
          <w:sz w:val="20"/>
          <w:szCs w:val="20"/>
          <w:color w:val="auto"/>
        </w:rPr>
        <w:tab/>
      </w:r>
      <w:r>
        <w:rPr>
          <w:rFonts w:ascii="Arial" w:cs="Arial" w:eastAsia="Arial" w:hAnsi="Arial"/>
          <w:sz w:val="10"/>
          <w:szCs w:val="10"/>
          <w:b w:val="1"/>
          <w:bCs w:val="1"/>
          <w:color w:val="1A3FD6"/>
        </w:rPr>
        <w:t>¢</w:t>
      </w:r>
      <w:r>
        <w:rPr>
          <w:sz w:val="20"/>
          <w:szCs w:val="20"/>
          <w:color w:val="auto"/>
        </w:rPr>
        <w:tab/>
      </w:r>
      <w:r>
        <w:rPr>
          <w:rFonts w:ascii="Arial" w:cs="Arial" w:eastAsia="Arial" w:hAnsi="Arial"/>
          <w:sz w:val="14"/>
          <w:szCs w:val="14"/>
          <w:color w:val="auto"/>
        </w:rPr>
        <w:t>Adjusted EPS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1A3FD6"/>
        </w:rPr>
        <w:t>Total Net Sales</w:t>
      </w:r>
      <w:r>
        <w:rPr>
          <w:rFonts w:ascii="Arial" w:cs="Arial" w:eastAsia="Arial" w:hAnsi="Arial"/>
          <w:sz w:val="25"/>
          <w:szCs w:val="25"/>
          <w:color w:val="1A3FD6"/>
          <w:vertAlign w:val="superscript"/>
        </w:rPr>
        <w:t>(2)</w:t>
      </w:r>
    </w:p>
    <w:p>
      <w:pPr>
        <w:spacing w:after="0"/>
        <w:rPr>
          <w:sz w:val="20"/>
          <w:szCs w:val="20"/>
          <w:color w:val="auto"/>
        </w:rPr>
      </w:pPr>
      <w:r>
        <w:rPr>
          <w:rFonts w:ascii="Arial" w:cs="Arial" w:eastAsia="Arial" w:hAnsi="Arial"/>
          <w:sz w:val="20"/>
          <w:szCs w:val="20"/>
          <w:color w:val="auto"/>
        </w:rPr>
        <w:t>(Unaudited)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62230</wp:posOffset>
            </wp:positionV>
            <wp:extent cx="3454400" cy="17487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54400" cy="17487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80" w:space="720"/>
            <w:col w:w="5420"/>
          </w:cols>
          <w:pgMar w:left="320" w:top="292"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tabs>
          <w:tab w:leader="none" w:pos="340" w:val="left"/>
          <w:tab w:leader="none" w:pos="2620" w:val="left"/>
          <w:tab w:leader="none" w:pos="2920" w:val="left"/>
        </w:tabs>
        <w:rPr>
          <w:sz w:val="20"/>
          <w:szCs w:val="20"/>
          <w:color w:val="auto"/>
        </w:rPr>
      </w:pPr>
      <w:r>
        <w:rPr>
          <w:rFonts w:ascii="Arial" w:cs="Arial" w:eastAsia="Arial" w:hAnsi="Arial"/>
          <w:sz w:val="12"/>
          <w:szCs w:val="12"/>
          <w:b w:val="1"/>
          <w:bCs w:val="1"/>
          <w:color w:val="CCCCCC"/>
        </w:rPr>
        <w:t>¢</w:t>
      </w:r>
      <w:r>
        <w:rPr>
          <w:sz w:val="20"/>
          <w:szCs w:val="20"/>
          <w:color w:val="auto"/>
        </w:rPr>
        <w:tab/>
      </w:r>
      <w:r>
        <w:rPr>
          <w:rFonts w:ascii="Arial" w:cs="Arial" w:eastAsia="Arial" w:hAnsi="Arial"/>
          <w:sz w:val="14"/>
          <w:szCs w:val="14"/>
          <w:color w:val="auto"/>
        </w:rPr>
        <w:t>Net Cash Provided by</w:t>
      </w:r>
      <w:r>
        <w:rPr>
          <w:sz w:val="20"/>
          <w:szCs w:val="20"/>
          <w:color w:val="auto"/>
        </w:rPr>
        <w:tab/>
      </w:r>
      <w:r>
        <w:rPr>
          <w:rFonts w:ascii="Arial" w:cs="Arial" w:eastAsia="Arial" w:hAnsi="Arial"/>
          <w:sz w:val="10"/>
          <w:szCs w:val="10"/>
          <w:b w:val="1"/>
          <w:bCs w:val="1"/>
          <w:color w:val="1A3FD6"/>
        </w:rPr>
        <w:t>¢</w:t>
      </w:r>
      <w:r>
        <w:rPr>
          <w:sz w:val="20"/>
          <w:szCs w:val="20"/>
          <w:color w:val="auto"/>
        </w:rPr>
        <w:tab/>
      </w:r>
      <w:r>
        <w:rPr>
          <w:rFonts w:ascii="Arial" w:cs="Arial" w:eastAsia="Arial" w:hAnsi="Arial"/>
          <w:sz w:val="14"/>
          <w:szCs w:val="14"/>
          <w:color w:val="auto"/>
        </w:rPr>
        <w:t>Free Cash Flow</w:t>
      </w:r>
    </w:p>
    <w:p>
      <w:pPr>
        <w:spacing w:after="0" w:line="2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Operating Activities</w:t>
      </w:r>
    </w:p>
    <w:p>
      <w:pPr>
        <w:spacing w:after="0" w:line="148" w:lineRule="exact"/>
        <w:rPr>
          <w:sz w:val="20"/>
          <w:szCs w:val="20"/>
          <w:color w:val="auto"/>
        </w:rPr>
      </w:pPr>
    </w:p>
    <w:p>
      <w:pPr>
        <w:ind w:left="200" w:right="500" w:hanging="192"/>
        <w:spacing w:after="0" w:line="239" w:lineRule="auto"/>
        <w:tabs>
          <w:tab w:leader="none" w:pos="187" w:val="left"/>
        </w:tabs>
        <w:numPr>
          <w:ilvl w:val="0"/>
          <w:numId w:val="64"/>
        </w:numPr>
        <w:rPr>
          <w:rFonts w:ascii="Arial" w:cs="Arial" w:eastAsia="Arial" w:hAnsi="Arial"/>
          <w:sz w:val="19"/>
          <w:szCs w:val="19"/>
          <w:color w:val="auto"/>
          <w:vertAlign w:val="superscript"/>
        </w:rPr>
      </w:pPr>
      <w:r>
        <w:rPr>
          <w:rFonts w:ascii="Arial" w:cs="Arial" w:eastAsia="Arial" w:hAnsi="Arial"/>
          <w:sz w:val="14"/>
          <w:szCs w:val="14"/>
          <w:color w:val="auto"/>
        </w:rPr>
        <w:t>“Adjusted EPS” and “free cash flow” are non-GAAP financial measures and “Diluted EPS” and “net cash provided by operating activity” are the corresponding GAAP measures, respectively. See Annex B for definitions and reconciliations of all non-GAAP financial measures referenced herein.</w:t>
      </w:r>
    </w:p>
    <w:p>
      <w:pPr>
        <w:spacing w:after="0" w:line="40"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64"/>
        </w:numPr>
        <w:rPr>
          <w:rFonts w:ascii="Arial" w:cs="Arial" w:eastAsia="Arial" w:hAnsi="Arial"/>
          <w:sz w:val="9"/>
          <w:szCs w:val="9"/>
          <w:color w:val="auto"/>
        </w:rPr>
      </w:pPr>
      <w:r>
        <w:rPr>
          <w:rFonts w:ascii="Arial" w:cs="Arial" w:eastAsia="Arial" w:hAnsi="Arial"/>
          <w:sz w:val="14"/>
          <w:szCs w:val="14"/>
          <w:color w:val="auto"/>
        </w:rPr>
        <w:t>Total Net Sales is defined as gross sales (new recurring subscription sales plus non-recurring sales) less subscription cancellations.</w:t>
      </w:r>
    </w:p>
    <w:p>
      <w:pPr>
        <w:spacing w:after="0" w:line="131"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auto"/>
        </w:rPr>
        <w:t>For additional information about key strategic developments and milestones for our NEOs during 2024, please see the details under “Individual Goals Component” on page 71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92" w:right="45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8420"/>
              <w:spacing w:after="0"/>
              <w:rPr>
                <w:sz w:val="20"/>
                <w:szCs w:val="20"/>
                <w:color w:val="auto"/>
              </w:rPr>
            </w:pPr>
            <w:r>
              <w:rPr>
                <w:rFonts w:ascii="Arial" w:cs="Arial" w:eastAsia="Arial" w:hAnsi="Arial"/>
                <w:sz w:val="14"/>
                <w:szCs w:val="14"/>
                <w:b w:val="1"/>
                <w:bCs w:val="1"/>
                <w:color w:val="1A3FD6"/>
              </w:rPr>
              <w:t>Compensation Matters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61</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384"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Key 2024 Compensation Decisions</w:t>
      </w:r>
    </w:p>
    <w:p>
      <w:pPr>
        <w:spacing w:after="0" w:line="200"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We believe our executive compensation program continues to provide effective incentives to our NEOs in leading the Company to achieve strong performance and motivate them to position the Company for future growth and success. With the help of its external independent compensation consultant, Semler Brossy, the Compensation Committee continued to carefully consider relevant internal and external economic and business factors in making decisions relating to our executive compensation program for 2024.</w:t>
      </w:r>
    </w:p>
    <w:p>
      <w:pPr>
        <w:spacing w:after="0" w:line="77"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The Compensation Committee considered shareholder feedback, reviewed peer compensation analyses, kept apprised of the changing legal and regulatory framework affecting pay practices and reviewed the performance of our NEOs and the Company as a whole. Based on its evaluation of these factors, and following a substantial update to the executive compensation program in 2022 based on shareholder feedback, the Compensation Committee approved our executive compensation program for 2024 that was materially consistent with that approved for the past two years based on its determination that such program continued to further the Company’s strategic objectives. In particular, we believe our LTIP enhances our pay-for-performance culture by incorporating shareholder feedback and that the LTIP supports the Company’s strategic planning while incentivizing continued stock price appreciation.</w:t>
      </w:r>
    </w:p>
    <w:p>
      <w:pPr>
        <w:spacing w:after="0" w:line="80"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The Compensation Committee did, however, make one specific enhancement to the LTIP for 2024 in response to shareholder feedback. As disclosed last year, the Compensation Committee lowered the PSUs maximum payout cap for PSUs granted in 2024 from 300% to 200% of target. Accordingly, the PSUs granted to our NEOs in 2024 reflect the right to receive between 0% and 200% of the target number of shares based on achievement of the absolute TSR CAGR performance metric. In addition, the Compensation Committee rebalanced the equity mix for our NEOs to place greater emphasis on PSOs, highlighting the importance of their performance metrics: cumulative revenue and cumulative adjusted EPS. In increasing the weighting of PSOs for our NEOs, the Compensation Committee also considered the PSOs’ longer-term orientation through a 10-year option term, and the dual requirement of meeting performance goals and achieving stock price appreciation for the PSOs to deliver value to participants.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key features of the 2024 RSUs, PSUs and PSOs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9258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200"/>
        <w:spacing w:after="0"/>
        <w:tabs>
          <w:tab w:leader="none" w:pos="940" w:val="left"/>
          <w:tab w:leader="none" w:pos="1140" w:val="left"/>
        </w:tabs>
        <w:rPr>
          <w:sz w:val="20"/>
          <w:szCs w:val="20"/>
          <w:color w:val="auto"/>
        </w:rPr>
      </w:pPr>
      <w:r>
        <w:rPr>
          <w:rFonts w:ascii="Arial" w:cs="Arial" w:eastAsia="Arial" w:hAnsi="Arial"/>
          <w:sz w:val="16"/>
          <w:szCs w:val="16"/>
          <w:b w:val="1"/>
          <w:bCs w:val="1"/>
          <w:color w:val="FFFFFF"/>
        </w:rPr>
        <w:t>RSUs</w:t>
      </w:r>
      <w:r>
        <w:rPr>
          <w:sz w:val="20"/>
          <w:szCs w:val="20"/>
          <w:color w:val="auto"/>
        </w:rPr>
        <w:tab/>
      </w:r>
      <w:r>
        <w:rPr>
          <w:rFonts w:ascii="Arial" w:cs="Arial" w:eastAsia="Arial" w:hAnsi="Arial"/>
          <w:sz w:val="16"/>
          <w:szCs w:val="16"/>
          <w:color w:val="1A3FD6"/>
        </w:rPr>
        <w:t>•</w:t>
      </w:r>
      <w:r>
        <w:rPr>
          <w:rFonts w:ascii="Arial" w:cs="Arial" w:eastAsia="Arial" w:hAnsi="Arial"/>
          <w:sz w:val="16"/>
          <w:szCs w:val="16"/>
          <w:color w:val="auto"/>
        </w:rPr>
        <w:tab/>
        <w:t>Granted to NEOs other than the CEO and President and COO</w:t>
      </w:r>
    </w:p>
    <w:p>
      <w:pPr>
        <w:spacing w:after="0" w:line="73" w:lineRule="exact"/>
        <w:rPr>
          <w:sz w:val="20"/>
          <w:szCs w:val="20"/>
          <w:color w:val="auto"/>
        </w:rPr>
      </w:pPr>
    </w:p>
    <w:p>
      <w:pPr>
        <w:ind w:left="1160" w:right="380" w:hanging="194"/>
        <w:spacing w:after="0" w:line="281" w:lineRule="auto"/>
        <w:tabs>
          <w:tab w:leader="none" w:pos="1157" w:val="left"/>
        </w:tabs>
        <w:numPr>
          <w:ilvl w:val="0"/>
          <w:numId w:val="65"/>
        </w:numPr>
        <w:rPr>
          <w:rFonts w:ascii="Arial" w:cs="Arial" w:eastAsia="Arial" w:hAnsi="Arial"/>
          <w:sz w:val="16"/>
          <w:szCs w:val="16"/>
          <w:color w:val="1A3FD6"/>
        </w:rPr>
      </w:pPr>
      <w:r>
        <w:rPr>
          <w:rFonts w:ascii="Arial" w:cs="Arial" w:eastAsia="Arial" w:hAnsi="Arial"/>
          <w:sz w:val="16"/>
          <w:szCs w:val="16"/>
          <w:color w:val="auto"/>
        </w:rPr>
        <w:t>Cliff-vest at the end of a three-year vesting period (reflects a change from prior practice of annual ratable vesting for RSU grants prior to 2022)</w:t>
      </w:r>
    </w:p>
    <w:p>
      <w:pPr>
        <w:spacing w:after="0" w:line="1" w:lineRule="exact"/>
        <w:rPr>
          <w:rFonts w:ascii="Arial" w:cs="Arial" w:eastAsia="Arial" w:hAnsi="Arial"/>
          <w:sz w:val="16"/>
          <w:szCs w:val="16"/>
          <w:color w:val="1A3FD6"/>
        </w:rPr>
      </w:pPr>
    </w:p>
    <w:p>
      <w:pPr>
        <w:ind w:left="1160" w:hanging="194"/>
        <w:spacing w:after="0"/>
        <w:tabs>
          <w:tab w:leader="none" w:pos="1160" w:val="left"/>
        </w:tabs>
        <w:numPr>
          <w:ilvl w:val="0"/>
          <w:numId w:val="65"/>
        </w:numPr>
        <w:rPr>
          <w:rFonts w:ascii="Arial" w:cs="Arial" w:eastAsia="Arial" w:hAnsi="Arial"/>
          <w:sz w:val="16"/>
          <w:szCs w:val="16"/>
          <w:color w:val="1A3FD6"/>
        </w:rPr>
      </w:pPr>
      <w:r>
        <w:rPr>
          <w:rFonts w:ascii="Arial" w:cs="Arial" w:eastAsia="Arial" w:hAnsi="Arial"/>
          <w:sz w:val="16"/>
          <w:szCs w:val="16"/>
          <w:color w:val="auto"/>
        </w:rPr>
        <w:t>Long-term value of underlying stock tied to share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5176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51765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200"/>
        <w:spacing w:after="0"/>
        <w:tabs>
          <w:tab w:leader="none" w:pos="940" w:val="left"/>
          <w:tab w:leader="none" w:pos="1140" w:val="left"/>
        </w:tabs>
        <w:rPr>
          <w:sz w:val="20"/>
          <w:szCs w:val="20"/>
          <w:color w:val="auto"/>
        </w:rPr>
      </w:pPr>
      <w:r>
        <w:rPr>
          <w:rFonts w:ascii="Arial" w:cs="Arial" w:eastAsia="Arial" w:hAnsi="Arial"/>
          <w:sz w:val="16"/>
          <w:szCs w:val="16"/>
          <w:b w:val="1"/>
          <w:bCs w:val="1"/>
          <w:color w:val="FFFFFF"/>
        </w:rPr>
        <w:t>PSUs</w:t>
      </w:r>
      <w:r>
        <w:rPr>
          <w:sz w:val="20"/>
          <w:szCs w:val="20"/>
          <w:color w:val="auto"/>
        </w:rPr>
        <w:tab/>
      </w:r>
      <w:r>
        <w:rPr>
          <w:rFonts w:ascii="Arial" w:cs="Arial" w:eastAsia="Arial" w:hAnsi="Arial"/>
          <w:sz w:val="16"/>
          <w:szCs w:val="16"/>
          <w:color w:val="1A3FD6"/>
        </w:rPr>
        <w:t>•</w:t>
      </w:r>
      <w:r>
        <w:rPr>
          <w:rFonts w:ascii="Arial" w:cs="Arial" w:eastAsia="Arial" w:hAnsi="Arial"/>
          <w:sz w:val="16"/>
          <w:szCs w:val="16"/>
          <w:color w:val="auto"/>
        </w:rPr>
        <w:tab/>
        <w:t>Granted to all NEOs</w:t>
      </w:r>
    </w:p>
    <w:p>
      <w:pPr>
        <w:spacing w:after="0" w:line="73" w:lineRule="exact"/>
        <w:rPr>
          <w:sz w:val="20"/>
          <w:szCs w:val="20"/>
          <w:color w:val="auto"/>
        </w:rPr>
      </w:pPr>
    </w:p>
    <w:p>
      <w:pPr>
        <w:ind w:left="1160" w:hanging="194"/>
        <w:spacing w:after="0"/>
        <w:tabs>
          <w:tab w:leader="none" w:pos="1160" w:val="left"/>
        </w:tabs>
        <w:numPr>
          <w:ilvl w:val="0"/>
          <w:numId w:val="66"/>
        </w:numPr>
        <w:rPr>
          <w:rFonts w:ascii="Arial" w:cs="Arial" w:eastAsia="Arial" w:hAnsi="Arial"/>
          <w:sz w:val="16"/>
          <w:szCs w:val="16"/>
          <w:color w:val="1A3FD6"/>
        </w:rPr>
      </w:pPr>
      <w:r>
        <w:rPr>
          <w:rFonts w:ascii="Arial" w:cs="Arial" w:eastAsia="Arial" w:hAnsi="Arial"/>
          <w:sz w:val="16"/>
          <w:szCs w:val="16"/>
          <w:color w:val="auto"/>
        </w:rPr>
        <w:t>Cliff-vest at the end of a cumulative three-year performance period</w:t>
      </w:r>
    </w:p>
    <w:p>
      <w:pPr>
        <w:spacing w:after="0" w:line="59" w:lineRule="exact"/>
        <w:rPr>
          <w:rFonts w:ascii="Arial" w:cs="Arial" w:eastAsia="Arial" w:hAnsi="Arial"/>
          <w:sz w:val="16"/>
          <w:szCs w:val="16"/>
          <w:color w:val="1A3FD6"/>
        </w:rPr>
      </w:pPr>
    </w:p>
    <w:p>
      <w:pPr>
        <w:ind w:left="1160" w:right="200" w:hanging="194"/>
        <w:spacing w:after="0" w:line="286" w:lineRule="auto"/>
        <w:tabs>
          <w:tab w:leader="none" w:pos="1157" w:val="left"/>
        </w:tabs>
        <w:numPr>
          <w:ilvl w:val="0"/>
          <w:numId w:val="66"/>
        </w:numPr>
        <w:rPr>
          <w:rFonts w:ascii="Arial" w:cs="Arial" w:eastAsia="Arial" w:hAnsi="Arial"/>
          <w:sz w:val="16"/>
          <w:szCs w:val="16"/>
          <w:color w:val="1A3FD6"/>
        </w:rPr>
      </w:pPr>
      <w:r>
        <w:rPr>
          <w:rFonts w:ascii="Arial" w:cs="Arial" w:eastAsia="Arial" w:hAnsi="Arial"/>
          <w:sz w:val="16"/>
          <w:szCs w:val="16"/>
          <w:color w:val="auto"/>
        </w:rPr>
        <w:t>May be earned between 0% and 200% of the target number of shares based on achievement of absolute TSR CAGR performance metric; no payout if achievement is below threshold performance level</w:t>
      </w:r>
    </w:p>
    <w:p>
      <w:pPr>
        <w:spacing w:after="0" w:line="7" w:lineRule="exact"/>
        <w:rPr>
          <w:rFonts w:ascii="Arial" w:cs="Arial" w:eastAsia="Arial" w:hAnsi="Arial"/>
          <w:sz w:val="16"/>
          <w:szCs w:val="16"/>
          <w:color w:val="1A3FD6"/>
        </w:rPr>
      </w:pPr>
    </w:p>
    <w:p>
      <w:pPr>
        <w:ind w:left="1160" w:hanging="194"/>
        <w:spacing w:after="0"/>
        <w:tabs>
          <w:tab w:leader="none" w:pos="1160" w:val="left"/>
        </w:tabs>
        <w:numPr>
          <w:ilvl w:val="0"/>
          <w:numId w:val="66"/>
        </w:numPr>
        <w:rPr>
          <w:rFonts w:ascii="Arial" w:cs="Arial" w:eastAsia="Arial" w:hAnsi="Arial"/>
          <w:sz w:val="16"/>
          <w:szCs w:val="16"/>
          <w:color w:val="1A3FD6"/>
        </w:rPr>
      </w:pPr>
      <w:r>
        <w:rPr>
          <w:rFonts w:ascii="Arial" w:cs="Arial" w:eastAsia="Arial" w:hAnsi="Arial"/>
          <w:sz w:val="16"/>
          <w:szCs w:val="16"/>
          <w:color w:val="auto"/>
        </w:rPr>
        <w:t>Realize meaningful value only to the extent that shareholders also realize value</w:t>
      </w:r>
    </w:p>
    <w:p>
      <w:pPr>
        <w:spacing w:after="0" w:line="59" w:lineRule="exact"/>
        <w:rPr>
          <w:rFonts w:ascii="Arial" w:cs="Arial" w:eastAsia="Arial" w:hAnsi="Arial"/>
          <w:sz w:val="16"/>
          <w:szCs w:val="16"/>
          <w:color w:val="1A3FD6"/>
        </w:rPr>
      </w:pPr>
    </w:p>
    <w:p>
      <w:pPr>
        <w:ind w:left="1160" w:right="100" w:hanging="194"/>
        <w:spacing w:after="0" w:line="290" w:lineRule="auto"/>
        <w:tabs>
          <w:tab w:leader="none" w:pos="1157" w:val="left"/>
        </w:tabs>
        <w:numPr>
          <w:ilvl w:val="0"/>
          <w:numId w:val="66"/>
        </w:numPr>
        <w:rPr>
          <w:rFonts w:ascii="Arial" w:cs="Arial" w:eastAsia="Arial" w:hAnsi="Arial"/>
          <w:sz w:val="16"/>
          <w:szCs w:val="16"/>
          <w:color w:val="1A3FD6"/>
        </w:rPr>
      </w:pPr>
      <w:r>
        <w:rPr>
          <w:rFonts w:ascii="Arial" w:cs="Arial" w:eastAsia="Arial" w:hAnsi="Arial"/>
          <w:sz w:val="16"/>
          <w:szCs w:val="16"/>
          <w:color w:val="auto"/>
        </w:rPr>
        <w:t>Include one-year post-vest mandatory holding period, where such shares, or rights with respect to such shares, may not be transferred until the expiration of such holding period</w:t>
      </w:r>
    </w:p>
    <w:p>
      <w:pPr>
        <w:ind w:left="1160" w:hanging="194"/>
        <w:spacing w:after="0"/>
        <w:tabs>
          <w:tab w:leader="none" w:pos="1160" w:val="left"/>
        </w:tabs>
        <w:numPr>
          <w:ilvl w:val="0"/>
          <w:numId w:val="66"/>
        </w:numPr>
        <w:rPr>
          <w:rFonts w:ascii="Arial" w:cs="Arial" w:eastAsia="Arial" w:hAnsi="Arial"/>
          <w:sz w:val="16"/>
          <w:szCs w:val="16"/>
          <w:color w:val="1A3FD6"/>
        </w:rPr>
      </w:pPr>
      <w:r>
        <w:rPr>
          <w:rFonts w:ascii="Arial" w:cs="Arial" w:eastAsia="Arial" w:hAnsi="Arial"/>
          <w:sz w:val="16"/>
          <w:szCs w:val="16"/>
          <w:color w:val="auto"/>
        </w:rPr>
        <w:t>Dividend equivalents only paid if and to the extent the underlying award is earned and vests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13284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32842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200" w:type="dxa"/>
        <w:tblCellMar>
          <w:top w:w="0" w:type="dxa"/>
          <w:left w:w="0" w:type="dxa"/>
          <w:bottom w:w="0" w:type="dxa"/>
          <w:right w:w="0" w:type="dxa"/>
        </w:tblCellMar>
      </w:tblPr>
      <w:tr>
        <w:trPr>
          <w:trHeight w:val="223"/>
        </w:trPr>
        <w:tc>
          <w:tcPr>
            <w:tcW w:w="600" w:type="dxa"/>
            <w:vAlign w:val="bottom"/>
          </w:tcPr>
          <w:p>
            <w:pPr>
              <w:spacing w:after="0"/>
              <w:rPr>
                <w:sz w:val="20"/>
                <w:szCs w:val="20"/>
                <w:color w:val="auto"/>
              </w:rPr>
            </w:pPr>
            <w:r>
              <w:rPr>
                <w:rFonts w:ascii="Arial" w:cs="Arial" w:eastAsia="Arial" w:hAnsi="Arial"/>
                <w:sz w:val="16"/>
                <w:szCs w:val="16"/>
                <w:b w:val="1"/>
                <w:bCs w:val="1"/>
                <w:color w:val="auto"/>
              </w:rPr>
              <w:t>PSOs</w:t>
            </w:r>
          </w:p>
        </w:tc>
        <w:tc>
          <w:tcPr>
            <w:tcW w:w="280" w:type="dxa"/>
            <w:vAlign w:val="bottom"/>
          </w:tcPr>
          <w:p>
            <w:pPr>
              <w:ind w:left="160"/>
              <w:spacing w:after="0"/>
              <w:rPr>
                <w:sz w:val="20"/>
                <w:szCs w:val="20"/>
                <w:color w:val="auto"/>
              </w:rPr>
            </w:pPr>
            <w:r>
              <w:rPr>
                <w:rFonts w:ascii="Arial" w:cs="Arial" w:eastAsia="Arial" w:hAnsi="Arial"/>
                <w:sz w:val="16"/>
                <w:szCs w:val="16"/>
                <w:color w:val="1A3FD6"/>
              </w:rPr>
              <w:t>•</w:t>
            </w:r>
          </w:p>
        </w:tc>
        <w:tc>
          <w:tcPr>
            <w:tcW w:w="9880" w:type="dxa"/>
            <w:vAlign w:val="bottom"/>
          </w:tcPr>
          <w:p>
            <w:pPr>
              <w:ind w:left="80"/>
              <w:spacing w:after="0"/>
              <w:rPr>
                <w:sz w:val="20"/>
                <w:szCs w:val="20"/>
                <w:color w:val="auto"/>
              </w:rPr>
            </w:pPr>
            <w:r>
              <w:rPr>
                <w:rFonts w:ascii="Arial" w:cs="Arial" w:eastAsia="Arial" w:hAnsi="Arial"/>
                <w:sz w:val="16"/>
                <w:szCs w:val="16"/>
                <w:color w:val="auto"/>
              </w:rPr>
              <w:t>Granted to all NEOs to further facilitate an “owner-operator” mindset and focus on strategic goals</w:t>
            </w:r>
          </w:p>
        </w:tc>
      </w:tr>
      <w:tr>
        <w:trPr>
          <w:trHeight w:val="239"/>
        </w:trPr>
        <w:tc>
          <w:tcPr>
            <w:tcW w:w="600" w:type="dxa"/>
            <w:vAlign w:val="bottom"/>
          </w:tcPr>
          <w:p>
            <w:pPr>
              <w:spacing w:after="0"/>
              <w:rPr>
                <w:sz w:val="20"/>
                <w:szCs w:val="20"/>
                <w:color w:val="auto"/>
              </w:rPr>
            </w:pPr>
          </w:p>
        </w:tc>
        <w:tc>
          <w:tcPr>
            <w:tcW w:w="280" w:type="dxa"/>
            <w:vAlign w:val="bottom"/>
          </w:tcPr>
          <w:p>
            <w:pPr>
              <w:ind w:left="160"/>
              <w:spacing w:after="0"/>
              <w:rPr>
                <w:sz w:val="20"/>
                <w:szCs w:val="20"/>
                <w:color w:val="auto"/>
              </w:rPr>
            </w:pPr>
            <w:r>
              <w:rPr>
                <w:rFonts w:ascii="Arial" w:cs="Arial" w:eastAsia="Arial" w:hAnsi="Arial"/>
                <w:sz w:val="16"/>
                <w:szCs w:val="16"/>
                <w:color w:val="1A3FD6"/>
              </w:rPr>
              <w:t>•</w:t>
            </w:r>
          </w:p>
        </w:tc>
        <w:tc>
          <w:tcPr>
            <w:tcW w:w="9880" w:type="dxa"/>
            <w:vAlign w:val="bottom"/>
          </w:tcPr>
          <w:p>
            <w:pPr>
              <w:ind w:left="80"/>
              <w:spacing w:after="0"/>
              <w:rPr>
                <w:sz w:val="20"/>
                <w:szCs w:val="20"/>
                <w:color w:val="auto"/>
              </w:rPr>
            </w:pPr>
            <w:r>
              <w:rPr>
                <w:rFonts w:ascii="Arial" w:cs="Arial" w:eastAsia="Arial" w:hAnsi="Arial"/>
                <w:sz w:val="16"/>
                <w:szCs w:val="16"/>
                <w:color w:val="auto"/>
              </w:rPr>
              <w:t>Vest upon satisfaction of both a service condition and a performance condition over a cumulative three-year performance period, with the</w:t>
            </w:r>
          </w:p>
        </w:tc>
      </w:tr>
    </w:tbl>
    <w:p>
      <w:pPr>
        <w:ind w:left="1160"/>
        <w:spacing w:after="0"/>
        <w:rPr>
          <w:sz w:val="20"/>
          <w:szCs w:val="20"/>
          <w:color w:val="auto"/>
        </w:rPr>
      </w:pPr>
      <w:r>
        <w:rPr>
          <w:rFonts w:ascii="Arial" w:cs="Arial" w:eastAsia="Arial" w:hAnsi="Arial"/>
          <w:sz w:val="16"/>
          <w:szCs w:val="16"/>
          <w:color w:val="auto"/>
        </w:rPr>
        <w:t>service condition satisfied on the third anniversary of the grant date</w:t>
      </w:r>
    </w:p>
    <w:p>
      <w:pPr>
        <w:spacing w:after="0" w:line="43" w:lineRule="exact"/>
        <w:rPr>
          <w:sz w:val="20"/>
          <w:szCs w:val="20"/>
          <w:color w:val="auto"/>
        </w:rPr>
      </w:pPr>
    </w:p>
    <w:p>
      <w:pPr>
        <w:ind w:left="1160" w:right="60" w:hanging="193"/>
        <w:spacing w:after="0" w:line="275" w:lineRule="auto"/>
        <w:tabs>
          <w:tab w:leader="none" w:pos="1140" w:val="left"/>
        </w:tabs>
        <w:rPr>
          <w:sz w:val="20"/>
          <w:szCs w:val="20"/>
          <w:color w:val="auto"/>
        </w:rPr>
      </w:pPr>
      <w:r>
        <w:rPr>
          <w:rFonts w:ascii="Arial" w:cs="Arial" w:eastAsia="Arial" w:hAnsi="Arial"/>
          <w:sz w:val="16"/>
          <w:szCs w:val="16"/>
          <w:color w:val="1A3FD6"/>
        </w:rPr>
        <w:t>•</w:t>
      </w:r>
      <w:r>
        <w:rPr>
          <w:rFonts w:ascii="Arial" w:cs="Arial" w:eastAsia="Arial" w:hAnsi="Arial"/>
          <w:sz w:val="16"/>
          <w:szCs w:val="16"/>
          <w:color w:val="auto"/>
        </w:rPr>
        <w:tab/>
        <w:t>May be earned between 0% and 200% of the target number of shares based on the combined level of achievement of a cumulative revenue performance goal and a cumulative adjusted EPS performance goal, each weighted equally, and measured over a three-year performance period</w:t>
      </w:r>
    </w:p>
    <w:p>
      <w:pPr>
        <w:spacing w:after="0" w:line="16" w:lineRule="exact"/>
        <w:rPr>
          <w:sz w:val="20"/>
          <w:szCs w:val="20"/>
          <w:color w:val="auto"/>
        </w:rPr>
      </w:pPr>
    </w:p>
    <w:p>
      <w:pPr>
        <w:ind w:left="960"/>
        <w:spacing w:after="0"/>
        <w:tabs>
          <w:tab w:leader="none" w:pos="1140" w:val="left"/>
        </w:tabs>
        <w:rPr>
          <w:sz w:val="20"/>
          <w:szCs w:val="20"/>
          <w:color w:val="auto"/>
        </w:rPr>
      </w:pPr>
      <w:r>
        <w:rPr>
          <w:rFonts w:ascii="Arial" w:cs="Arial" w:eastAsia="Arial" w:hAnsi="Arial"/>
          <w:sz w:val="16"/>
          <w:szCs w:val="16"/>
          <w:color w:val="1A3FD6"/>
        </w:rPr>
        <w:t>•</w:t>
      </w:r>
      <w:r>
        <w:rPr>
          <w:rFonts w:ascii="Arial" w:cs="Arial" w:eastAsia="Arial" w:hAnsi="Arial"/>
          <w:sz w:val="16"/>
          <w:szCs w:val="16"/>
          <w:color w:val="auto"/>
        </w:rPr>
        <w:tab/>
        <w:t>Share price of MSCI common stock must exceed exercise price for a participant to realize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959485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63" w:name="page64"/>
    <w:bookmarkEnd w:id="63"/>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62</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Governance and Administration</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Executive Compensation Philosophy and Goals</w:t>
      </w:r>
    </w:p>
    <w:p>
      <w:pPr>
        <w:spacing w:after="0" w:line="200" w:lineRule="exact"/>
        <w:rPr>
          <w:sz w:val="20"/>
          <w:szCs w:val="20"/>
          <w:color w:val="auto"/>
        </w:rPr>
      </w:pPr>
    </w:p>
    <w:p>
      <w:pPr>
        <w:jc w:val="both"/>
        <w:ind w:right="500"/>
        <w:spacing w:after="0" w:line="292" w:lineRule="auto"/>
        <w:rPr>
          <w:sz w:val="20"/>
          <w:szCs w:val="20"/>
          <w:color w:val="auto"/>
        </w:rPr>
      </w:pPr>
      <w:r>
        <w:rPr>
          <w:rFonts w:ascii="Arial" w:cs="Arial" w:eastAsia="Arial" w:hAnsi="Arial"/>
          <w:sz w:val="16"/>
          <w:szCs w:val="16"/>
          <w:color w:val="auto"/>
        </w:rPr>
        <w:t>We evaluate our executive compensation structure on an annual basis to ensure alignment with our compensation philosophy, business strategy and shareholder priorities. Our compensation program for our NEOs is designed to promote the achievement of our short-term and long-term financial and strategic goals. For additional information on our financial performance, see page 60 of this Proxy Statement.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principles described in the “Executive Summary” on page 58 of this Proxy Statement, our executive compensation program is designed to:</w:t>
      </w:r>
    </w:p>
    <w:p>
      <w:pPr>
        <w:spacing w:after="0" w:line="127" w:lineRule="exact"/>
        <w:rPr>
          <w:sz w:val="20"/>
          <w:szCs w:val="20"/>
          <w:color w:val="auto"/>
        </w:rPr>
      </w:pPr>
    </w:p>
    <w:p>
      <w:pPr>
        <w:ind w:left="200" w:hanging="192"/>
        <w:spacing w:after="0"/>
        <w:tabs>
          <w:tab w:leader="none" w:pos="200" w:val="left"/>
        </w:tabs>
        <w:numPr>
          <w:ilvl w:val="0"/>
          <w:numId w:val="67"/>
        </w:numPr>
        <w:rPr>
          <w:rFonts w:ascii="Arial" w:cs="Arial" w:eastAsia="Arial" w:hAnsi="Arial"/>
          <w:sz w:val="16"/>
          <w:szCs w:val="16"/>
          <w:color w:val="1A3FD6"/>
        </w:rPr>
      </w:pPr>
      <w:r>
        <w:rPr>
          <w:rFonts w:ascii="Arial" w:cs="Arial" w:eastAsia="Arial" w:hAnsi="Arial"/>
          <w:sz w:val="16"/>
          <w:szCs w:val="16"/>
          <w:color w:val="auto"/>
        </w:rPr>
        <w:t>promote achievement of financial and strategic goals and provide alignment with our multi-year strategic planning;</w:t>
      </w:r>
    </w:p>
    <w:p>
      <w:pPr>
        <w:spacing w:after="0" w:line="86" w:lineRule="exact"/>
        <w:rPr>
          <w:rFonts w:ascii="Arial" w:cs="Arial" w:eastAsia="Arial" w:hAnsi="Arial"/>
          <w:sz w:val="16"/>
          <w:szCs w:val="16"/>
          <w:color w:val="1A3FD6"/>
        </w:rPr>
      </w:pPr>
    </w:p>
    <w:p>
      <w:pPr>
        <w:ind w:left="200" w:hanging="192"/>
        <w:spacing w:after="0"/>
        <w:tabs>
          <w:tab w:leader="none" w:pos="200" w:val="left"/>
        </w:tabs>
        <w:numPr>
          <w:ilvl w:val="0"/>
          <w:numId w:val="67"/>
        </w:numPr>
        <w:rPr>
          <w:rFonts w:ascii="Arial" w:cs="Arial" w:eastAsia="Arial" w:hAnsi="Arial"/>
          <w:sz w:val="16"/>
          <w:szCs w:val="16"/>
          <w:color w:val="1A3FD6"/>
        </w:rPr>
      </w:pPr>
      <w:r>
        <w:rPr>
          <w:rFonts w:ascii="Arial" w:cs="Arial" w:eastAsia="Arial" w:hAnsi="Arial"/>
          <w:sz w:val="16"/>
          <w:szCs w:val="16"/>
          <w:color w:val="auto"/>
        </w:rPr>
        <w:t>provide a framework to encourage our NEOs to make a long-term commitment to the Company;</w:t>
      </w:r>
    </w:p>
    <w:p>
      <w:pPr>
        <w:spacing w:after="0" w:line="72" w:lineRule="exact"/>
        <w:rPr>
          <w:rFonts w:ascii="Arial" w:cs="Arial" w:eastAsia="Arial" w:hAnsi="Arial"/>
          <w:sz w:val="16"/>
          <w:szCs w:val="16"/>
          <w:color w:val="1A3FD6"/>
        </w:rPr>
      </w:pPr>
    </w:p>
    <w:p>
      <w:pPr>
        <w:ind w:left="200" w:hanging="192"/>
        <w:spacing w:after="0"/>
        <w:tabs>
          <w:tab w:leader="none" w:pos="200" w:val="left"/>
        </w:tabs>
        <w:numPr>
          <w:ilvl w:val="0"/>
          <w:numId w:val="67"/>
        </w:numPr>
        <w:rPr>
          <w:rFonts w:ascii="Arial" w:cs="Arial" w:eastAsia="Arial" w:hAnsi="Arial"/>
          <w:sz w:val="16"/>
          <w:szCs w:val="16"/>
          <w:color w:val="1A3FD6"/>
        </w:rPr>
      </w:pPr>
      <w:r>
        <w:rPr>
          <w:rFonts w:ascii="Arial" w:cs="Arial" w:eastAsia="Arial" w:hAnsi="Arial"/>
          <w:sz w:val="16"/>
          <w:szCs w:val="16"/>
          <w:color w:val="auto"/>
        </w:rPr>
        <w:t>ground compensation determinations on the performance of the Company, the product/functional unit and the individual;</w:t>
      </w:r>
    </w:p>
    <w:p>
      <w:pPr>
        <w:spacing w:after="0" w:line="86" w:lineRule="exact"/>
        <w:rPr>
          <w:rFonts w:ascii="Arial" w:cs="Arial" w:eastAsia="Arial" w:hAnsi="Arial"/>
          <w:sz w:val="16"/>
          <w:szCs w:val="16"/>
          <w:color w:val="1A3FD6"/>
        </w:rPr>
      </w:pPr>
    </w:p>
    <w:p>
      <w:pPr>
        <w:ind w:left="200" w:right="260" w:hanging="192"/>
        <w:spacing w:after="0" w:line="308" w:lineRule="auto"/>
        <w:tabs>
          <w:tab w:leader="none" w:pos="197" w:val="left"/>
        </w:tabs>
        <w:numPr>
          <w:ilvl w:val="0"/>
          <w:numId w:val="67"/>
        </w:numPr>
        <w:rPr>
          <w:rFonts w:ascii="Arial" w:cs="Arial" w:eastAsia="Arial" w:hAnsi="Arial"/>
          <w:sz w:val="16"/>
          <w:szCs w:val="16"/>
          <w:color w:val="1A3FD6"/>
        </w:rPr>
      </w:pPr>
      <w:r>
        <w:rPr>
          <w:rFonts w:ascii="Arial" w:cs="Arial" w:eastAsia="Arial" w:hAnsi="Arial"/>
          <w:sz w:val="16"/>
          <w:szCs w:val="16"/>
          <w:color w:val="auto"/>
        </w:rPr>
        <w:t>attract, retain and engage top-level talent and provide each NEO with compensation opportunities that are competitive with market practices and within our cost structure;</w:t>
      </w:r>
    </w:p>
    <w:p>
      <w:pPr>
        <w:ind w:left="200" w:hanging="192"/>
        <w:spacing w:after="0"/>
        <w:tabs>
          <w:tab w:leader="none" w:pos="200" w:val="left"/>
        </w:tabs>
        <w:numPr>
          <w:ilvl w:val="0"/>
          <w:numId w:val="67"/>
        </w:numPr>
        <w:rPr>
          <w:rFonts w:ascii="Arial" w:cs="Arial" w:eastAsia="Arial" w:hAnsi="Arial"/>
          <w:sz w:val="16"/>
          <w:szCs w:val="16"/>
          <w:color w:val="1A3FD6"/>
        </w:rPr>
      </w:pPr>
      <w:r>
        <w:rPr>
          <w:rFonts w:ascii="Arial" w:cs="Arial" w:eastAsia="Arial" w:hAnsi="Arial"/>
          <w:sz w:val="16"/>
          <w:szCs w:val="16"/>
          <w:color w:val="auto"/>
        </w:rPr>
        <w:t>appropriately manage compensation risk in light of our business strategy;</w:t>
      </w:r>
    </w:p>
    <w:p>
      <w:pPr>
        <w:spacing w:after="0" w:line="86" w:lineRule="exact"/>
        <w:rPr>
          <w:rFonts w:ascii="Arial" w:cs="Arial" w:eastAsia="Arial" w:hAnsi="Arial"/>
          <w:sz w:val="16"/>
          <w:szCs w:val="16"/>
          <w:color w:val="1A3FD6"/>
        </w:rPr>
      </w:pPr>
    </w:p>
    <w:p>
      <w:pPr>
        <w:ind w:left="200" w:right="200" w:hanging="192"/>
        <w:spacing w:after="0" w:line="304" w:lineRule="auto"/>
        <w:tabs>
          <w:tab w:leader="none" w:pos="197" w:val="left"/>
        </w:tabs>
        <w:numPr>
          <w:ilvl w:val="0"/>
          <w:numId w:val="67"/>
        </w:numPr>
        <w:rPr>
          <w:rFonts w:ascii="Arial" w:cs="Arial" w:eastAsia="Arial" w:hAnsi="Arial"/>
          <w:sz w:val="16"/>
          <w:szCs w:val="16"/>
          <w:color w:val="1A3FD6"/>
        </w:rPr>
      </w:pPr>
      <w:r>
        <w:rPr>
          <w:rFonts w:ascii="Arial" w:cs="Arial" w:eastAsia="Arial" w:hAnsi="Arial"/>
          <w:sz w:val="16"/>
          <w:szCs w:val="16"/>
          <w:color w:val="auto"/>
        </w:rPr>
        <w:t>align the long-term interests of our senior executives with those of our shareholders by promoting actions that will allow for sustainable top- and bottom-line growth opportunities and capital returns to shareholders; and</w:t>
      </w:r>
    </w:p>
    <w:p>
      <w:pPr>
        <w:spacing w:after="0" w:line="6" w:lineRule="exact"/>
        <w:rPr>
          <w:rFonts w:ascii="Arial" w:cs="Arial" w:eastAsia="Arial" w:hAnsi="Arial"/>
          <w:sz w:val="16"/>
          <w:szCs w:val="16"/>
          <w:color w:val="1A3FD6"/>
        </w:rPr>
      </w:pPr>
    </w:p>
    <w:p>
      <w:pPr>
        <w:ind w:left="200" w:hanging="192"/>
        <w:spacing w:after="0"/>
        <w:tabs>
          <w:tab w:leader="none" w:pos="200" w:val="left"/>
        </w:tabs>
        <w:numPr>
          <w:ilvl w:val="0"/>
          <w:numId w:val="67"/>
        </w:numPr>
        <w:rPr>
          <w:rFonts w:ascii="Arial" w:cs="Arial" w:eastAsia="Arial" w:hAnsi="Arial"/>
          <w:sz w:val="16"/>
          <w:szCs w:val="16"/>
          <w:color w:val="1A3FD6"/>
        </w:rPr>
      </w:pPr>
      <w:r>
        <w:rPr>
          <w:rFonts w:ascii="Arial" w:cs="Arial" w:eastAsia="Arial" w:hAnsi="Arial"/>
          <w:sz w:val="16"/>
          <w:szCs w:val="16"/>
          <w:color w:val="auto"/>
        </w:rPr>
        <w:t>maintain an “owner-operator” culture and strong corporate governance practices.</w:t>
      </w:r>
    </w:p>
    <w:p>
      <w:pPr>
        <w:spacing w:after="0" w:line="140"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In furtherance of our pay-for-performance philosophy, the primary financial quantitative metrics used in our incentive compensation programs generally reflect those used internally to measure our performance and externally to report to investors, in particular, revenue and adjusted EPS, which are utilized under both our AIP and LTIP. Many of these measures are tied to cash generation, capital efficiency, sustained profitable growth over time, and shareholder value.</w:t>
      </w:r>
    </w:p>
    <w:p>
      <w:pPr>
        <w:spacing w:after="0" w:line="77"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Our CEO, Chief Human Resources Officer and CFO annually review the incentive metrics in our executive compensation program with the Compensation Committee to ensure that the program remains balanced and motivates the achievement of the go-forward drivers of our business. The financial metrics used in our 2024 executive compensation program were: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20" w:type="dxa"/>
            <w:vAlign w:val="bottom"/>
          </w:tcPr>
          <w:p>
            <w:pPr>
              <w:spacing w:after="0"/>
              <w:rPr>
                <w:sz w:val="17"/>
                <w:szCs w:val="17"/>
                <w:color w:val="auto"/>
              </w:rPr>
            </w:pPr>
          </w:p>
        </w:tc>
        <w:tc>
          <w:tcPr>
            <w:tcW w:w="2940" w:type="dxa"/>
            <w:vAlign w:val="bottom"/>
          </w:tcPr>
          <w:p>
            <w:pPr>
              <w:ind w:left="20"/>
              <w:spacing w:after="0"/>
              <w:rPr>
                <w:sz w:val="20"/>
                <w:szCs w:val="20"/>
                <w:color w:val="auto"/>
              </w:rPr>
            </w:pPr>
            <w:r>
              <w:rPr>
                <w:rFonts w:ascii="Arial" w:cs="Arial" w:eastAsia="Arial" w:hAnsi="Arial"/>
                <w:sz w:val="14"/>
                <w:szCs w:val="14"/>
                <w:b w:val="1"/>
                <w:bCs w:val="1"/>
                <w:color w:val="auto"/>
              </w:rPr>
              <w:t>Metric</w:t>
            </w:r>
          </w:p>
        </w:tc>
        <w:tc>
          <w:tcPr>
            <w:tcW w:w="6680" w:type="dxa"/>
            <w:vAlign w:val="bottom"/>
          </w:tcPr>
          <w:p>
            <w:pPr>
              <w:ind w:left="20"/>
              <w:spacing w:after="0"/>
              <w:rPr>
                <w:sz w:val="20"/>
                <w:szCs w:val="20"/>
                <w:color w:val="auto"/>
              </w:rPr>
            </w:pPr>
            <w:r>
              <w:rPr>
                <w:rFonts w:ascii="Arial" w:cs="Arial" w:eastAsia="Arial" w:hAnsi="Arial"/>
                <w:sz w:val="14"/>
                <w:szCs w:val="14"/>
                <w:b w:val="1"/>
                <w:bCs w:val="1"/>
                <w:color w:val="auto"/>
              </w:rPr>
              <w:t>Alignment to Broader Strategy</w:t>
            </w:r>
          </w:p>
        </w:tc>
        <w:tc>
          <w:tcPr>
            <w:tcW w:w="0" w:type="dxa"/>
            <w:vAlign w:val="bottom"/>
          </w:tcPr>
          <w:p>
            <w:pPr>
              <w:spacing w:after="0"/>
              <w:rPr>
                <w:sz w:val="1"/>
                <w:szCs w:val="1"/>
                <w:color w:val="auto"/>
              </w:rPr>
            </w:pPr>
          </w:p>
        </w:tc>
      </w:tr>
      <w:tr>
        <w:trPr>
          <w:trHeight w:val="69"/>
        </w:trPr>
        <w:tc>
          <w:tcPr>
            <w:tcW w:w="1620" w:type="dxa"/>
            <w:vAlign w:val="bottom"/>
            <w:tcBorders>
              <w:bottom w:val="single" w:sz="8" w:color="1A3FD6"/>
            </w:tcBorders>
          </w:tcPr>
          <w:p>
            <w:pPr>
              <w:spacing w:after="0"/>
              <w:rPr>
                <w:sz w:val="6"/>
                <w:szCs w:val="6"/>
                <w:color w:val="auto"/>
              </w:rPr>
            </w:pPr>
          </w:p>
        </w:tc>
        <w:tc>
          <w:tcPr>
            <w:tcW w:w="2940" w:type="dxa"/>
            <w:vAlign w:val="bottom"/>
            <w:tcBorders>
              <w:bottom w:val="single" w:sz="8" w:color="1A3FD6"/>
            </w:tcBorders>
          </w:tcPr>
          <w:p>
            <w:pPr>
              <w:spacing w:after="0"/>
              <w:rPr>
                <w:sz w:val="6"/>
                <w:szCs w:val="6"/>
                <w:color w:val="auto"/>
              </w:rPr>
            </w:pPr>
          </w:p>
        </w:tc>
        <w:tc>
          <w:tcPr>
            <w:tcW w:w="6680" w:type="dxa"/>
            <w:vAlign w:val="bottom"/>
            <w:tcBorders>
              <w:bottom w:val="single" w:sz="8" w:color="1A3FD6"/>
            </w:tcBorders>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1620" w:type="dxa"/>
            <w:vAlign w:val="bottom"/>
            <w:shd w:val="clear" w:color="auto" w:fill="EDF0FC"/>
          </w:tcPr>
          <w:p>
            <w:pPr>
              <w:ind w:left="80"/>
              <w:spacing w:after="0"/>
              <w:rPr>
                <w:sz w:val="20"/>
                <w:szCs w:val="20"/>
                <w:color w:val="auto"/>
              </w:rPr>
            </w:pPr>
            <w:r>
              <w:rPr>
                <w:rFonts w:ascii="Arial" w:cs="Arial" w:eastAsia="Arial" w:hAnsi="Arial"/>
                <w:sz w:val="16"/>
                <w:szCs w:val="16"/>
                <w:b w:val="1"/>
                <w:bCs w:val="1"/>
                <w:color w:val="1A3FD6"/>
              </w:rPr>
              <w:t>Annual Incentive</w:t>
            </w:r>
          </w:p>
        </w:tc>
        <w:tc>
          <w:tcPr>
            <w:tcW w:w="294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auto"/>
              </w:rPr>
              <w:t>Revenue</w:t>
            </w:r>
          </w:p>
        </w:tc>
        <w:tc>
          <w:tcPr>
            <w:tcW w:w="6680" w:type="dxa"/>
            <w:vAlign w:val="bottom"/>
            <w:shd w:val="clear" w:color="auto" w:fill="EDF0FC"/>
          </w:tcPr>
          <w:p>
            <w:pPr>
              <w:ind w:left="20"/>
              <w:spacing w:after="0"/>
              <w:rPr>
                <w:sz w:val="20"/>
                <w:szCs w:val="20"/>
                <w:color w:val="auto"/>
              </w:rPr>
            </w:pPr>
            <w:r>
              <w:rPr>
                <w:rFonts w:ascii="Arial" w:cs="Arial" w:eastAsia="Arial" w:hAnsi="Arial"/>
                <w:sz w:val="16"/>
                <w:szCs w:val="16"/>
                <w:color w:val="auto"/>
              </w:rPr>
              <w:t>Represents the top-line measure of our business performance; for the LTIP, measured over</w:t>
            </w:r>
          </w:p>
        </w:tc>
        <w:tc>
          <w:tcPr>
            <w:tcW w:w="0" w:type="dxa"/>
            <w:vAlign w:val="bottom"/>
          </w:tcPr>
          <w:p>
            <w:pPr>
              <w:spacing w:after="0"/>
              <w:rPr>
                <w:sz w:val="1"/>
                <w:szCs w:val="1"/>
                <w:color w:val="auto"/>
              </w:rPr>
            </w:pPr>
          </w:p>
        </w:tc>
      </w:tr>
      <w:tr>
        <w:trPr>
          <w:trHeight w:val="216"/>
        </w:trPr>
        <w:tc>
          <w:tcPr>
            <w:tcW w:w="1620" w:type="dxa"/>
            <w:vAlign w:val="bottom"/>
            <w:shd w:val="clear" w:color="auto" w:fill="EDF0FC"/>
          </w:tcPr>
          <w:p>
            <w:pPr>
              <w:ind w:left="80"/>
              <w:spacing w:after="0"/>
              <w:rPr>
                <w:sz w:val="20"/>
                <w:szCs w:val="20"/>
                <w:color w:val="auto"/>
              </w:rPr>
            </w:pPr>
            <w:r>
              <w:rPr>
                <w:rFonts w:ascii="Arial" w:cs="Arial" w:eastAsia="Arial" w:hAnsi="Arial"/>
                <w:sz w:val="16"/>
                <w:szCs w:val="16"/>
                <w:b w:val="1"/>
                <w:bCs w:val="1"/>
                <w:color w:val="1A3FD6"/>
              </w:rPr>
              <w:t>Plan and Long-</w:t>
            </w:r>
          </w:p>
        </w:tc>
        <w:tc>
          <w:tcPr>
            <w:tcW w:w="2940" w:type="dxa"/>
            <w:vAlign w:val="bottom"/>
            <w:shd w:val="clear" w:color="auto" w:fill="EDF0FC"/>
          </w:tcPr>
          <w:p>
            <w:pPr>
              <w:spacing w:after="0"/>
              <w:rPr>
                <w:sz w:val="18"/>
                <w:szCs w:val="18"/>
                <w:color w:val="auto"/>
              </w:rPr>
            </w:pPr>
          </w:p>
        </w:tc>
        <w:tc>
          <w:tcPr>
            <w:tcW w:w="6680" w:type="dxa"/>
            <w:vAlign w:val="bottom"/>
            <w:shd w:val="clear" w:color="auto" w:fill="EDF0FC"/>
          </w:tcPr>
          <w:p>
            <w:pPr>
              <w:ind w:left="20"/>
              <w:spacing w:after="0"/>
              <w:rPr>
                <w:sz w:val="20"/>
                <w:szCs w:val="20"/>
                <w:color w:val="auto"/>
              </w:rPr>
            </w:pPr>
            <w:r>
              <w:rPr>
                <w:rFonts w:ascii="Arial" w:cs="Arial" w:eastAsia="Arial" w:hAnsi="Arial"/>
                <w:sz w:val="16"/>
                <w:szCs w:val="16"/>
                <w:color w:val="auto"/>
              </w:rPr>
              <w:t>a cumulative, three-year basis to align with our strategic planning</w:t>
            </w:r>
          </w:p>
        </w:tc>
        <w:tc>
          <w:tcPr>
            <w:tcW w:w="0" w:type="dxa"/>
            <w:vAlign w:val="bottom"/>
          </w:tcPr>
          <w:p>
            <w:pPr>
              <w:spacing w:after="0"/>
              <w:rPr>
                <w:sz w:val="1"/>
                <w:szCs w:val="1"/>
                <w:color w:val="auto"/>
              </w:rPr>
            </w:pPr>
          </w:p>
        </w:tc>
      </w:tr>
      <w:tr>
        <w:trPr>
          <w:trHeight w:val="217"/>
        </w:trPr>
        <w:tc>
          <w:tcPr>
            <w:tcW w:w="1620" w:type="dxa"/>
            <w:vAlign w:val="bottom"/>
            <w:shd w:val="clear" w:color="auto" w:fill="EDF0FC"/>
          </w:tcPr>
          <w:p>
            <w:pPr>
              <w:ind w:left="80"/>
              <w:spacing w:after="0"/>
              <w:rPr>
                <w:sz w:val="20"/>
                <w:szCs w:val="20"/>
                <w:color w:val="auto"/>
              </w:rPr>
            </w:pPr>
            <w:r>
              <w:rPr>
                <w:rFonts w:ascii="Arial" w:cs="Arial" w:eastAsia="Arial" w:hAnsi="Arial"/>
                <w:sz w:val="16"/>
                <w:szCs w:val="16"/>
                <w:b w:val="1"/>
                <w:bCs w:val="1"/>
                <w:color w:val="1A3FD6"/>
              </w:rPr>
              <w:t>Term Incentive</w:t>
            </w:r>
          </w:p>
        </w:tc>
        <w:tc>
          <w:tcPr>
            <w:tcW w:w="2940" w:type="dxa"/>
            <w:vAlign w:val="bottom"/>
            <w:shd w:val="clear" w:color="auto" w:fill="EDF0FC"/>
          </w:tcPr>
          <w:p>
            <w:pPr>
              <w:spacing w:after="0"/>
              <w:rPr>
                <w:sz w:val="18"/>
                <w:szCs w:val="18"/>
                <w:color w:val="auto"/>
              </w:rPr>
            </w:pPr>
          </w:p>
        </w:tc>
        <w:tc>
          <w:tcPr>
            <w:tcW w:w="6680" w:type="dxa"/>
            <w:vAlign w:val="bottom"/>
            <w:shd w:val="clear" w:color="auto" w:fill="ED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620" w:type="dxa"/>
            <w:vAlign w:val="bottom"/>
            <w:shd w:val="clear" w:color="auto" w:fill="EDF0FC"/>
          </w:tcPr>
          <w:p>
            <w:pPr>
              <w:ind w:left="80"/>
              <w:spacing w:after="0"/>
              <w:rPr>
                <w:sz w:val="20"/>
                <w:szCs w:val="20"/>
                <w:color w:val="auto"/>
              </w:rPr>
            </w:pPr>
            <w:r>
              <w:rPr>
                <w:rFonts w:ascii="Arial" w:cs="Arial" w:eastAsia="Arial" w:hAnsi="Arial"/>
                <w:sz w:val="16"/>
                <w:szCs w:val="16"/>
                <w:b w:val="1"/>
                <w:bCs w:val="1"/>
                <w:color w:val="1A3FD6"/>
              </w:rPr>
              <w:t>Program</w:t>
            </w:r>
          </w:p>
        </w:tc>
        <w:tc>
          <w:tcPr>
            <w:tcW w:w="294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auto"/>
              </w:rPr>
              <w:t>Adjusted EPS</w:t>
            </w:r>
            <w:r>
              <w:rPr>
                <w:rFonts w:ascii="Arial" w:cs="Arial" w:eastAsia="Arial" w:hAnsi="Arial"/>
                <w:sz w:val="21"/>
                <w:szCs w:val="21"/>
                <w:b w:val="1"/>
                <w:bCs w:val="1"/>
                <w:color w:val="auto"/>
                <w:vertAlign w:val="superscript"/>
              </w:rPr>
              <w:t>(1)</w:t>
            </w:r>
          </w:p>
        </w:tc>
        <w:tc>
          <w:tcPr>
            <w:tcW w:w="6680" w:type="dxa"/>
            <w:vAlign w:val="bottom"/>
            <w:shd w:val="clear" w:color="auto" w:fill="EDF0FC"/>
          </w:tcPr>
          <w:p>
            <w:pPr>
              <w:ind w:left="20"/>
              <w:spacing w:after="0"/>
              <w:rPr>
                <w:sz w:val="20"/>
                <w:szCs w:val="20"/>
                <w:color w:val="auto"/>
              </w:rPr>
            </w:pPr>
            <w:r>
              <w:rPr>
                <w:rFonts w:ascii="Arial" w:cs="Arial" w:eastAsia="Arial" w:hAnsi="Arial"/>
                <w:sz w:val="16"/>
                <w:szCs w:val="16"/>
                <w:color w:val="auto"/>
              </w:rPr>
              <w:t>Measures profitability on a per-share basis, including by adjusting for the after-tax impact</w:t>
            </w:r>
          </w:p>
        </w:tc>
        <w:tc>
          <w:tcPr>
            <w:tcW w:w="0" w:type="dxa"/>
            <w:vAlign w:val="bottom"/>
          </w:tcPr>
          <w:p>
            <w:pPr>
              <w:spacing w:after="0"/>
              <w:rPr>
                <w:sz w:val="1"/>
                <w:szCs w:val="1"/>
                <w:color w:val="auto"/>
              </w:rPr>
            </w:pPr>
          </w:p>
        </w:tc>
      </w:tr>
      <w:tr>
        <w:trPr>
          <w:trHeight w:val="215"/>
        </w:trPr>
        <w:tc>
          <w:tcPr>
            <w:tcW w:w="1620" w:type="dxa"/>
            <w:vAlign w:val="bottom"/>
            <w:shd w:val="clear" w:color="auto" w:fill="EDF0FC"/>
          </w:tcPr>
          <w:p>
            <w:pPr>
              <w:spacing w:after="0"/>
              <w:rPr>
                <w:sz w:val="18"/>
                <w:szCs w:val="18"/>
                <w:color w:val="auto"/>
              </w:rPr>
            </w:pPr>
          </w:p>
        </w:tc>
        <w:tc>
          <w:tcPr>
            <w:tcW w:w="2940" w:type="dxa"/>
            <w:vAlign w:val="bottom"/>
            <w:shd w:val="clear" w:color="auto" w:fill="EDF0FC"/>
          </w:tcPr>
          <w:p>
            <w:pPr>
              <w:spacing w:after="0"/>
              <w:rPr>
                <w:sz w:val="18"/>
                <w:szCs w:val="18"/>
                <w:color w:val="auto"/>
              </w:rPr>
            </w:pPr>
          </w:p>
        </w:tc>
        <w:tc>
          <w:tcPr>
            <w:tcW w:w="6680" w:type="dxa"/>
            <w:vAlign w:val="bottom"/>
            <w:shd w:val="clear" w:color="auto" w:fill="EDF0FC"/>
          </w:tcPr>
          <w:p>
            <w:pPr>
              <w:ind w:left="20"/>
              <w:spacing w:after="0"/>
              <w:rPr>
                <w:sz w:val="20"/>
                <w:szCs w:val="20"/>
                <w:color w:val="auto"/>
              </w:rPr>
            </w:pPr>
            <w:r>
              <w:rPr>
                <w:rFonts w:ascii="Arial" w:cs="Arial" w:eastAsia="Arial" w:hAnsi="Arial"/>
                <w:sz w:val="16"/>
                <w:szCs w:val="16"/>
                <w:color w:val="auto"/>
              </w:rPr>
              <w:t>of significant one-time, unusual or non-recurring items; for the LTIP, measured over a</w:t>
            </w:r>
          </w:p>
        </w:tc>
        <w:tc>
          <w:tcPr>
            <w:tcW w:w="0" w:type="dxa"/>
            <w:vAlign w:val="bottom"/>
          </w:tcPr>
          <w:p>
            <w:pPr>
              <w:spacing w:after="0"/>
              <w:rPr>
                <w:sz w:val="1"/>
                <w:szCs w:val="1"/>
                <w:color w:val="auto"/>
              </w:rPr>
            </w:pPr>
          </w:p>
        </w:tc>
      </w:tr>
      <w:tr>
        <w:trPr>
          <w:trHeight w:val="204"/>
        </w:trPr>
        <w:tc>
          <w:tcPr>
            <w:tcW w:w="1620" w:type="dxa"/>
            <w:vAlign w:val="bottom"/>
            <w:shd w:val="clear" w:color="auto" w:fill="EDF0FC"/>
          </w:tcPr>
          <w:p>
            <w:pPr>
              <w:spacing w:after="0"/>
              <w:rPr>
                <w:sz w:val="17"/>
                <w:szCs w:val="17"/>
                <w:color w:val="auto"/>
              </w:rPr>
            </w:pPr>
          </w:p>
        </w:tc>
        <w:tc>
          <w:tcPr>
            <w:tcW w:w="2940" w:type="dxa"/>
            <w:vAlign w:val="bottom"/>
            <w:shd w:val="clear" w:color="auto" w:fill="EDF0FC"/>
          </w:tcPr>
          <w:p>
            <w:pPr>
              <w:spacing w:after="0"/>
              <w:rPr>
                <w:sz w:val="17"/>
                <w:szCs w:val="17"/>
                <w:color w:val="auto"/>
              </w:rPr>
            </w:pPr>
          </w:p>
        </w:tc>
        <w:tc>
          <w:tcPr>
            <w:tcW w:w="6680" w:type="dxa"/>
            <w:vAlign w:val="bottom"/>
            <w:shd w:val="clear" w:color="auto" w:fill="EDF0FC"/>
          </w:tcPr>
          <w:p>
            <w:pPr>
              <w:ind w:left="20"/>
              <w:spacing w:after="0"/>
              <w:rPr>
                <w:sz w:val="20"/>
                <w:szCs w:val="20"/>
                <w:color w:val="auto"/>
              </w:rPr>
            </w:pPr>
            <w:r>
              <w:rPr>
                <w:rFonts w:ascii="Arial" w:cs="Arial" w:eastAsia="Arial" w:hAnsi="Arial"/>
                <w:sz w:val="16"/>
                <w:szCs w:val="16"/>
                <w:color w:val="auto"/>
              </w:rPr>
              <w:t>cumulative, three-year basis to align with our strategic planning; encourages a focus on</w:t>
            </w:r>
          </w:p>
        </w:tc>
        <w:tc>
          <w:tcPr>
            <w:tcW w:w="0" w:type="dxa"/>
            <w:vAlign w:val="bottom"/>
          </w:tcPr>
          <w:p>
            <w:pPr>
              <w:spacing w:after="0"/>
              <w:rPr>
                <w:sz w:val="1"/>
                <w:szCs w:val="1"/>
                <w:color w:val="auto"/>
              </w:rPr>
            </w:pPr>
          </w:p>
        </w:tc>
      </w:tr>
      <w:tr>
        <w:trPr>
          <w:trHeight w:val="215"/>
        </w:trPr>
        <w:tc>
          <w:tcPr>
            <w:tcW w:w="1620" w:type="dxa"/>
            <w:vAlign w:val="bottom"/>
            <w:shd w:val="clear" w:color="auto" w:fill="EDF0FC"/>
          </w:tcPr>
          <w:p>
            <w:pPr>
              <w:spacing w:after="0"/>
              <w:rPr>
                <w:sz w:val="18"/>
                <w:szCs w:val="18"/>
                <w:color w:val="auto"/>
              </w:rPr>
            </w:pPr>
          </w:p>
        </w:tc>
        <w:tc>
          <w:tcPr>
            <w:tcW w:w="2940" w:type="dxa"/>
            <w:vAlign w:val="bottom"/>
            <w:shd w:val="clear" w:color="auto" w:fill="EDF0FC"/>
          </w:tcPr>
          <w:p>
            <w:pPr>
              <w:spacing w:after="0"/>
              <w:rPr>
                <w:sz w:val="18"/>
                <w:szCs w:val="18"/>
                <w:color w:val="auto"/>
              </w:rPr>
            </w:pPr>
          </w:p>
        </w:tc>
        <w:tc>
          <w:tcPr>
            <w:tcW w:w="6680" w:type="dxa"/>
            <w:vAlign w:val="bottom"/>
            <w:shd w:val="clear" w:color="auto" w:fill="EDF0FC"/>
          </w:tcPr>
          <w:p>
            <w:pPr>
              <w:ind w:left="20"/>
              <w:spacing w:after="0"/>
              <w:rPr>
                <w:sz w:val="20"/>
                <w:szCs w:val="20"/>
                <w:color w:val="auto"/>
              </w:rPr>
            </w:pPr>
            <w:r>
              <w:rPr>
                <w:rFonts w:ascii="Arial" w:cs="Arial" w:eastAsia="Arial" w:hAnsi="Arial"/>
                <w:sz w:val="16"/>
                <w:szCs w:val="16"/>
                <w:color w:val="auto"/>
              </w:rPr>
              <w:t>profitability and expense management</w:t>
            </w:r>
          </w:p>
        </w:tc>
        <w:tc>
          <w:tcPr>
            <w:tcW w:w="0" w:type="dxa"/>
            <w:vAlign w:val="bottom"/>
          </w:tcPr>
          <w:p>
            <w:pPr>
              <w:spacing w:after="0"/>
              <w:rPr>
                <w:sz w:val="1"/>
                <w:szCs w:val="1"/>
                <w:color w:val="auto"/>
              </w:rPr>
            </w:pPr>
          </w:p>
        </w:tc>
      </w:tr>
      <w:tr>
        <w:trPr>
          <w:trHeight w:val="285"/>
        </w:trPr>
        <w:tc>
          <w:tcPr>
            <w:tcW w:w="1620" w:type="dxa"/>
            <w:vAlign w:val="bottom"/>
            <w:shd w:val="clear" w:color="auto" w:fill="EDF0FC"/>
          </w:tcPr>
          <w:p>
            <w:pPr>
              <w:spacing w:after="0"/>
              <w:rPr>
                <w:sz w:val="24"/>
                <w:szCs w:val="24"/>
                <w:color w:val="auto"/>
              </w:rPr>
            </w:pPr>
          </w:p>
        </w:tc>
        <w:tc>
          <w:tcPr>
            <w:tcW w:w="2940" w:type="dxa"/>
            <w:vAlign w:val="bottom"/>
            <w:shd w:val="clear" w:color="auto" w:fill="EDF0FC"/>
          </w:tcPr>
          <w:p>
            <w:pPr>
              <w:spacing w:after="0"/>
              <w:rPr>
                <w:sz w:val="24"/>
                <w:szCs w:val="24"/>
                <w:color w:val="auto"/>
              </w:rPr>
            </w:pPr>
          </w:p>
        </w:tc>
        <w:tc>
          <w:tcPr>
            <w:tcW w:w="6680" w:type="dxa"/>
            <w:vAlign w:val="bottom"/>
            <w:shd w:val="clear" w:color="auto" w:fill="EDF0FC"/>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620" w:type="dxa"/>
            <w:vAlign w:val="bottom"/>
          </w:tcPr>
          <w:p>
            <w:pPr>
              <w:ind w:left="80"/>
              <w:spacing w:after="0"/>
              <w:rPr>
                <w:sz w:val="20"/>
                <w:szCs w:val="20"/>
                <w:color w:val="auto"/>
              </w:rPr>
            </w:pPr>
            <w:r>
              <w:rPr>
                <w:rFonts w:ascii="Arial" w:cs="Arial" w:eastAsia="Arial" w:hAnsi="Arial"/>
                <w:sz w:val="16"/>
                <w:szCs w:val="16"/>
                <w:b w:val="1"/>
                <w:bCs w:val="1"/>
                <w:color w:val="1A3FD6"/>
              </w:rPr>
              <w:t>Annual Incentive</w:t>
            </w:r>
          </w:p>
        </w:tc>
        <w:tc>
          <w:tcPr>
            <w:tcW w:w="2940" w:type="dxa"/>
            <w:vAlign w:val="bottom"/>
          </w:tcPr>
          <w:p>
            <w:pPr>
              <w:ind w:left="20"/>
              <w:spacing w:after="0"/>
              <w:rPr>
                <w:sz w:val="20"/>
                <w:szCs w:val="20"/>
                <w:color w:val="auto"/>
              </w:rPr>
            </w:pPr>
            <w:r>
              <w:rPr>
                <w:rFonts w:ascii="Arial" w:cs="Arial" w:eastAsia="Arial" w:hAnsi="Arial"/>
                <w:sz w:val="16"/>
                <w:szCs w:val="16"/>
                <w:b w:val="1"/>
                <w:bCs w:val="1"/>
                <w:color w:val="auto"/>
              </w:rPr>
              <w:t>Total Net Sales</w:t>
            </w:r>
          </w:p>
        </w:tc>
        <w:tc>
          <w:tcPr>
            <w:tcW w:w="6680" w:type="dxa"/>
            <w:vAlign w:val="bottom"/>
          </w:tcPr>
          <w:p>
            <w:pPr>
              <w:ind w:left="20"/>
              <w:spacing w:after="0"/>
              <w:rPr>
                <w:sz w:val="20"/>
                <w:szCs w:val="20"/>
                <w:color w:val="auto"/>
              </w:rPr>
            </w:pPr>
            <w:r>
              <w:rPr>
                <w:rFonts w:ascii="Arial" w:cs="Arial" w:eastAsia="Arial" w:hAnsi="Arial"/>
                <w:sz w:val="16"/>
                <w:szCs w:val="16"/>
                <w:color w:val="auto"/>
              </w:rPr>
              <w:t>Represents the amount of new sales net of cancellations</w:t>
            </w:r>
          </w:p>
        </w:tc>
        <w:tc>
          <w:tcPr>
            <w:tcW w:w="0" w:type="dxa"/>
            <w:vAlign w:val="bottom"/>
          </w:tcPr>
          <w:p>
            <w:pPr>
              <w:spacing w:after="0"/>
              <w:rPr>
                <w:sz w:val="1"/>
                <w:szCs w:val="1"/>
                <w:color w:val="auto"/>
              </w:rPr>
            </w:pPr>
          </w:p>
        </w:tc>
      </w:tr>
      <w:tr>
        <w:trPr>
          <w:trHeight w:val="223"/>
        </w:trPr>
        <w:tc>
          <w:tcPr>
            <w:tcW w:w="1620" w:type="dxa"/>
            <w:vAlign w:val="bottom"/>
          </w:tcPr>
          <w:p>
            <w:pPr>
              <w:ind w:left="80"/>
              <w:spacing w:after="0"/>
              <w:rPr>
                <w:sz w:val="20"/>
                <w:szCs w:val="20"/>
                <w:color w:val="auto"/>
              </w:rPr>
            </w:pPr>
            <w:r>
              <w:rPr>
                <w:rFonts w:ascii="Arial" w:cs="Arial" w:eastAsia="Arial" w:hAnsi="Arial"/>
                <w:sz w:val="16"/>
                <w:szCs w:val="16"/>
                <w:b w:val="1"/>
                <w:bCs w:val="1"/>
                <w:color w:val="1A3FD6"/>
              </w:rPr>
              <w:t>Plan Only</w:t>
            </w:r>
          </w:p>
        </w:tc>
        <w:tc>
          <w:tcPr>
            <w:tcW w:w="2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Free Cash Flow</w:t>
            </w:r>
            <w:r>
              <w:rPr>
                <w:rFonts w:ascii="Arial" w:cs="Arial" w:eastAsia="Arial" w:hAnsi="Arial"/>
                <w:sz w:val="21"/>
                <w:szCs w:val="21"/>
                <w:b w:val="1"/>
                <w:bCs w:val="1"/>
                <w:color w:val="auto"/>
                <w:vertAlign w:val="superscript"/>
              </w:rPr>
              <w:t>(1)</w:t>
            </w:r>
          </w:p>
        </w:tc>
        <w:tc>
          <w:tcPr>
            <w:tcW w:w="6680" w:type="dxa"/>
            <w:vAlign w:val="bottom"/>
            <w:vMerge w:val="restart"/>
          </w:tcPr>
          <w:p>
            <w:pPr>
              <w:ind w:left="20"/>
              <w:spacing w:after="0"/>
              <w:rPr>
                <w:sz w:val="20"/>
                <w:szCs w:val="20"/>
                <w:color w:val="auto"/>
              </w:rPr>
            </w:pPr>
            <w:r>
              <w:rPr>
                <w:rFonts w:ascii="Arial" w:cs="Arial" w:eastAsia="Arial" w:hAnsi="Arial"/>
                <w:sz w:val="16"/>
                <w:szCs w:val="16"/>
                <w:color w:val="auto"/>
              </w:rPr>
              <w:t>Monitors cash flow generation and measures cash after capital investments</w:t>
            </w: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2940" w:type="dxa"/>
            <w:vAlign w:val="bottom"/>
            <w:vMerge w:val="continue"/>
          </w:tcPr>
          <w:p>
            <w:pPr>
              <w:spacing w:after="0"/>
              <w:rPr>
                <w:sz w:val="15"/>
                <w:szCs w:val="15"/>
                <w:color w:val="auto"/>
              </w:rPr>
            </w:pPr>
          </w:p>
        </w:tc>
        <w:tc>
          <w:tcPr>
            <w:tcW w:w="6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6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620" w:type="dxa"/>
            <w:vAlign w:val="bottom"/>
            <w:shd w:val="clear" w:color="auto" w:fill="EDF0FC"/>
          </w:tcPr>
          <w:p>
            <w:pPr>
              <w:ind w:left="80"/>
              <w:spacing w:after="0"/>
              <w:rPr>
                <w:sz w:val="20"/>
                <w:szCs w:val="20"/>
                <w:color w:val="auto"/>
              </w:rPr>
            </w:pPr>
            <w:r>
              <w:rPr>
                <w:rFonts w:ascii="Arial" w:cs="Arial" w:eastAsia="Arial" w:hAnsi="Arial"/>
                <w:sz w:val="16"/>
                <w:szCs w:val="16"/>
                <w:b w:val="1"/>
                <w:bCs w:val="1"/>
                <w:color w:val="1A3FD6"/>
              </w:rPr>
              <w:t>Long-Term</w:t>
            </w:r>
          </w:p>
        </w:tc>
        <w:tc>
          <w:tcPr>
            <w:tcW w:w="294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auto"/>
              </w:rPr>
              <w:t>TSR CAGR</w:t>
            </w:r>
          </w:p>
        </w:tc>
        <w:tc>
          <w:tcPr>
            <w:tcW w:w="6680" w:type="dxa"/>
            <w:vAlign w:val="bottom"/>
            <w:shd w:val="clear" w:color="auto" w:fill="EDF0FC"/>
          </w:tcPr>
          <w:p>
            <w:pPr>
              <w:ind w:left="20"/>
              <w:spacing w:after="0"/>
              <w:rPr>
                <w:sz w:val="20"/>
                <w:szCs w:val="20"/>
                <w:color w:val="auto"/>
              </w:rPr>
            </w:pPr>
            <w:r>
              <w:rPr>
                <w:rFonts w:ascii="Arial" w:cs="Arial" w:eastAsia="Arial" w:hAnsi="Arial"/>
                <w:sz w:val="16"/>
                <w:szCs w:val="16"/>
                <w:color w:val="auto"/>
              </w:rPr>
              <w:t>Measures total company achievement of shareholder returns and encourages sustained</w:t>
            </w:r>
          </w:p>
        </w:tc>
        <w:tc>
          <w:tcPr>
            <w:tcW w:w="0" w:type="dxa"/>
            <w:vAlign w:val="bottom"/>
          </w:tcPr>
          <w:p>
            <w:pPr>
              <w:spacing w:after="0"/>
              <w:rPr>
                <w:sz w:val="1"/>
                <w:szCs w:val="1"/>
                <w:color w:val="auto"/>
              </w:rPr>
            </w:pPr>
          </w:p>
        </w:tc>
      </w:tr>
      <w:tr>
        <w:trPr>
          <w:trHeight w:val="216"/>
        </w:trPr>
        <w:tc>
          <w:tcPr>
            <w:tcW w:w="1620" w:type="dxa"/>
            <w:vAlign w:val="bottom"/>
            <w:shd w:val="clear" w:color="auto" w:fill="EDF0FC"/>
          </w:tcPr>
          <w:p>
            <w:pPr>
              <w:ind w:left="80"/>
              <w:spacing w:after="0"/>
              <w:rPr>
                <w:sz w:val="20"/>
                <w:szCs w:val="20"/>
                <w:color w:val="auto"/>
              </w:rPr>
            </w:pPr>
            <w:r>
              <w:rPr>
                <w:rFonts w:ascii="Arial" w:cs="Arial" w:eastAsia="Arial" w:hAnsi="Arial"/>
                <w:sz w:val="16"/>
                <w:szCs w:val="16"/>
                <w:b w:val="1"/>
                <w:bCs w:val="1"/>
                <w:color w:val="1A3FD6"/>
              </w:rPr>
              <w:t>Incentive Program</w:t>
            </w:r>
          </w:p>
        </w:tc>
        <w:tc>
          <w:tcPr>
            <w:tcW w:w="2940" w:type="dxa"/>
            <w:vAlign w:val="bottom"/>
            <w:shd w:val="clear" w:color="auto" w:fill="EDF0FC"/>
          </w:tcPr>
          <w:p>
            <w:pPr>
              <w:spacing w:after="0"/>
              <w:rPr>
                <w:sz w:val="18"/>
                <w:szCs w:val="18"/>
                <w:color w:val="auto"/>
              </w:rPr>
            </w:pPr>
          </w:p>
        </w:tc>
        <w:tc>
          <w:tcPr>
            <w:tcW w:w="6680" w:type="dxa"/>
            <w:vAlign w:val="bottom"/>
            <w:shd w:val="clear" w:color="auto" w:fill="EDF0FC"/>
          </w:tcPr>
          <w:p>
            <w:pPr>
              <w:ind w:left="20"/>
              <w:spacing w:after="0"/>
              <w:rPr>
                <w:sz w:val="20"/>
                <w:szCs w:val="20"/>
                <w:color w:val="auto"/>
              </w:rPr>
            </w:pPr>
            <w:r>
              <w:rPr>
                <w:rFonts w:ascii="Arial" w:cs="Arial" w:eastAsia="Arial" w:hAnsi="Arial"/>
                <w:sz w:val="16"/>
                <w:szCs w:val="16"/>
                <w:color w:val="auto"/>
              </w:rPr>
              <w:t>value creation</w:t>
            </w:r>
          </w:p>
        </w:tc>
        <w:tc>
          <w:tcPr>
            <w:tcW w:w="0" w:type="dxa"/>
            <w:vAlign w:val="bottom"/>
          </w:tcPr>
          <w:p>
            <w:pPr>
              <w:spacing w:after="0"/>
              <w:rPr>
                <w:sz w:val="1"/>
                <w:szCs w:val="1"/>
                <w:color w:val="auto"/>
              </w:rPr>
            </w:pPr>
          </w:p>
        </w:tc>
      </w:tr>
      <w:tr>
        <w:trPr>
          <w:trHeight w:val="223"/>
        </w:trPr>
        <w:tc>
          <w:tcPr>
            <w:tcW w:w="1620" w:type="dxa"/>
            <w:vAlign w:val="bottom"/>
            <w:shd w:val="clear" w:color="auto" w:fill="EDF0FC"/>
          </w:tcPr>
          <w:p>
            <w:pPr>
              <w:ind w:left="80"/>
              <w:spacing w:after="0"/>
              <w:rPr>
                <w:sz w:val="20"/>
                <w:szCs w:val="20"/>
                <w:color w:val="auto"/>
              </w:rPr>
            </w:pPr>
            <w:r>
              <w:rPr>
                <w:rFonts w:ascii="Arial" w:cs="Arial" w:eastAsia="Arial" w:hAnsi="Arial"/>
                <w:sz w:val="16"/>
                <w:szCs w:val="16"/>
                <w:b w:val="1"/>
                <w:bCs w:val="1"/>
                <w:color w:val="1A3FD6"/>
              </w:rPr>
              <w:t>Only</w:t>
            </w:r>
          </w:p>
        </w:tc>
        <w:tc>
          <w:tcPr>
            <w:tcW w:w="2940" w:type="dxa"/>
            <w:vAlign w:val="bottom"/>
            <w:shd w:val="clear" w:color="auto" w:fill="EDF0FC"/>
          </w:tcPr>
          <w:p>
            <w:pPr>
              <w:spacing w:after="0"/>
              <w:rPr>
                <w:sz w:val="19"/>
                <w:szCs w:val="19"/>
                <w:color w:val="auto"/>
              </w:rPr>
            </w:pPr>
          </w:p>
        </w:tc>
        <w:tc>
          <w:tcPr>
            <w:tcW w:w="6680" w:type="dxa"/>
            <w:vAlign w:val="bottom"/>
            <w:shd w:val="clear" w:color="auto" w:fill="EDF0FC"/>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1620" w:type="dxa"/>
            <w:vAlign w:val="bottom"/>
            <w:tcBorders>
              <w:bottom w:val="single" w:sz="8" w:color="auto"/>
            </w:tcBorders>
            <w:shd w:val="clear" w:color="auto" w:fill="EDF0FC"/>
          </w:tcPr>
          <w:p>
            <w:pPr>
              <w:spacing w:after="0"/>
              <w:rPr>
                <w:sz w:val="7"/>
                <w:szCs w:val="7"/>
                <w:color w:val="auto"/>
              </w:rPr>
            </w:pPr>
          </w:p>
        </w:tc>
        <w:tc>
          <w:tcPr>
            <w:tcW w:w="2940" w:type="dxa"/>
            <w:vAlign w:val="bottom"/>
            <w:tcBorders>
              <w:bottom w:val="single" w:sz="8" w:color="auto"/>
            </w:tcBorders>
            <w:shd w:val="clear" w:color="auto" w:fill="EDF0FC"/>
          </w:tcPr>
          <w:p>
            <w:pPr>
              <w:spacing w:after="0"/>
              <w:rPr>
                <w:sz w:val="7"/>
                <w:szCs w:val="7"/>
                <w:color w:val="auto"/>
              </w:rPr>
            </w:pPr>
          </w:p>
        </w:tc>
        <w:tc>
          <w:tcPr>
            <w:tcW w:w="6680" w:type="dxa"/>
            <w:vAlign w:val="bottom"/>
            <w:tcBorders>
              <w:bottom w:val="single" w:sz="8" w:color="auto"/>
            </w:tcBorders>
            <w:shd w:val="clear" w:color="auto" w:fill="EDF0FC"/>
          </w:tcPr>
          <w:p>
            <w:pPr>
              <w:spacing w:after="0"/>
              <w:rPr>
                <w:sz w:val="7"/>
                <w:szCs w:val="7"/>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9"/>
          <w:szCs w:val="19"/>
          <w:color w:val="auto"/>
          <w:vertAlign w:val="superscript"/>
        </w:rPr>
      </w:pPr>
      <w:r>
        <w:rPr>
          <w:rFonts w:ascii="Arial" w:cs="Arial" w:eastAsia="Arial" w:hAnsi="Arial"/>
          <w:sz w:val="14"/>
          <w:szCs w:val="14"/>
          <w:color w:val="auto"/>
        </w:rPr>
        <w:t>See Annex B for definitions and reconciliations of all non-GAAP financial measures referenced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746760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8420"/>
              <w:spacing w:after="0"/>
              <w:rPr>
                <w:sz w:val="20"/>
                <w:szCs w:val="20"/>
                <w:color w:val="auto"/>
              </w:rPr>
            </w:pPr>
            <w:r>
              <w:rPr>
                <w:rFonts w:ascii="Arial" w:cs="Arial" w:eastAsia="Arial" w:hAnsi="Arial"/>
                <w:sz w:val="14"/>
                <w:szCs w:val="14"/>
                <w:b w:val="1"/>
                <w:bCs w:val="1"/>
                <w:color w:val="1A3FD6"/>
              </w:rPr>
              <w:t>Compensation Matters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63</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3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2024 Pay Mix</w:t>
      </w:r>
    </w:p>
    <w:p>
      <w:pPr>
        <w:spacing w:after="0" w:line="7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Our executive compensation philosophy provides our NEOs with the opportunity to earn a significant portion of their compensation in the form of variable incentive compensation (i.e., annual cash incentive awards under our AIP and long-term equity incentive awards under our LTIP), with the remaining portion of their total compensation as their base salary. This emphasis on variable incentive compensation is illustrated in the following pay mix charts:</w:t>
      </w:r>
    </w:p>
    <w:p>
      <w:pPr>
        <w:spacing w:after="0" w:line="164"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20"/>
          <w:szCs w:val="20"/>
          <w:color w:val="1A3FD6"/>
        </w:rPr>
        <w:t>2024 CEO</w:t>
      </w:r>
      <w:r>
        <w:rPr>
          <w:sz w:val="20"/>
          <w:szCs w:val="20"/>
          <w:color w:val="auto"/>
        </w:rPr>
        <w:tab/>
      </w:r>
      <w:r>
        <w:rPr>
          <w:rFonts w:ascii="Arial" w:cs="Arial" w:eastAsia="Arial" w:hAnsi="Arial"/>
          <w:sz w:val="19"/>
          <w:szCs w:val="19"/>
          <w:color w:val="1A3FD6"/>
        </w:rPr>
        <w:t>2024 Average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054850" cy="15944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054850"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840"/>
        <w:spacing w:after="0" w:line="268" w:lineRule="auto"/>
        <w:rPr>
          <w:sz w:val="20"/>
          <w:szCs w:val="20"/>
          <w:color w:val="auto"/>
        </w:rPr>
      </w:pPr>
      <w:r>
        <w:rPr>
          <w:rFonts w:ascii="Arial" w:cs="Arial" w:eastAsia="Arial" w:hAnsi="Arial"/>
          <w:sz w:val="16"/>
          <w:szCs w:val="16"/>
          <w:color w:val="auto"/>
        </w:rPr>
        <w:t>For fiscal year 2024, 93% of our CEO’s total compensation was variable incentive compensation and 87% of the average of our other NEOs’ total compensation was variable incentive compensation.</w:t>
      </w:r>
    </w:p>
    <w:p>
      <w:pPr>
        <w:spacing w:after="0" w:line="42"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Executive Compensation Practices</w:t>
      </w:r>
    </w:p>
    <w:p>
      <w:pPr>
        <w:spacing w:after="0" w:line="78"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Our executive compensation practices incorporate the following corporate governance best practices that protect the interests of our shareholders and are consistent with high standards of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26917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269176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p>
      <w:pPr>
        <w:spacing w:after="0" w:line="264"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WHAT WE DO</w:t>
      </w:r>
    </w:p>
    <w:p>
      <w:pPr>
        <w:spacing w:after="0" w:line="3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Emphasize variable compensation</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Provide formula-based annual cash incentive</w:t>
      </w:r>
    </w:p>
    <w:p>
      <w:pPr>
        <w:spacing w:after="0" w:line="73" w:lineRule="exact"/>
        <w:rPr>
          <w:sz w:val="20"/>
          <w:szCs w:val="20"/>
          <w:color w:val="auto"/>
        </w:rPr>
      </w:pPr>
    </w:p>
    <w:p>
      <w:pPr>
        <w:ind w:left="360" w:right="580"/>
        <w:spacing w:after="0" w:line="286" w:lineRule="auto"/>
        <w:rPr>
          <w:sz w:val="20"/>
          <w:szCs w:val="20"/>
          <w:color w:val="auto"/>
        </w:rPr>
      </w:pPr>
      <w:r>
        <w:rPr>
          <w:rFonts w:ascii="Arial" w:cs="Arial" w:eastAsia="Arial" w:hAnsi="Arial"/>
          <w:sz w:val="16"/>
          <w:szCs w:val="16"/>
          <w:color w:val="auto"/>
        </w:rPr>
        <w:t>Subject equity awards to rigorous service- and performance-vesting requirements</w:t>
      </w:r>
    </w:p>
    <w:p>
      <w:pPr>
        <w:spacing w:after="0" w:line="7" w:lineRule="exact"/>
        <w:rPr>
          <w:sz w:val="20"/>
          <w:szCs w:val="20"/>
          <w:color w:val="auto"/>
        </w:rPr>
      </w:pPr>
    </w:p>
    <w:p>
      <w:pPr>
        <w:jc w:val="both"/>
        <w:ind w:left="360"/>
        <w:spacing w:after="0" w:line="266" w:lineRule="auto"/>
        <w:rPr>
          <w:sz w:val="20"/>
          <w:szCs w:val="20"/>
          <w:color w:val="auto"/>
        </w:rPr>
      </w:pPr>
      <w:r>
        <w:rPr>
          <w:rFonts w:ascii="Arial" w:cs="Arial" w:eastAsia="Arial" w:hAnsi="Arial"/>
          <w:sz w:val="16"/>
          <w:szCs w:val="16"/>
          <w:color w:val="auto"/>
        </w:rPr>
        <w:t>Impose rigorous stock ownership guidelines and requirements on all of our NEOs and other Executive Committee members, with guidelines among the highest multiples of base salary in our peer group</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12x annual base salary for our CEO and our President and COO</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8x annual base salary for our other NEOs</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4x annual base salary for other Executive Committee members</w:t>
      </w:r>
    </w:p>
    <w:p>
      <w:pPr>
        <w:spacing w:after="0" w:line="73" w:lineRule="exact"/>
        <w:rPr>
          <w:sz w:val="20"/>
          <w:szCs w:val="20"/>
          <w:color w:val="auto"/>
        </w:rPr>
      </w:pPr>
    </w:p>
    <w:p>
      <w:pPr>
        <w:ind w:left="360" w:right="60" w:hanging="19"/>
        <w:spacing w:after="0" w:line="256" w:lineRule="auto"/>
        <w:rPr>
          <w:sz w:val="20"/>
          <w:szCs w:val="20"/>
          <w:color w:val="auto"/>
        </w:rPr>
      </w:pPr>
      <w:r>
        <w:rPr>
          <w:rFonts w:ascii="Arial" w:cs="Arial" w:eastAsia="Arial" w:hAnsi="Arial"/>
          <w:sz w:val="16"/>
          <w:szCs w:val="16"/>
          <w:color w:val="auto"/>
        </w:rPr>
        <w:t>Require members of our Executive Committee, including our NEOs, to hold shares equivalent, in the aggregate, to 25% of the net shares they receive (after payment of taxes, exercise price and related costs) from equity awards until they no longer serve on the Executive Committee, reflecting MSCI’s deep commitment to an “owner-operator”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1658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165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Maintain clawback policies for incentive based-compensation (cash and equity) with provisions that both comply with and extend beyond those required under Rule 10D-1, covering a broad range of detrimental conduct and financial restatements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Provide for double-trigger vesting upon a change in control</w:t>
      </w:r>
    </w:p>
    <w:p>
      <w:pPr>
        <w:spacing w:after="0" w:line="73"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Only pay dividend equivalents on PSUs if and when the underlying award vests</w:t>
      </w:r>
    </w:p>
    <w:p>
      <w:pPr>
        <w:spacing w:after="0" w:line="7" w:lineRule="exact"/>
        <w:rPr>
          <w:sz w:val="20"/>
          <w:szCs w:val="20"/>
          <w:color w:val="auto"/>
        </w:rPr>
      </w:pPr>
    </w:p>
    <w:p>
      <w:pPr>
        <w:ind w:right="460"/>
        <w:spacing w:after="0" w:line="257" w:lineRule="auto"/>
        <w:rPr>
          <w:sz w:val="20"/>
          <w:szCs w:val="20"/>
          <w:color w:val="auto"/>
        </w:rPr>
      </w:pPr>
      <w:r>
        <w:rPr>
          <w:rFonts w:ascii="Arial" w:cs="Arial" w:eastAsia="Arial" w:hAnsi="Arial"/>
          <w:sz w:val="16"/>
          <w:szCs w:val="16"/>
          <w:color w:val="auto"/>
        </w:rPr>
        <w:t>Make CEO’s and President and COO’s equity grants entirely in awards tied to performance metrics, to focus on long-term shareholder value creation</w:t>
      </w:r>
    </w:p>
    <w:p>
      <w:pPr>
        <w:spacing w:after="0" w:line="30"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Retain an independent compensation consultant at the direction of the Compensation Committee to, among other things, further develop an understanding of peer and best practices</w:t>
      </w:r>
    </w:p>
    <w:p>
      <w:pPr>
        <w:spacing w:after="0" w:line="23"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Incorporate into our AIP program individual goals for all Managing Directors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Engage with shareholders and incorporate feedback</w:t>
      </w:r>
    </w:p>
    <w:p>
      <w:pPr>
        <w:spacing w:after="0" w:line="200" w:lineRule="exact"/>
        <w:rPr>
          <w:sz w:val="20"/>
          <w:szCs w:val="20"/>
          <w:color w:val="auto"/>
        </w:rPr>
      </w:pPr>
    </w:p>
    <w:p>
      <w:pPr>
        <w:sectPr>
          <w:pgSz w:w="11900" w:h="16838" w:orient="portrait"/>
          <w:cols w:equalWidth="0" w:num="2">
            <w:col w:w="5780" w:space="500"/>
            <w:col w:w="4960"/>
          </w:cols>
          <w:pgMar w:left="320" w:top="167" w:right="339" w:bottom="1440" w:gutter="0" w:footer="0" w:header="0"/>
          <w:type w:val="continuous"/>
        </w:sectPr>
      </w:pPr>
    </w:p>
    <w:p>
      <w:pPr>
        <w:spacing w:after="0" w:line="129"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200660</wp:posOffset>
            </wp:positionV>
            <wp:extent cx="94615" cy="9398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clrChange>
                        <a:clrFrom>
                          <a:srgbClr val="000000"/>
                        </a:clrFrom>
                        <a:clrTo>
                          <a:srgbClr val="000000">
                            <a:alpha val="0"/>
                          </a:srgbClr>
                        </a:clrTo>
                      </a:clrChange>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200660</wp:posOffset>
            </wp:positionV>
            <wp:extent cx="94615" cy="9398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clrChange>
                        <a:clrFrom>
                          <a:srgbClr val="FFFFFF"/>
                        </a:clrFrom>
                        <a:clrTo>
                          <a:srgbClr val="FFFFFF">
                            <a:alpha val="0"/>
                          </a:srgbClr>
                        </a:clrTo>
                      </a:clrChange>
                      <a:extLst>
                        <a:ext uri="{28A0092B-C50C-407E-A947-70E740481C1C}"/>
                      </a:extLst>
                    </a:blip>
                    <a:srcRect/>
                    <a:stretch>
                      <a:fillRect/>
                    </a:stretch>
                  </pic:blipFill>
                  <pic:spPr bwMode="auto">
                    <a:xfrm>
                      <a:off x="0" y="0"/>
                      <a:ext cx="94615" cy="93980"/>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type w:val="continuous"/>
        </w:sectPr>
      </w:pPr>
    </w:p>
    <w:p>
      <w:pPr>
        <w:spacing w:after="0" w:line="34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Do not provide gross-ups to cover excise taxes</w:t>
      </w:r>
    </w:p>
    <w:p>
      <w:pPr>
        <w:spacing w:after="0" w:line="100" w:lineRule="exact"/>
        <w:rPr>
          <w:sz w:val="20"/>
          <w:szCs w:val="20"/>
          <w:color w:val="auto"/>
        </w:rPr>
      </w:pPr>
    </w:p>
    <w:p>
      <w:pPr>
        <w:ind w:left="360"/>
        <w:spacing w:after="0" w:line="259" w:lineRule="auto"/>
        <w:rPr>
          <w:sz w:val="20"/>
          <w:szCs w:val="20"/>
          <w:color w:val="auto"/>
        </w:rPr>
      </w:pPr>
      <w:r>
        <w:rPr>
          <w:rFonts w:ascii="Arial" w:cs="Arial" w:eastAsia="Arial" w:hAnsi="Arial"/>
          <w:sz w:val="16"/>
          <w:szCs w:val="16"/>
          <w:color w:val="auto"/>
        </w:rPr>
        <w:t>Do not allow any directors or employees, including all NEOs, to hedge or pledge our common stock, engage in short sales, purchases or sales of options, puts or calls, as well as derivatives such as swaps, forwards or futures or trade on a short-term basis in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760730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Do not allow repricing of options or stock appreciation rights awards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-3175</wp:posOffset>
            </wp:positionV>
            <wp:extent cx="94615" cy="946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clrChange>
                        <a:clrFrom>
                          <a:srgbClr val="000000"/>
                        </a:clrFrom>
                        <a:clrTo>
                          <a:srgbClr val="000000">
                            <a:alpha val="0"/>
                          </a:srgbClr>
                        </a:clrTo>
                      </a:clrChange>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-3175</wp:posOffset>
            </wp:positionV>
            <wp:extent cx="94615" cy="946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clrChange>
                        <a:clrFrom>
                          <a:srgbClr val="FFFFFF"/>
                        </a:clrFrom>
                        <a:clrTo>
                          <a:srgbClr val="FFFFFF">
                            <a:alpha val="0"/>
                          </a:srgbClr>
                        </a:clrTo>
                      </a:clrChange>
                      <a:extLst>
                        <a:ext uri="{28A0092B-C50C-407E-A947-70E740481C1C}"/>
                      </a:extLst>
                    </a:blip>
                    <a:srcRect/>
                    <a:stretch>
                      <a:fillRect/>
                    </a:stretch>
                  </pic:blipFill>
                  <pic:spPr bwMode="auto">
                    <a:xfrm>
                      <a:off x="0" y="0"/>
                      <a:ext cx="94615" cy="94615"/>
                    </a:xfrm>
                    <a:prstGeom prst="rect">
                      <a:avLst/>
                    </a:prstGeom>
                    <a:noFill/>
                  </pic:spPr>
                </pic:pic>
              </a:graphicData>
            </a:graphic>
          </wp:anchor>
        </w:drawing>
      </w:r>
    </w:p>
    <w:p>
      <w:pPr>
        <w:spacing w:after="0" w:line="14" w:lineRule="exact"/>
        <w:rPr>
          <w:sz w:val="20"/>
          <w:szCs w:val="20"/>
          <w:color w:val="auto"/>
        </w:rPr>
      </w:pPr>
    </w:p>
    <w:p>
      <w:pPr>
        <w:ind w:right="120" w:hanging="19"/>
        <w:spacing w:after="0" w:line="286" w:lineRule="auto"/>
        <w:rPr>
          <w:sz w:val="20"/>
          <w:szCs w:val="20"/>
          <w:color w:val="auto"/>
        </w:rPr>
      </w:pPr>
      <w:r>
        <w:rPr>
          <w:rFonts w:ascii="Arial" w:cs="Arial" w:eastAsia="Arial" w:hAnsi="Arial"/>
          <w:sz w:val="16"/>
          <w:szCs w:val="16"/>
          <w:color w:val="auto"/>
        </w:rPr>
        <w:t>No “liberal” share recycling when shares are tendered or withheld to satisfy tax withholding or as payment of an option exercise price</w:t>
      </w:r>
    </w:p>
    <w:p>
      <w:pPr>
        <w:sectPr>
          <w:pgSz w:w="11900" w:h="16838" w:orient="portrait"/>
          <w:cols w:equalWidth="0" w:num="2">
            <w:col w:w="5560" w:space="720"/>
            <w:col w:w="4960"/>
          </w:cols>
          <w:pgMar w:left="320" w:top="167" w:right="339" w:bottom="1440" w:gutter="0" w:footer="0" w:header="0"/>
          <w:type w:val="continuous"/>
        </w:sectPr>
      </w:pPr>
    </w:p>
    <w:bookmarkStart w:id="65" w:name="page66"/>
    <w:bookmarkEnd w:id="65"/>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64</w:t>
      </w:r>
      <w:r>
        <w:rPr>
          <w:sz w:val="20"/>
          <w:szCs w:val="20"/>
          <w:color w:val="auto"/>
        </w:rPr>
        <w:tab/>
      </w:r>
      <w:r>
        <w:rPr>
          <w:rFonts w:ascii="Arial" w:cs="Arial" w:eastAsia="Arial" w:hAnsi="Arial"/>
          <w:sz w:val="14"/>
          <w:szCs w:val="14"/>
          <w:b w:val="1"/>
          <w:bCs w:val="1"/>
          <w:color w:val="1A3FD6"/>
        </w:rPr>
        <w:t>2025 PROXY STATEMENT</w:t>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Executive Compensation Process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executive compensation program described in this section is the result of a year-long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97790</wp:posOffset>
            </wp:positionV>
            <wp:extent cx="5460365" cy="2674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460365" cy="2674620"/>
                    </a:xfrm>
                    <a:prstGeom prst="rect">
                      <a:avLst/>
                    </a:prstGeom>
                    <a:noFill/>
                  </pic:spPr>
                </pic:pic>
              </a:graphicData>
            </a:graphic>
          </wp:anchor>
        </w:drawing>
      </w:r>
    </w:p>
    <w:p>
      <w:pPr>
        <w:spacing w:after="0" w:line="119" w:lineRule="exact"/>
        <w:rPr>
          <w:sz w:val="20"/>
          <w:szCs w:val="20"/>
          <w:color w:val="auto"/>
        </w:rPr>
      </w:pPr>
    </w:p>
    <w:p>
      <w:pPr>
        <w:ind w:left="1820"/>
        <w:spacing w:after="0"/>
        <w:tabs>
          <w:tab w:leader="none" w:pos="3400" w:val="left"/>
          <w:tab w:leader="none" w:pos="3600" w:val="left"/>
        </w:tabs>
        <w:rPr>
          <w:sz w:val="20"/>
          <w:szCs w:val="20"/>
          <w:color w:val="auto"/>
        </w:rPr>
      </w:pPr>
      <w:r>
        <w:rPr>
          <w:rFonts w:ascii="Arial" w:cs="Arial" w:eastAsia="Arial" w:hAnsi="Arial"/>
          <w:sz w:val="32"/>
          <w:szCs w:val="32"/>
          <w:b w:val="1"/>
          <w:bCs w:val="1"/>
          <w:color w:val="auto"/>
          <w:vertAlign w:val="superscript"/>
        </w:rPr>
        <w:t>JANUARY/</w:t>
      </w:r>
      <w:r>
        <w:rPr>
          <w:sz w:val="20"/>
          <w:szCs w:val="20"/>
          <w:color w:val="auto"/>
        </w:rPr>
        <w:tab/>
      </w:r>
      <w:r>
        <w:rPr>
          <w:rFonts w:ascii="Arial" w:cs="Arial" w:eastAsia="Arial" w:hAnsi="Arial"/>
          <w:sz w:val="16"/>
          <w:szCs w:val="16"/>
          <w:color w:val="1A3FD6"/>
        </w:rPr>
        <w:t>•</w:t>
      </w:r>
      <w:r>
        <w:rPr>
          <w:rFonts w:ascii="Arial" w:cs="Arial" w:eastAsia="Arial" w:hAnsi="Arial"/>
          <w:sz w:val="16"/>
          <w:szCs w:val="16"/>
          <w:color w:val="auto"/>
        </w:rPr>
        <w:tab/>
        <w:t>The Compensation Committee reviews and determines the AIP awards for prior-year</w:t>
      </w:r>
    </w:p>
    <w:p>
      <w:pPr>
        <w:ind w:left="1820"/>
        <w:spacing w:after="0" w:line="182" w:lineRule="auto"/>
        <w:tabs>
          <w:tab w:leader="none" w:pos="3600" w:val="left"/>
        </w:tabs>
        <w:rPr>
          <w:sz w:val="20"/>
          <w:szCs w:val="20"/>
          <w:color w:val="auto"/>
        </w:rPr>
      </w:pPr>
      <w:r>
        <w:rPr>
          <w:rFonts w:ascii="Arial" w:cs="Arial" w:eastAsia="Arial" w:hAnsi="Arial"/>
          <w:sz w:val="28"/>
          <w:szCs w:val="28"/>
          <w:b w:val="1"/>
          <w:bCs w:val="1"/>
          <w:color w:val="auto"/>
          <w:vertAlign w:val="superscript"/>
        </w:rPr>
        <w:t>EARLY</w:t>
      </w:r>
      <w:r>
        <w:rPr>
          <w:sz w:val="20"/>
          <w:szCs w:val="20"/>
          <w:color w:val="auto"/>
        </w:rPr>
        <w:tab/>
      </w:r>
      <w:r>
        <w:rPr>
          <w:rFonts w:ascii="Arial" w:cs="Arial" w:eastAsia="Arial" w:hAnsi="Arial"/>
          <w:sz w:val="15"/>
          <w:szCs w:val="15"/>
          <w:color w:val="auto"/>
        </w:rPr>
        <w:t>performance for NEOs based on an assessment of the Company’s achievement of the</w:t>
      </w:r>
    </w:p>
    <w:p>
      <w:pPr>
        <w:spacing w:after="0" w:line="26" w:lineRule="exact"/>
        <w:rPr>
          <w:sz w:val="20"/>
          <w:szCs w:val="20"/>
          <w:color w:val="auto"/>
        </w:rPr>
      </w:pPr>
    </w:p>
    <w:p>
      <w:pPr>
        <w:ind w:left="1820"/>
        <w:spacing w:after="0"/>
        <w:tabs>
          <w:tab w:leader="none" w:pos="3600" w:val="left"/>
        </w:tabs>
        <w:rPr>
          <w:sz w:val="20"/>
          <w:szCs w:val="20"/>
          <w:color w:val="auto"/>
        </w:rPr>
      </w:pPr>
      <w:r>
        <w:rPr>
          <w:rFonts w:ascii="Arial" w:cs="Arial" w:eastAsia="Arial" w:hAnsi="Arial"/>
          <w:sz w:val="16"/>
          <w:szCs w:val="16"/>
          <w:b w:val="1"/>
          <w:bCs w:val="1"/>
          <w:color w:val="auto"/>
        </w:rPr>
        <w:t>FEBRUARY</w:t>
      </w:r>
      <w:r>
        <w:rPr>
          <w:sz w:val="20"/>
          <w:szCs w:val="20"/>
          <w:color w:val="auto"/>
        </w:rPr>
        <w:tab/>
      </w:r>
      <w:r>
        <w:rPr>
          <w:rFonts w:ascii="Arial" w:cs="Arial" w:eastAsia="Arial" w:hAnsi="Arial"/>
          <w:sz w:val="16"/>
          <w:szCs w:val="16"/>
          <w:color w:val="auto"/>
        </w:rPr>
        <w:t>financial metrics established for the prior year, as well as the executive’s performance</w:t>
      </w:r>
    </w:p>
    <w:p>
      <w:pPr>
        <w:spacing w:after="0" w:line="28"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against the individual goals portion of the AIP.</w:t>
      </w:r>
    </w:p>
    <w:p>
      <w:pPr>
        <w:spacing w:after="0" w:line="47" w:lineRule="exact"/>
        <w:rPr>
          <w:sz w:val="20"/>
          <w:szCs w:val="20"/>
          <w:color w:val="auto"/>
        </w:rPr>
      </w:pPr>
    </w:p>
    <w:p>
      <w:pPr>
        <w:jc w:val="center"/>
        <w:ind w:left="1960"/>
        <w:spacing w:after="0"/>
        <w:tabs>
          <w:tab w:leader="none" w:pos="120" w:val="left"/>
        </w:tabs>
        <w:rPr>
          <w:sz w:val="20"/>
          <w:szCs w:val="20"/>
          <w:color w:val="auto"/>
        </w:rPr>
      </w:pPr>
      <w:r>
        <w:rPr>
          <w:rFonts w:ascii="Arial" w:cs="Arial" w:eastAsia="Arial" w:hAnsi="Arial"/>
          <w:sz w:val="16"/>
          <w:szCs w:val="16"/>
          <w:color w:val="1A3FD6"/>
        </w:rPr>
        <w:t>•</w:t>
      </w:r>
      <w:r>
        <w:rPr>
          <w:rFonts w:ascii="Arial" w:cs="Arial" w:eastAsia="Arial" w:hAnsi="Arial"/>
          <w:sz w:val="16"/>
          <w:szCs w:val="16"/>
          <w:color w:val="auto"/>
        </w:rPr>
        <w:tab/>
        <w:t>The CEO makes recommendations to the Compensation Committee on compensation</w:t>
      </w:r>
    </w:p>
    <w:p>
      <w:pPr>
        <w:spacing w:after="0" w:line="21"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for NEOs (other than his own performance, which is reviewed by the Compensation</w:t>
      </w:r>
    </w:p>
    <w:p>
      <w:pPr>
        <w:spacing w:after="0" w:line="15"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Committee), and the Compensation Committee takes these recommendations into</w:t>
      </w:r>
    </w:p>
    <w:p>
      <w:pPr>
        <w:spacing w:after="0" w:line="9" w:lineRule="exact"/>
        <w:rPr>
          <w:sz w:val="20"/>
          <w:szCs w:val="20"/>
          <w:color w:val="auto"/>
        </w:rPr>
      </w:pPr>
    </w:p>
    <w:p>
      <w:pPr>
        <w:jc w:val="right"/>
        <w:ind w:right="1360"/>
        <w:spacing w:after="0"/>
        <w:rPr>
          <w:sz w:val="20"/>
          <w:szCs w:val="20"/>
          <w:color w:val="auto"/>
        </w:rPr>
      </w:pPr>
      <w:r>
        <w:rPr>
          <w:rFonts w:ascii="Arial" w:cs="Arial" w:eastAsia="Arial" w:hAnsi="Arial"/>
          <w:sz w:val="16"/>
          <w:szCs w:val="16"/>
          <w:color w:val="auto"/>
        </w:rPr>
        <w:t>consideration in reaching its final compensation decisions. When making compensation</w:t>
      </w:r>
    </w:p>
    <w:p>
      <w:pPr>
        <w:spacing w:after="0" w:line="15"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decisions for our CEO and other NEOs, the Compensation Committee also considers</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the views of the other independent directors.</w:t>
      </w:r>
    </w:p>
    <w:p>
      <w:pPr>
        <w:spacing w:after="0" w:line="43" w:lineRule="exact"/>
        <w:rPr>
          <w:sz w:val="20"/>
          <w:szCs w:val="20"/>
          <w:color w:val="auto"/>
        </w:rPr>
      </w:pPr>
    </w:p>
    <w:p>
      <w:pPr>
        <w:ind w:left="3420"/>
        <w:spacing w:after="0"/>
        <w:tabs>
          <w:tab w:leader="none" w:pos="3600" w:val="left"/>
        </w:tabs>
        <w:rPr>
          <w:sz w:val="20"/>
          <w:szCs w:val="20"/>
          <w:color w:val="auto"/>
        </w:rPr>
      </w:pPr>
      <w:r>
        <w:rPr>
          <w:rFonts w:ascii="Arial" w:cs="Arial" w:eastAsia="Arial" w:hAnsi="Arial"/>
          <w:sz w:val="16"/>
          <w:szCs w:val="16"/>
          <w:color w:val="1A3FD6"/>
        </w:rPr>
        <w:t>•</w:t>
      </w:r>
      <w:r>
        <w:rPr>
          <w:rFonts w:ascii="Arial" w:cs="Arial" w:eastAsia="Arial" w:hAnsi="Arial"/>
          <w:sz w:val="16"/>
          <w:szCs w:val="16"/>
          <w:color w:val="auto"/>
        </w:rPr>
        <w:tab/>
        <w:t>Certify achievement of performance metrics applicable to any equity awards granted in</w:t>
      </w:r>
    </w:p>
    <w:p>
      <w:pPr>
        <w:spacing w:after="0" w:line="31"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prior years.</w:t>
      </w:r>
    </w:p>
    <w:p>
      <w:pPr>
        <w:sectPr>
          <w:pgSz w:w="11900" w:h="16838" w:orient="portrait"/>
          <w:cols w:equalWidth="0" w:num="1">
            <w:col w:w="11240"/>
          </w:cols>
          <w:pgMar w:left="320" w:top="29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-124460</wp:posOffset>
            </wp:positionV>
            <wp:extent cx="163195" cy="115697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63195" cy="115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820"/>
        <w:spacing w:after="0"/>
        <w:rPr>
          <w:sz w:val="20"/>
          <w:szCs w:val="20"/>
          <w:color w:val="auto"/>
        </w:rPr>
      </w:pPr>
      <w:r>
        <w:rPr>
          <w:rFonts w:ascii="Arial" w:cs="Arial" w:eastAsia="Arial" w:hAnsi="Arial"/>
          <w:sz w:val="16"/>
          <w:szCs w:val="16"/>
          <w:b w:val="1"/>
          <w:bCs w:val="1"/>
          <w:color w:val="auto"/>
        </w:rPr>
        <w:t>APRIL</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195" w:right="1500" w:hanging="195"/>
        <w:spacing w:after="0" w:line="286" w:lineRule="auto"/>
        <w:tabs>
          <w:tab w:leader="none" w:pos="192" w:val="left"/>
        </w:tabs>
        <w:numPr>
          <w:ilvl w:val="0"/>
          <w:numId w:val="69"/>
        </w:numPr>
        <w:rPr>
          <w:rFonts w:ascii="Arial" w:cs="Arial" w:eastAsia="Arial" w:hAnsi="Arial"/>
          <w:sz w:val="16"/>
          <w:szCs w:val="16"/>
          <w:color w:val="1A3FD6"/>
        </w:rPr>
      </w:pPr>
      <w:r>
        <w:rPr>
          <w:rFonts w:ascii="Arial" w:cs="Arial" w:eastAsia="Arial" w:hAnsi="Arial"/>
          <w:sz w:val="16"/>
          <w:szCs w:val="16"/>
          <w:color w:val="auto"/>
        </w:rPr>
        <w:t>In most years, establish the AIP structure for the current year, including the applicable AIP financial metrics and target AIP awards for each NEO.</w:t>
      </w:r>
    </w:p>
    <w:p>
      <w:pPr>
        <w:spacing w:after="0" w:line="7" w:lineRule="exact"/>
        <w:rPr>
          <w:rFonts w:ascii="Arial" w:cs="Arial" w:eastAsia="Arial" w:hAnsi="Arial"/>
          <w:sz w:val="16"/>
          <w:szCs w:val="16"/>
          <w:color w:val="1A3FD6"/>
        </w:rPr>
      </w:pPr>
    </w:p>
    <w:p>
      <w:pPr>
        <w:ind w:left="195" w:right="1420" w:hanging="195"/>
        <w:spacing w:after="0" w:line="265" w:lineRule="auto"/>
        <w:tabs>
          <w:tab w:leader="none" w:pos="192" w:val="left"/>
        </w:tabs>
        <w:numPr>
          <w:ilvl w:val="0"/>
          <w:numId w:val="69"/>
        </w:numPr>
        <w:rPr>
          <w:rFonts w:ascii="Arial" w:cs="Arial" w:eastAsia="Arial" w:hAnsi="Arial"/>
          <w:sz w:val="16"/>
          <w:szCs w:val="16"/>
          <w:color w:val="1A3FD6"/>
        </w:rPr>
      </w:pPr>
      <w:r>
        <w:rPr>
          <w:rFonts w:ascii="Arial" w:cs="Arial" w:eastAsia="Arial" w:hAnsi="Arial"/>
          <w:sz w:val="16"/>
          <w:szCs w:val="16"/>
          <w:color w:val="auto"/>
        </w:rPr>
        <w:t>Establish the structure and performance metrics applicable to equity awards to be granted under the LTIP for the current year, and grant equity awards based on a number of factors, including the Company’s recent performance, peer analysis and the executive’s individual performance and potential future contributions.</w:t>
      </w:r>
    </w:p>
    <w:p>
      <w:pPr>
        <w:spacing w:after="0" w:line="200" w:lineRule="exact"/>
        <w:rPr>
          <w:rFonts w:ascii="Arial" w:cs="Arial" w:eastAsia="Arial" w:hAnsi="Arial"/>
          <w:sz w:val="16"/>
          <w:szCs w:val="16"/>
          <w:color w:val="1A3FD6"/>
        </w:rPr>
      </w:pPr>
    </w:p>
    <w:p>
      <w:pPr>
        <w:spacing w:after="0" w:line="242" w:lineRule="exact"/>
        <w:rPr>
          <w:rFonts w:ascii="Arial" w:cs="Arial" w:eastAsia="Arial" w:hAnsi="Arial"/>
          <w:sz w:val="16"/>
          <w:szCs w:val="16"/>
          <w:color w:val="1A3FD6"/>
        </w:rPr>
      </w:pPr>
    </w:p>
    <w:p>
      <w:pPr>
        <w:ind w:left="195" w:hanging="195"/>
        <w:spacing w:after="0"/>
        <w:tabs>
          <w:tab w:leader="none" w:pos="195" w:val="left"/>
        </w:tabs>
        <w:numPr>
          <w:ilvl w:val="0"/>
          <w:numId w:val="69"/>
        </w:numPr>
        <w:rPr>
          <w:rFonts w:ascii="Arial" w:cs="Arial" w:eastAsia="Arial" w:hAnsi="Arial"/>
          <w:sz w:val="16"/>
          <w:szCs w:val="16"/>
          <w:color w:val="1A3FD6"/>
        </w:rPr>
      </w:pPr>
      <w:r>
        <w:rPr>
          <w:rFonts w:ascii="Arial" w:cs="Arial" w:eastAsia="Arial" w:hAnsi="Arial"/>
          <w:sz w:val="16"/>
          <w:szCs w:val="16"/>
          <w:color w:val="auto"/>
        </w:rPr>
        <w:t>Consider risks arising from the Company’s incentive compensation plans.</w:t>
      </w:r>
    </w:p>
    <w:p>
      <w:pPr>
        <w:spacing w:after="0" w:line="45" w:lineRule="exact"/>
        <w:rPr>
          <w:rFonts w:ascii="Arial" w:cs="Arial" w:eastAsia="Arial" w:hAnsi="Arial"/>
          <w:sz w:val="16"/>
          <w:szCs w:val="16"/>
          <w:color w:val="1A3FD6"/>
        </w:rPr>
      </w:pPr>
    </w:p>
    <w:p>
      <w:pPr>
        <w:ind w:left="195" w:hanging="195"/>
        <w:spacing w:after="0"/>
        <w:tabs>
          <w:tab w:leader="none" w:pos="195" w:val="left"/>
        </w:tabs>
        <w:numPr>
          <w:ilvl w:val="0"/>
          <w:numId w:val="69"/>
        </w:numPr>
        <w:rPr>
          <w:rFonts w:ascii="Arial" w:cs="Arial" w:eastAsia="Arial" w:hAnsi="Arial"/>
          <w:sz w:val="16"/>
          <w:szCs w:val="16"/>
          <w:color w:val="1A3FD6"/>
        </w:rPr>
      </w:pPr>
      <w:r>
        <w:rPr>
          <w:rFonts w:ascii="Arial" w:cs="Arial" w:eastAsia="Arial" w:hAnsi="Arial"/>
          <w:sz w:val="16"/>
          <w:szCs w:val="16"/>
          <w:color w:val="auto"/>
        </w:rPr>
        <w:t>Review investor areas of focus.</w:t>
      </w:r>
    </w:p>
    <w:p>
      <w:pPr>
        <w:spacing w:after="0" w:line="200" w:lineRule="exact"/>
        <w:rPr>
          <w:rFonts w:ascii="Arial" w:cs="Arial" w:eastAsia="Arial" w:hAnsi="Arial"/>
          <w:sz w:val="16"/>
          <w:szCs w:val="16"/>
          <w:color w:val="1A3FD6"/>
        </w:rPr>
      </w:pPr>
    </w:p>
    <w:p>
      <w:pPr>
        <w:spacing w:after="0" w:line="277" w:lineRule="exact"/>
        <w:rPr>
          <w:rFonts w:ascii="Arial" w:cs="Arial" w:eastAsia="Arial" w:hAnsi="Arial"/>
          <w:sz w:val="16"/>
          <w:szCs w:val="16"/>
          <w:color w:val="1A3FD6"/>
        </w:rPr>
      </w:pPr>
    </w:p>
    <w:p>
      <w:pPr>
        <w:ind w:left="195" w:right="1440" w:hanging="195"/>
        <w:spacing w:after="0" w:line="281" w:lineRule="auto"/>
        <w:tabs>
          <w:tab w:leader="none" w:pos="192" w:val="left"/>
        </w:tabs>
        <w:numPr>
          <w:ilvl w:val="0"/>
          <w:numId w:val="69"/>
        </w:numPr>
        <w:rPr>
          <w:rFonts w:ascii="Arial" w:cs="Arial" w:eastAsia="Arial" w:hAnsi="Arial"/>
          <w:sz w:val="16"/>
          <w:szCs w:val="16"/>
          <w:color w:val="1A3FD6"/>
        </w:rPr>
      </w:pPr>
      <w:r>
        <w:rPr>
          <w:rFonts w:ascii="Arial" w:cs="Arial" w:eastAsia="Arial" w:hAnsi="Arial"/>
          <w:sz w:val="16"/>
          <w:szCs w:val="16"/>
          <w:color w:val="auto"/>
        </w:rPr>
        <w:t>Review Say-on-Pay voting recommendations from proxy advisors and the shareholder vote at our annual meeting.</w:t>
      </w:r>
    </w:p>
    <w:p>
      <w:pPr>
        <w:spacing w:after="0" w:line="1" w:lineRule="exact"/>
        <w:rPr>
          <w:rFonts w:ascii="Arial" w:cs="Arial" w:eastAsia="Arial" w:hAnsi="Arial"/>
          <w:sz w:val="16"/>
          <w:szCs w:val="16"/>
          <w:color w:val="1A3FD6"/>
        </w:rPr>
      </w:pPr>
    </w:p>
    <w:p>
      <w:pPr>
        <w:ind w:left="195" w:hanging="195"/>
        <w:spacing w:after="0"/>
        <w:tabs>
          <w:tab w:leader="none" w:pos="195" w:val="left"/>
        </w:tabs>
        <w:numPr>
          <w:ilvl w:val="0"/>
          <w:numId w:val="69"/>
        </w:numPr>
        <w:rPr>
          <w:rFonts w:ascii="Arial" w:cs="Arial" w:eastAsia="Arial" w:hAnsi="Arial"/>
          <w:sz w:val="16"/>
          <w:szCs w:val="16"/>
          <w:color w:val="1A3FD6"/>
        </w:rPr>
      </w:pPr>
      <w:r>
        <w:rPr>
          <w:rFonts w:ascii="Arial" w:cs="Arial" w:eastAsia="Arial" w:hAnsi="Arial"/>
          <w:sz w:val="16"/>
          <w:szCs w:val="16"/>
          <w:color w:val="auto"/>
        </w:rPr>
        <w:t>Review and approve the individual goals for the AIP.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-998855</wp:posOffset>
            </wp:positionV>
            <wp:extent cx="4234815" cy="3943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234815" cy="39433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-433070</wp:posOffset>
            </wp:positionV>
            <wp:extent cx="4234815" cy="5143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234815" cy="51435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166370</wp:posOffset>
            </wp:positionV>
            <wp:extent cx="423481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234815" cy="8890"/>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-518795</wp:posOffset>
            </wp:positionV>
            <wp:extent cx="423481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234815" cy="825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-1084580</wp:posOffset>
            </wp:positionV>
            <wp:extent cx="423481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5" w:space="720"/>
            <w:col w:w="7815"/>
          </w:cols>
          <w:pgMar w:left="320" w:top="292" w:right="339" w:bottom="1440" w:gutter="0" w:footer="0" w:header="0"/>
          <w:type w:val="continuous"/>
        </w:sectPr>
      </w:pP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Borders>
              <w:right w:val="single" w:sz="8" w:color="1A3FD6"/>
            </w:tcBorders>
          </w:tcPr>
          <w:p>
            <w:pPr>
              <w:spacing w:after="0"/>
              <w:rPr>
                <w:sz w:val="19"/>
                <w:szCs w:val="19"/>
                <w:color w:val="auto"/>
              </w:rPr>
            </w:pPr>
          </w:p>
        </w:tc>
        <w:tc>
          <w:tcPr>
            <w:tcW w:w="1780" w:type="dxa"/>
            <w:vAlign w:val="bottom"/>
          </w:tcPr>
          <w:p>
            <w:pPr>
              <w:ind w:left="280"/>
              <w:spacing w:after="0"/>
              <w:rPr>
                <w:sz w:val="20"/>
                <w:szCs w:val="20"/>
                <w:color w:val="auto"/>
              </w:rPr>
            </w:pPr>
            <w:r>
              <w:rPr>
                <w:rFonts w:ascii="Arial" w:cs="Arial" w:eastAsia="Arial" w:hAnsi="Arial"/>
                <w:sz w:val="16"/>
                <w:szCs w:val="16"/>
                <w:b w:val="1"/>
                <w:bCs w:val="1"/>
                <w:color w:val="auto"/>
              </w:rPr>
              <w:t>JULY TO</w:t>
            </w:r>
          </w:p>
        </w:tc>
        <w:tc>
          <w:tcPr>
            <w:tcW w:w="300" w:type="dxa"/>
            <w:vAlign w:val="bottom"/>
            <w:shd w:val="clear" w:color="auto" w:fill="EDF0FC"/>
          </w:tcPr>
          <w:p>
            <w:pPr>
              <w:ind w:left="100"/>
              <w:spacing w:after="0"/>
              <w:rPr>
                <w:sz w:val="20"/>
                <w:szCs w:val="20"/>
                <w:color w:val="auto"/>
              </w:rPr>
            </w:pPr>
            <w:r>
              <w:rPr>
                <w:rFonts w:ascii="Arial" w:cs="Arial" w:eastAsia="Arial" w:hAnsi="Arial"/>
                <w:sz w:val="16"/>
                <w:szCs w:val="16"/>
                <w:color w:val="1A3FD6"/>
              </w:rPr>
              <w:t>•</w:t>
            </w:r>
          </w:p>
        </w:tc>
        <w:tc>
          <w:tcPr>
            <w:tcW w:w="6380" w:type="dxa"/>
            <w:vAlign w:val="bottom"/>
            <w:gridSpan w:val="2"/>
            <w:shd w:val="clear" w:color="auto" w:fill="EDF0FC"/>
          </w:tcPr>
          <w:p>
            <w:pPr>
              <w:spacing w:after="0"/>
              <w:rPr>
                <w:sz w:val="20"/>
                <w:szCs w:val="20"/>
                <w:color w:val="auto"/>
              </w:rPr>
            </w:pPr>
            <w:r>
              <w:rPr>
                <w:rFonts w:ascii="Arial" w:cs="Arial" w:eastAsia="Arial" w:hAnsi="Arial"/>
                <w:sz w:val="16"/>
                <w:szCs w:val="16"/>
                <w:color w:val="auto"/>
              </w:rPr>
              <w:t>Review our performance culture.</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40" w:type="dxa"/>
            <w:vAlign w:val="bottom"/>
            <w:tcBorders>
              <w:right w:val="single" w:sz="8" w:color="1A3FD6"/>
            </w:tcBorders>
          </w:tcPr>
          <w:p>
            <w:pPr>
              <w:spacing w:after="0"/>
              <w:rPr>
                <w:sz w:val="19"/>
                <w:szCs w:val="19"/>
                <w:color w:val="auto"/>
              </w:rPr>
            </w:pPr>
          </w:p>
        </w:tc>
        <w:tc>
          <w:tcPr>
            <w:tcW w:w="1780" w:type="dxa"/>
            <w:vAlign w:val="bottom"/>
          </w:tcPr>
          <w:p>
            <w:pPr>
              <w:ind w:left="280"/>
              <w:spacing w:after="0"/>
              <w:rPr>
                <w:sz w:val="20"/>
                <w:szCs w:val="20"/>
                <w:color w:val="auto"/>
              </w:rPr>
            </w:pPr>
            <w:r>
              <w:rPr>
                <w:rFonts w:ascii="Arial" w:cs="Arial" w:eastAsia="Arial" w:hAnsi="Arial"/>
                <w:sz w:val="16"/>
                <w:szCs w:val="16"/>
                <w:b w:val="1"/>
                <w:bCs w:val="1"/>
                <w:color w:val="auto"/>
              </w:rPr>
              <w:t>OCTOBER</w:t>
            </w:r>
          </w:p>
        </w:tc>
        <w:tc>
          <w:tcPr>
            <w:tcW w:w="6680" w:type="dxa"/>
            <w:vAlign w:val="bottom"/>
            <w:gridSpan w:val="3"/>
            <w:vMerge w:val="restart"/>
            <w:shd w:val="clear" w:color="auto" w:fill="EDF0FC"/>
          </w:tcPr>
          <w:p>
            <w:pPr>
              <w:ind w:left="10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Review senior management fit for role and potential successors.</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1540" w:type="dxa"/>
            <w:vAlign w:val="bottom"/>
            <w:tcBorders>
              <w:right w:val="single" w:sz="8" w:color="1A3FD6"/>
            </w:tcBorders>
          </w:tcPr>
          <w:p>
            <w:pPr>
              <w:spacing w:after="0"/>
              <w:rPr>
                <w:sz w:val="5"/>
                <w:szCs w:val="5"/>
                <w:color w:val="auto"/>
              </w:rPr>
            </w:pPr>
          </w:p>
        </w:tc>
        <w:tc>
          <w:tcPr>
            <w:tcW w:w="1780" w:type="dxa"/>
            <w:vAlign w:val="bottom"/>
          </w:tcPr>
          <w:p>
            <w:pPr>
              <w:spacing w:after="0"/>
              <w:rPr>
                <w:sz w:val="5"/>
                <w:szCs w:val="5"/>
                <w:color w:val="auto"/>
              </w:rPr>
            </w:pPr>
          </w:p>
        </w:tc>
        <w:tc>
          <w:tcPr>
            <w:tcW w:w="6680" w:type="dxa"/>
            <w:vAlign w:val="bottom"/>
            <w:gridSpan w:val="3"/>
            <w:vMerge w:val="continue"/>
            <w:shd w:val="clear" w:color="auto" w:fill="EDF0FC"/>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540" w:type="dxa"/>
            <w:vAlign w:val="bottom"/>
            <w:tcBorders>
              <w:right w:val="single" w:sz="8" w:color="1A3FD6"/>
            </w:tcBorders>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shd w:val="clear" w:color="auto" w:fill="EDF0FC"/>
          </w:tcPr>
          <w:p>
            <w:pPr>
              <w:ind w:left="100"/>
              <w:spacing w:after="0"/>
              <w:rPr>
                <w:sz w:val="20"/>
                <w:szCs w:val="20"/>
                <w:color w:val="auto"/>
              </w:rPr>
            </w:pPr>
            <w:r>
              <w:rPr>
                <w:rFonts w:ascii="Arial" w:cs="Arial" w:eastAsia="Arial" w:hAnsi="Arial"/>
                <w:sz w:val="16"/>
                <w:szCs w:val="16"/>
                <w:color w:val="1A3FD6"/>
              </w:rPr>
              <w:t>•</w:t>
            </w:r>
          </w:p>
        </w:tc>
        <w:tc>
          <w:tcPr>
            <w:tcW w:w="6380" w:type="dxa"/>
            <w:vAlign w:val="bottom"/>
            <w:gridSpan w:val="2"/>
            <w:shd w:val="clear" w:color="auto" w:fill="EDF0FC"/>
          </w:tcPr>
          <w:p>
            <w:pPr>
              <w:spacing w:after="0"/>
              <w:rPr>
                <w:sz w:val="20"/>
                <w:szCs w:val="20"/>
                <w:color w:val="auto"/>
              </w:rPr>
            </w:pPr>
            <w:r>
              <w:rPr>
                <w:rFonts w:ascii="Arial" w:cs="Arial" w:eastAsia="Arial" w:hAnsi="Arial"/>
                <w:sz w:val="16"/>
                <w:szCs w:val="16"/>
                <w:color w:val="auto"/>
              </w:rPr>
              <w:t>Review peer group.</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540" w:type="dxa"/>
            <w:vAlign w:val="bottom"/>
            <w:tcBorders>
              <w:right w:val="single" w:sz="8" w:color="1A3FD6"/>
            </w:tcBorders>
          </w:tcPr>
          <w:p>
            <w:pPr>
              <w:spacing w:after="0"/>
              <w:rPr>
                <w:sz w:val="21"/>
                <w:szCs w:val="21"/>
                <w:color w:val="auto"/>
              </w:rPr>
            </w:pPr>
          </w:p>
        </w:tc>
        <w:tc>
          <w:tcPr>
            <w:tcW w:w="1780" w:type="dxa"/>
            <w:vAlign w:val="bottom"/>
          </w:tcPr>
          <w:p>
            <w:pPr>
              <w:spacing w:after="0"/>
              <w:rPr>
                <w:sz w:val="21"/>
                <w:szCs w:val="21"/>
                <w:color w:val="auto"/>
              </w:rPr>
            </w:pPr>
          </w:p>
        </w:tc>
        <w:tc>
          <w:tcPr>
            <w:tcW w:w="6680" w:type="dxa"/>
            <w:vAlign w:val="bottom"/>
            <w:gridSpan w:val="3"/>
            <w:shd w:val="clear" w:color="auto" w:fill="EDF0FC"/>
          </w:tcPr>
          <w:p>
            <w:pPr>
              <w:ind w:left="10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Compensation consultant reports on compensation practices and trends in the industry.</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540" w:type="dxa"/>
            <w:vAlign w:val="bottom"/>
            <w:tcBorders>
              <w:right w:val="single" w:sz="8" w:color="1A3FD6"/>
            </w:tcBorders>
          </w:tcPr>
          <w:p>
            <w:pPr>
              <w:spacing w:after="0"/>
              <w:rPr>
                <w:sz w:val="19"/>
                <w:szCs w:val="19"/>
                <w:color w:val="auto"/>
              </w:rPr>
            </w:pPr>
          </w:p>
        </w:tc>
        <w:tc>
          <w:tcPr>
            <w:tcW w:w="1780" w:type="dxa"/>
            <w:vAlign w:val="bottom"/>
          </w:tcPr>
          <w:p>
            <w:pPr>
              <w:spacing w:after="0"/>
              <w:rPr>
                <w:sz w:val="19"/>
                <w:szCs w:val="19"/>
                <w:color w:val="auto"/>
              </w:rPr>
            </w:pPr>
          </w:p>
        </w:tc>
        <w:tc>
          <w:tcPr>
            <w:tcW w:w="6680" w:type="dxa"/>
            <w:vAlign w:val="bottom"/>
            <w:gridSpan w:val="3"/>
            <w:shd w:val="clear" w:color="auto" w:fill="EDF0FC"/>
          </w:tcPr>
          <w:p>
            <w:pPr>
              <w:ind w:left="10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Review design of next year’s executive compensation programs.</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540" w:type="dxa"/>
            <w:vAlign w:val="bottom"/>
            <w:tcBorders>
              <w:right w:val="single" w:sz="8" w:color="1A3FD6"/>
            </w:tcBorders>
          </w:tcPr>
          <w:p>
            <w:pPr>
              <w:spacing w:after="0"/>
              <w:rPr>
                <w:sz w:val="8"/>
                <w:szCs w:val="8"/>
                <w:color w:val="auto"/>
              </w:rPr>
            </w:pPr>
          </w:p>
        </w:tc>
        <w:tc>
          <w:tcPr>
            <w:tcW w:w="178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NOVEMBER</w:t>
            </w:r>
          </w:p>
        </w:tc>
        <w:tc>
          <w:tcPr>
            <w:tcW w:w="300" w:type="dxa"/>
            <w:vAlign w:val="bottom"/>
            <w:shd w:val="clear" w:color="auto" w:fill="EDF0FC"/>
          </w:tcPr>
          <w:p>
            <w:pPr>
              <w:spacing w:after="0"/>
              <w:rPr>
                <w:sz w:val="8"/>
                <w:szCs w:val="8"/>
                <w:color w:val="auto"/>
              </w:rPr>
            </w:pPr>
          </w:p>
        </w:tc>
        <w:tc>
          <w:tcPr>
            <w:tcW w:w="880" w:type="dxa"/>
            <w:vAlign w:val="bottom"/>
            <w:shd w:val="clear" w:color="auto" w:fill="EDF0FC"/>
          </w:tcPr>
          <w:p>
            <w:pPr>
              <w:spacing w:after="0"/>
              <w:rPr>
                <w:sz w:val="8"/>
                <w:szCs w:val="8"/>
                <w:color w:val="auto"/>
              </w:rPr>
            </w:pPr>
          </w:p>
        </w:tc>
        <w:tc>
          <w:tcPr>
            <w:tcW w:w="5500" w:type="dxa"/>
            <w:vAlign w:val="bottom"/>
            <w:shd w:val="clear" w:color="auto" w:fill="EDF0FC"/>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7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54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300" w:type="dxa"/>
            <w:vAlign w:val="bottom"/>
            <w:tcBorders>
              <w:top w:val="single" w:sz="8" w:color="1A3FD6"/>
            </w:tcBorders>
          </w:tcPr>
          <w:p>
            <w:pPr>
              <w:spacing w:after="0"/>
              <w:rPr>
                <w:sz w:val="10"/>
                <w:szCs w:val="10"/>
                <w:color w:val="auto"/>
              </w:rPr>
            </w:pPr>
          </w:p>
        </w:tc>
        <w:tc>
          <w:tcPr>
            <w:tcW w:w="880" w:type="dxa"/>
            <w:vAlign w:val="bottom"/>
            <w:tcBorders>
              <w:top w:val="single" w:sz="8" w:color="1A3FD6"/>
            </w:tcBorders>
          </w:tcPr>
          <w:p>
            <w:pPr>
              <w:spacing w:after="0"/>
              <w:rPr>
                <w:sz w:val="10"/>
                <w:szCs w:val="10"/>
                <w:color w:val="auto"/>
              </w:rPr>
            </w:pPr>
          </w:p>
        </w:tc>
        <w:tc>
          <w:tcPr>
            <w:tcW w:w="5500" w:type="dxa"/>
            <w:vAlign w:val="bottom"/>
            <w:tcBorders>
              <w:top w:val="single" w:sz="8" w:color="1A3FD6"/>
            </w:tcBorders>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1540" w:type="dxa"/>
            <w:vAlign w:val="bottom"/>
            <w:tcBorders>
              <w:right w:val="single" w:sz="8" w:color="1A3FD6"/>
            </w:tcBorders>
          </w:tcPr>
          <w:p>
            <w:pPr>
              <w:spacing w:after="0"/>
              <w:rPr>
                <w:sz w:val="23"/>
                <w:szCs w:val="23"/>
                <w:color w:val="auto"/>
              </w:rPr>
            </w:pPr>
          </w:p>
        </w:tc>
        <w:tc>
          <w:tcPr>
            <w:tcW w:w="1780" w:type="dxa"/>
            <w:vAlign w:val="bottom"/>
            <w:vMerge w:val="continue"/>
          </w:tcPr>
          <w:p>
            <w:pPr>
              <w:spacing w:after="0"/>
              <w:rPr>
                <w:sz w:val="23"/>
                <w:szCs w:val="23"/>
                <w:color w:val="auto"/>
              </w:rPr>
            </w:pPr>
          </w:p>
        </w:tc>
        <w:tc>
          <w:tcPr>
            <w:tcW w:w="300" w:type="dxa"/>
            <w:vAlign w:val="bottom"/>
            <w:shd w:val="clear" w:color="auto" w:fill="EDF0FC"/>
          </w:tcPr>
          <w:p>
            <w:pPr>
              <w:ind w:left="100"/>
              <w:spacing w:after="0"/>
              <w:rPr>
                <w:sz w:val="20"/>
                <w:szCs w:val="20"/>
                <w:color w:val="auto"/>
              </w:rPr>
            </w:pPr>
            <w:r>
              <w:rPr>
                <w:rFonts w:ascii="Arial" w:cs="Arial" w:eastAsia="Arial" w:hAnsi="Arial"/>
                <w:sz w:val="16"/>
                <w:szCs w:val="16"/>
                <w:color w:val="1A3FD6"/>
              </w:rPr>
              <w:t>•</w:t>
            </w:r>
          </w:p>
        </w:tc>
        <w:tc>
          <w:tcPr>
            <w:tcW w:w="6380" w:type="dxa"/>
            <w:vAlign w:val="bottom"/>
            <w:gridSpan w:val="2"/>
            <w:shd w:val="clear" w:color="auto" w:fill="EDF0FC"/>
          </w:tcPr>
          <w:p>
            <w:pPr>
              <w:spacing w:after="0"/>
              <w:rPr>
                <w:sz w:val="20"/>
                <w:szCs w:val="20"/>
                <w:color w:val="auto"/>
              </w:rPr>
            </w:pPr>
            <w:r>
              <w:rPr>
                <w:rFonts w:ascii="Arial" w:cs="Arial" w:eastAsia="Arial" w:hAnsi="Arial"/>
                <w:sz w:val="16"/>
                <w:szCs w:val="16"/>
                <w:color w:val="auto"/>
              </w:rPr>
              <w:t>Meet with shareholders to discuss our executive compensation practices and policies</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1540" w:type="dxa"/>
            <w:vAlign w:val="bottom"/>
            <w:tcBorders>
              <w:right w:val="single" w:sz="8" w:color="1A3FD6"/>
            </w:tcBorders>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shd w:val="clear" w:color="auto" w:fill="EDF0FC"/>
          </w:tcPr>
          <w:p>
            <w:pPr>
              <w:spacing w:after="0"/>
              <w:rPr>
                <w:sz w:val="18"/>
                <w:szCs w:val="18"/>
                <w:color w:val="auto"/>
              </w:rPr>
            </w:pPr>
          </w:p>
        </w:tc>
        <w:tc>
          <w:tcPr>
            <w:tcW w:w="6380" w:type="dxa"/>
            <w:vAlign w:val="bottom"/>
            <w:gridSpan w:val="2"/>
            <w:shd w:val="clear" w:color="auto" w:fill="EDF0FC"/>
          </w:tcPr>
          <w:p>
            <w:pPr>
              <w:spacing w:after="0"/>
              <w:rPr>
                <w:sz w:val="20"/>
                <w:szCs w:val="20"/>
                <w:color w:val="auto"/>
              </w:rPr>
            </w:pPr>
            <w:r>
              <w:rPr>
                <w:rFonts w:ascii="Arial" w:cs="Arial" w:eastAsia="Arial" w:hAnsi="Arial"/>
                <w:sz w:val="16"/>
                <w:szCs w:val="16"/>
                <w:color w:val="auto"/>
              </w:rPr>
              <w:t>and collect feedback.</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1540" w:type="dxa"/>
            <w:vAlign w:val="bottom"/>
            <w:tcBorders>
              <w:right w:val="single" w:sz="8" w:color="1A3FD6"/>
            </w:tcBorders>
          </w:tcPr>
          <w:p>
            <w:pPr>
              <w:spacing w:after="0"/>
              <w:rPr>
                <w:sz w:val="8"/>
                <w:szCs w:val="8"/>
                <w:color w:val="auto"/>
              </w:rPr>
            </w:pPr>
          </w:p>
        </w:tc>
        <w:tc>
          <w:tcPr>
            <w:tcW w:w="178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DECEMBER</w:t>
            </w:r>
          </w:p>
        </w:tc>
        <w:tc>
          <w:tcPr>
            <w:tcW w:w="300" w:type="dxa"/>
            <w:vAlign w:val="bottom"/>
            <w:shd w:val="clear" w:color="auto" w:fill="EDF0FC"/>
          </w:tcPr>
          <w:p>
            <w:pPr>
              <w:spacing w:after="0"/>
              <w:rPr>
                <w:sz w:val="8"/>
                <w:szCs w:val="8"/>
                <w:color w:val="auto"/>
              </w:rPr>
            </w:pPr>
          </w:p>
        </w:tc>
        <w:tc>
          <w:tcPr>
            <w:tcW w:w="880" w:type="dxa"/>
            <w:vAlign w:val="bottom"/>
            <w:shd w:val="clear" w:color="auto" w:fill="EDF0FC"/>
          </w:tcPr>
          <w:p>
            <w:pPr>
              <w:spacing w:after="0"/>
              <w:rPr>
                <w:sz w:val="8"/>
                <w:szCs w:val="8"/>
                <w:color w:val="auto"/>
              </w:rPr>
            </w:pPr>
          </w:p>
        </w:tc>
        <w:tc>
          <w:tcPr>
            <w:tcW w:w="5500" w:type="dxa"/>
            <w:vAlign w:val="bottom"/>
            <w:shd w:val="clear" w:color="auto" w:fill="EDF0FC"/>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7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54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300" w:type="dxa"/>
            <w:vAlign w:val="bottom"/>
            <w:tcBorders>
              <w:top w:val="single" w:sz="8" w:color="1A3FD6"/>
            </w:tcBorders>
          </w:tcPr>
          <w:p>
            <w:pPr>
              <w:spacing w:after="0"/>
              <w:rPr>
                <w:sz w:val="10"/>
                <w:szCs w:val="10"/>
                <w:color w:val="auto"/>
              </w:rPr>
            </w:pPr>
          </w:p>
        </w:tc>
        <w:tc>
          <w:tcPr>
            <w:tcW w:w="880" w:type="dxa"/>
            <w:vAlign w:val="bottom"/>
            <w:tcBorders>
              <w:top w:val="single" w:sz="8" w:color="1A3FD6"/>
            </w:tcBorders>
          </w:tcPr>
          <w:p>
            <w:pPr>
              <w:spacing w:after="0"/>
              <w:rPr>
                <w:sz w:val="10"/>
                <w:szCs w:val="10"/>
                <w:color w:val="auto"/>
              </w:rPr>
            </w:pPr>
          </w:p>
        </w:tc>
        <w:tc>
          <w:tcPr>
            <w:tcW w:w="5500" w:type="dxa"/>
            <w:vAlign w:val="bottom"/>
            <w:tcBorders>
              <w:top w:val="single" w:sz="8" w:color="1A3FD6"/>
            </w:tcBorders>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1540" w:type="dxa"/>
            <w:vAlign w:val="bottom"/>
            <w:tcBorders>
              <w:right w:val="single" w:sz="8" w:color="1A3FD6"/>
            </w:tcBorders>
          </w:tcPr>
          <w:p>
            <w:pPr>
              <w:spacing w:after="0"/>
              <w:rPr>
                <w:sz w:val="24"/>
                <w:szCs w:val="24"/>
                <w:color w:val="auto"/>
              </w:rPr>
            </w:pPr>
          </w:p>
        </w:tc>
        <w:tc>
          <w:tcPr>
            <w:tcW w:w="1780" w:type="dxa"/>
            <w:vAlign w:val="bottom"/>
            <w:vMerge w:val="continue"/>
          </w:tcPr>
          <w:p>
            <w:pPr>
              <w:spacing w:after="0"/>
              <w:rPr>
                <w:sz w:val="24"/>
                <w:szCs w:val="24"/>
                <w:color w:val="auto"/>
              </w:rPr>
            </w:pPr>
          </w:p>
        </w:tc>
        <w:tc>
          <w:tcPr>
            <w:tcW w:w="300" w:type="dxa"/>
            <w:vAlign w:val="bottom"/>
            <w:shd w:val="clear" w:color="auto" w:fill="EDF0FC"/>
          </w:tcPr>
          <w:p>
            <w:pPr>
              <w:ind w:left="100"/>
              <w:spacing w:after="0"/>
              <w:rPr>
                <w:sz w:val="20"/>
                <w:szCs w:val="20"/>
                <w:color w:val="auto"/>
              </w:rPr>
            </w:pPr>
            <w:r>
              <w:rPr>
                <w:rFonts w:ascii="Arial" w:cs="Arial" w:eastAsia="Arial" w:hAnsi="Arial"/>
                <w:sz w:val="16"/>
                <w:szCs w:val="16"/>
                <w:color w:val="1A3FD6"/>
              </w:rPr>
              <w:t>•</w:t>
            </w:r>
          </w:p>
        </w:tc>
        <w:tc>
          <w:tcPr>
            <w:tcW w:w="6380" w:type="dxa"/>
            <w:vAlign w:val="bottom"/>
            <w:gridSpan w:val="2"/>
            <w:shd w:val="clear" w:color="auto" w:fill="EDF0FC"/>
          </w:tcPr>
          <w:p>
            <w:pPr>
              <w:spacing w:after="0"/>
              <w:rPr>
                <w:sz w:val="20"/>
                <w:szCs w:val="20"/>
                <w:color w:val="auto"/>
              </w:rPr>
            </w:pPr>
            <w:r>
              <w:rPr>
                <w:rFonts w:ascii="Arial" w:cs="Arial" w:eastAsia="Arial" w:hAnsi="Arial"/>
                <w:sz w:val="16"/>
                <w:szCs w:val="16"/>
                <w:color w:val="auto"/>
              </w:rPr>
              <w:t>Finalize design of executive compensation program for upcoming year and review</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540" w:type="dxa"/>
            <w:vAlign w:val="bottom"/>
            <w:tcBorders>
              <w:right w:val="single" w:sz="8" w:color="1A3FD6"/>
            </w:tcBorders>
          </w:tcPr>
          <w:p>
            <w:pPr>
              <w:spacing w:after="0"/>
              <w:rPr>
                <w:sz w:val="16"/>
                <w:szCs w:val="16"/>
                <w:color w:val="auto"/>
              </w:rPr>
            </w:pPr>
          </w:p>
        </w:tc>
        <w:tc>
          <w:tcPr>
            <w:tcW w:w="1780" w:type="dxa"/>
            <w:vAlign w:val="bottom"/>
          </w:tcPr>
          <w:p>
            <w:pPr>
              <w:spacing w:after="0"/>
              <w:rPr>
                <w:sz w:val="16"/>
                <w:szCs w:val="16"/>
                <w:color w:val="auto"/>
              </w:rPr>
            </w:pPr>
          </w:p>
        </w:tc>
        <w:tc>
          <w:tcPr>
            <w:tcW w:w="300" w:type="dxa"/>
            <w:vAlign w:val="bottom"/>
            <w:shd w:val="clear" w:color="auto" w:fill="EDF0FC"/>
          </w:tcPr>
          <w:p>
            <w:pPr>
              <w:spacing w:after="0"/>
              <w:rPr>
                <w:sz w:val="16"/>
                <w:szCs w:val="16"/>
                <w:color w:val="auto"/>
              </w:rPr>
            </w:pPr>
          </w:p>
        </w:tc>
        <w:tc>
          <w:tcPr>
            <w:tcW w:w="880" w:type="dxa"/>
            <w:vAlign w:val="bottom"/>
            <w:shd w:val="clear" w:color="auto" w:fill="EEEEF7"/>
          </w:tcPr>
          <w:p>
            <w:pPr>
              <w:spacing w:after="0"/>
              <w:rPr>
                <w:sz w:val="20"/>
                <w:szCs w:val="20"/>
                <w:color w:val="auto"/>
              </w:rPr>
            </w:pPr>
            <w:r>
              <w:rPr>
                <w:rFonts w:ascii="Arial" w:cs="Arial" w:eastAsia="Arial" w:hAnsi="Arial"/>
                <w:sz w:val="16"/>
                <w:szCs w:val="16"/>
                <w:color w:val="auto"/>
                <w:w w:val="97"/>
                <w:shd w:val="clear" w:color="auto" w:fill="EEEEF7"/>
              </w:rPr>
              <w:t>preliminary r</w:t>
            </w:r>
          </w:p>
        </w:tc>
        <w:tc>
          <w:tcPr>
            <w:tcW w:w="5500" w:type="dxa"/>
            <w:vAlign w:val="bottom"/>
            <w:shd w:val="clear" w:color="auto" w:fill="EDF0FC"/>
          </w:tcPr>
          <w:p>
            <w:pPr>
              <w:ind w:left="20"/>
              <w:spacing w:after="0"/>
              <w:rPr>
                <w:sz w:val="20"/>
                <w:szCs w:val="20"/>
                <w:color w:val="auto"/>
              </w:rPr>
            </w:pPr>
            <w:r>
              <w:rPr>
                <w:rFonts w:ascii="Arial" w:cs="Arial" w:eastAsia="Arial" w:hAnsi="Arial"/>
                <w:sz w:val="16"/>
                <w:szCs w:val="16"/>
                <w:color w:val="auto"/>
              </w:rPr>
              <w:t>ecommendations for actual and target levels of compensation.</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540" w:type="dxa"/>
            <w:vAlign w:val="bottom"/>
            <w:tcBorders>
              <w:right w:val="single" w:sz="8" w:color="1A3FD6"/>
            </w:tcBorders>
          </w:tcPr>
          <w:p>
            <w:pPr>
              <w:spacing w:after="0"/>
              <w:rPr>
                <w:sz w:val="9"/>
                <w:szCs w:val="9"/>
                <w:color w:val="auto"/>
              </w:rPr>
            </w:pPr>
          </w:p>
        </w:tc>
        <w:tc>
          <w:tcPr>
            <w:tcW w:w="178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ONGOING</w:t>
            </w:r>
          </w:p>
        </w:tc>
        <w:tc>
          <w:tcPr>
            <w:tcW w:w="300" w:type="dxa"/>
            <w:vAlign w:val="bottom"/>
            <w:shd w:val="clear" w:color="auto" w:fill="EDF0FC"/>
          </w:tcPr>
          <w:p>
            <w:pPr>
              <w:spacing w:after="0"/>
              <w:rPr>
                <w:sz w:val="9"/>
                <w:szCs w:val="9"/>
                <w:color w:val="auto"/>
              </w:rPr>
            </w:pPr>
          </w:p>
        </w:tc>
        <w:tc>
          <w:tcPr>
            <w:tcW w:w="880" w:type="dxa"/>
            <w:vAlign w:val="bottom"/>
            <w:shd w:val="clear" w:color="auto" w:fill="EDF0FC"/>
          </w:tcPr>
          <w:p>
            <w:pPr>
              <w:spacing w:after="0"/>
              <w:rPr>
                <w:sz w:val="9"/>
                <w:szCs w:val="9"/>
                <w:color w:val="auto"/>
              </w:rPr>
            </w:pPr>
          </w:p>
        </w:tc>
        <w:tc>
          <w:tcPr>
            <w:tcW w:w="5500" w:type="dxa"/>
            <w:vAlign w:val="bottom"/>
            <w:shd w:val="clear" w:color="auto" w:fill="EDF0FC"/>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7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540" w:type="dxa"/>
            <w:vAlign w:val="bottom"/>
          </w:tcPr>
          <w:p>
            <w:pPr>
              <w:spacing w:after="0"/>
              <w:rPr>
                <w:sz w:val="8"/>
                <w:szCs w:val="8"/>
                <w:color w:val="auto"/>
              </w:rPr>
            </w:pPr>
          </w:p>
        </w:tc>
        <w:tc>
          <w:tcPr>
            <w:tcW w:w="1780" w:type="dxa"/>
            <w:vAlign w:val="bottom"/>
            <w:vMerge w:val="continue"/>
          </w:tcPr>
          <w:p>
            <w:pPr>
              <w:spacing w:after="0"/>
              <w:rPr>
                <w:sz w:val="8"/>
                <w:szCs w:val="8"/>
                <w:color w:val="auto"/>
              </w:rPr>
            </w:pPr>
          </w:p>
        </w:tc>
        <w:tc>
          <w:tcPr>
            <w:tcW w:w="300" w:type="dxa"/>
            <w:vAlign w:val="bottom"/>
            <w:shd w:val="clear" w:color="auto" w:fill="00A798"/>
          </w:tcPr>
          <w:p>
            <w:pPr>
              <w:spacing w:after="0"/>
              <w:rPr>
                <w:sz w:val="8"/>
                <w:szCs w:val="8"/>
                <w:color w:val="auto"/>
              </w:rPr>
            </w:pPr>
          </w:p>
        </w:tc>
        <w:tc>
          <w:tcPr>
            <w:tcW w:w="880" w:type="dxa"/>
            <w:vAlign w:val="bottom"/>
            <w:shd w:val="clear" w:color="auto" w:fill="00A798"/>
          </w:tcPr>
          <w:p>
            <w:pPr>
              <w:spacing w:after="0"/>
              <w:rPr>
                <w:sz w:val="8"/>
                <w:szCs w:val="8"/>
                <w:color w:val="auto"/>
              </w:rPr>
            </w:pPr>
          </w:p>
        </w:tc>
        <w:tc>
          <w:tcPr>
            <w:tcW w:w="5500" w:type="dxa"/>
            <w:vAlign w:val="bottom"/>
            <w:shd w:val="clear" w:color="auto" w:fill="00A798"/>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54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7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540" w:type="dxa"/>
            <w:vAlign w:val="bottom"/>
            <w:tcBorders>
              <w:right w:val="single" w:sz="8" w:color="00A798"/>
            </w:tcBorders>
          </w:tcPr>
          <w:p>
            <w:pPr>
              <w:spacing w:after="0"/>
              <w:rPr>
                <w:sz w:val="23"/>
                <w:szCs w:val="23"/>
                <w:color w:val="auto"/>
              </w:rPr>
            </w:pPr>
          </w:p>
        </w:tc>
        <w:tc>
          <w:tcPr>
            <w:tcW w:w="1780" w:type="dxa"/>
            <w:vAlign w:val="bottom"/>
            <w:vMerge w:val="continue"/>
          </w:tcPr>
          <w:p>
            <w:pPr>
              <w:spacing w:after="0"/>
              <w:rPr>
                <w:sz w:val="23"/>
                <w:szCs w:val="23"/>
                <w:color w:val="auto"/>
              </w:rPr>
            </w:pPr>
          </w:p>
        </w:tc>
        <w:tc>
          <w:tcPr>
            <w:tcW w:w="300" w:type="dxa"/>
            <w:vAlign w:val="bottom"/>
            <w:shd w:val="clear" w:color="auto" w:fill="E5F6F5"/>
          </w:tcPr>
          <w:p>
            <w:pPr>
              <w:ind w:left="100"/>
              <w:spacing w:after="0"/>
              <w:rPr>
                <w:sz w:val="20"/>
                <w:szCs w:val="20"/>
                <w:color w:val="auto"/>
              </w:rPr>
            </w:pPr>
            <w:r>
              <w:rPr>
                <w:rFonts w:ascii="Arial" w:cs="Arial" w:eastAsia="Arial" w:hAnsi="Arial"/>
                <w:sz w:val="16"/>
                <w:szCs w:val="16"/>
                <w:color w:val="1A3FD6"/>
              </w:rPr>
              <w:t>•</w:t>
            </w:r>
          </w:p>
        </w:tc>
        <w:tc>
          <w:tcPr>
            <w:tcW w:w="6380" w:type="dxa"/>
            <w:vAlign w:val="bottom"/>
            <w:gridSpan w:val="2"/>
            <w:shd w:val="clear" w:color="auto" w:fill="E5F6F5"/>
          </w:tcPr>
          <w:p>
            <w:pPr>
              <w:spacing w:after="0"/>
              <w:rPr>
                <w:sz w:val="20"/>
                <w:szCs w:val="20"/>
                <w:color w:val="auto"/>
              </w:rPr>
            </w:pPr>
            <w:r>
              <w:rPr>
                <w:rFonts w:ascii="Arial" w:cs="Arial" w:eastAsia="Arial" w:hAnsi="Arial"/>
                <w:sz w:val="16"/>
                <w:szCs w:val="16"/>
                <w:color w:val="auto"/>
              </w:rPr>
              <w:t>Management provides feedback from shareholder outreach regarding our executive</w:t>
            </w: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1540" w:type="dxa"/>
            <w:vAlign w:val="bottom"/>
            <w:tcBorders>
              <w:right w:val="single" w:sz="8" w:color="00A798"/>
            </w:tcBorders>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shd w:val="clear" w:color="auto" w:fill="E5F6F5"/>
          </w:tcPr>
          <w:p>
            <w:pPr>
              <w:spacing w:after="0"/>
              <w:rPr>
                <w:sz w:val="18"/>
                <w:szCs w:val="18"/>
                <w:color w:val="auto"/>
              </w:rPr>
            </w:pPr>
          </w:p>
        </w:tc>
        <w:tc>
          <w:tcPr>
            <w:tcW w:w="6380" w:type="dxa"/>
            <w:vAlign w:val="bottom"/>
            <w:gridSpan w:val="2"/>
            <w:shd w:val="clear" w:color="auto" w:fill="E5F6F5"/>
          </w:tcPr>
          <w:p>
            <w:pPr>
              <w:spacing w:after="0"/>
              <w:rPr>
                <w:sz w:val="20"/>
                <w:szCs w:val="20"/>
                <w:color w:val="auto"/>
              </w:rPr>
            </w:pPr>
            <w:r>
              <w:rPr>
                <w:rFonts w:ascii="Arial" w:cs="Arial" w:eastAsia="Arial" w:hAnsi="Arial"/>
                <w:sz w:val="16"/>
                <w:szCs w:val="16"/>
                <w:color w:val="auto"/>
              </w:rPr>
              <w:t>compensation program.</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Borders>
              <w:right w:val="single" w:sz="8" w:color="00A798"/>
            </w:tcBorders>
          </w:tcPr>
          <w:p>
            <w:pPr>
              <w:spacing w:after="0"/>
              <w:rPr>
                <w:sz w:val="19"/>
                <w:szCs w:val="19"/>
                <w:color w:val="auto"/>
              </w:rPr>
            </w:pPr>
          </w:p>
        </w:tc>
        <w:tc>
          <w:tcPr>
            <w:tcW w:w="1780" w:type="dxa"/>
            <w:vAlign w:val="bottom"/>
          </w:tcPr>
          <w:p>
            <w:pPr>
              <w:spacing w:after="0"/>
              <w:rPr>
                <w:sz w:val="19"/>
                <w:szCs w:val="19"/>
                <w:color w:val="auto"/>
              </w:rPr>
            </w:pPr>
          </w:p>
        </w:tc>
        <w:tc>
          <w:tcPr>
            <w:tcW w:w="6680" w:type="dxa"/>
            <w:vAlign w:val="bottom"/>
            <w:gridSpan w:val="3"/>
            <w:shd w:val="clear" w:color="auto" w:fill="E5F6F5"/>
          </w:tcPr>
          <w:p>
            <w:pPr>
              <w:ind w:left="10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Review progress made on performance metrics.</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40" w:type="dxa"/>
            <w:vAlign w:val="bottom"/>
            <w:tcBorders>
              <w:right w:val="single" w:sz="8" w:color="00A798"/>
            </w:tcBorders>
          </w:tcPr>
          <w:p>
            <w:pPr>
              <w:spacing w:after="0"/>
              <w:rPr>
                <w:sz w:val="19"/>
                <w:szCs w:val="19"/>
                <w:color w:val="auto"/>
              </w:rPr>
            </w:pPr>
          </w:p>
        </w:tc>
        <w:tc>
          <w:tcPr>
            <w:tcW w:w="1780" w:type="dxa"/>
            <w:vAlign w:val="bottom"/>
          </w:tcPr>
          <w:p>
            <w:pPr>
              <w:spacing w:after="0"/>
              <w:rPr>
                <w:sz w:val="19"/>
                <w:szCs w:val="19"/>
                <w:color w:val="auto"/>
              </w:rPr>
            </w:pPr>
          </w:p>
        </w:tc>
        <w:tc>
          <w:tcPr>
            <w:tcW w:w="6680" w:type="dxa"/>
            <w:vAlign w:val="bottom"/>
            <w:gridSpan w:val="3"/>
            <w:shd w:val="clear" w:color="auto" w:fill="E5F6F5"/>
          </w:tcPr>
          <w:p>
            <w:pPr>
              <w:ind w:left="10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Monitor performance against financial performance metrics.</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40" w:type="dxa"/>
            <w:vAlign w:val="bottom"/>
            <w:tcBorders>
              <w:right w:val="single" w:sz="8" w:color="00A798"/>
            </w:tcBorders>
          </w:tcPr>
          <w:p>
            <w:pPr>
              <w:spacing w:after="0"/>
              <w:rPr>
                <w:sz w:val="19"/>
                <w:szCs w:val="19"/>
                <w:color w:val="auto"/>
              </w:rPr>
            </w:pPr>
          </w:p>
        </w:tc>
        <w:tc>
          <w:tcPr>
            <w:tcW w:w="1780" w:type="dxa"/>
            <w:vAlign w:val="bottom"/>
          </w:tcPr>
          <w:p>
            <w:pPr>
              <w:spacing w:after="0"/>
              <w:rPr>
                <w:sz w:val="19"/>
                <w:szCs w:val="19"/>
                <w:color w:val="auto"/>
              </w:rPr>
            </w:pPr>
          </w:p>
        </w:tc>
        <w:tc>
          <w:tcPr>
            <w:tcW w:w="6680" w:type="dxa"/>
            <w:vAlign w:val="bottom"/>
            <w:gridSpan w:val="3"/>
            <w:shd w:val="clear" w:color="auto" w:fill="E5F6F5"/>
          </w:tcPr>
          <w:p>
            <w:pPr>
              <w:ind w:left="10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Monitor compliance with stock ownership guidelines.</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540" w:type="dxa"/>
            <w:vAlign w:val="bottom"/>
            <w:tcBorders>
              <w:right w:val="single" w:sz="8" w:color="00A798"/>
            </w:tcBorders>
          </w:tcPr>
          <w:p>
            <w:pPr>
              <w:spacing w:after="0"/>
              <w:rPr>
                <w:sz w:val="19"/>
                <w:szCs w:val="19"/>
                <w:color w:val="auto"/>
              </w:rPr>
            </w:pPr>
          </w:p>
        </w:tc>
        <w:tc>
          <w:tcPr>
            <w:tcW w:w="1780" w:type="dxa"/>
            <w:vAlign w:val="bottom"/>
          </w:tcPr>
          <w:p>
            <w:pPr>
              <w:spacing w:after="0"/>
              <w:rPr>
                <w:sz w:val="19"/>
                <w:szCs w:val="19"/>
                <w:color w:val="auto"/>
              </w:rPr>
            </w:pPr>
          </w:p>
        </w:tc>
        <w:tc>
          <w:tcPr>
            <w:tcW w:w="6680" w:type="dxa"/>
            <w:vAlign w:val="bottom"/>
            <w:gridSpan w:val="3"/>
            <w:shd w:val="clear" w:color="auto" w:fill="E5F6F5"/>
          </w:tcPr>
          <w:p>
            <w:pPr>
              <w:ind w:left="10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Monitor and assess regulatory developments and new disclosure requirements.</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540" w:type="dxa"/>
            <w:vAlign w:val="bottom"/>
            <w:tcBorders>
              <w:right w:val="single" w:sz="8" w:color="00A798"/>
            </w:tcBorders>
          </w:tcPr>
          <w:p>
            <w:pPr>
              <w:spacing w:after="0"/>
              <w:rPr>
                <w:sz w:val="9"/>
                <w:szCs w:val="9"/>
                <w:color w:val="auto"/>
              </w:rPr>
            </w:pPr>
          </w:p>
        </w:tc>
        <w:tc>
          <w:tcPr>
            <w:tcW w:w="1780" w:type="dxa"/>
            <w:vAlign w:val="bottom"/>
          </w:tcPr>
          <w:p>
            <w:pPr>
              <w:spacing w:after="0"/>
              <w:rPr>
                <w:sz w:val="9"/>
                <w:szCs w:val="9"/>
                <w:color w:val="auto"/>
              </w:rPr>
            </w:pPr>
          </w:p>
        </w:tc>
        <w:tc>
          <w:tcPr>
            <w:tcW w:w="300" w:type="dxa"/>
            <w:vAlign w:val="bottom"/>
            <w:shd w:val="clear" w:color="auto" w:fill="E5F6F5"/>
          </w:tcPr>
          <w:p>
            <w:pPr>
              <w:spacing w:after="0"/>
              <w:rPr>
                <w:sz w:val="9"/>
                <w:szCs w:val="9"/>
                <w:color w:val="auto"/>
              </w:rPr>
            </w:pPr>
          </w:p>
        </w:tc>
        <w:tc>
          <w:tcPr>
            <w:tcW w:w="880" w:type="dxa"/>
            <w:vAlign w:val="bottom"/>
            <w:shd w:val="clear" w:color="auto" w:fill="E5F6F5"/>
          </w:tcPr>
          <w:p>
            <w:pPr>
              <w:spacing w:after="0"/>
              <w:rPr>
                <w:sz w:val="9"/>
                <w:szCs w:val="9"/>
                <w:color w:val="auto"/>
              </w:rPr>
            </w:pPr>
          </w:p>
        </w:tc>
        <w:tc>
          <w:tcPr>
            <w:tcW w:w="5500" w:type="dxa"/>
            <w:vAlign w:val="bottom"/>
            <w:shd w:val="clear" w:color="auto" w:fill="E5F6F5"/>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540" w:type="dxa"/>
            <w:vAlign w:val="bottom"/>
            <w:tcBorders>
              <w:right w:val="single" w:sz="8" w:color="00A798"/>
            </w:tcBorders>
          </w:tcPr>
          <w:p>
            <w:pPr>
              <w:spacing w:after="0"/>
              <w:rPr>
                <w:sz w:val="12"/>
                <w:szCs w:val="12"/>
                <w:color w:val="auto"/>
              </w:rPr>
            </w:pPr>
          </w:p>
        </w:tc>
        <w:tc>
          <w:tcPr>
            <w:tcW w:w="1780" w:type="dxa"/>
            <w:vAlign w:val="bottom"/>
            <w:tcBorders>
              <w:bottom w:val="single" w:sz="8" w:color="00A798"/>
            </w:tcBorders>
          </w:tcPr>
          <w:p>
            <w:pPr>
              <w:spacing w:after="0"/>
              <w:rPr>
                <w:sz w:val="12"/>
                <w:szCs w:val="12"/>
                <w:color w:val="auto"/>
              </w:rPr>
            </w:pPr>
          </w:p>
        </w:tc>
        <w:tc>
          <w:tcPr>
            <w:tcW w:w="300" w:type="dxa"/>
            <w:vAlign w:val="bottom"/>
            <w:tcBorders>
              <w:bottom w:val="single" w:sz="8" w:color="00A798"/>
            </w:tcBorders>
          </w:tcPr>
          <w:p>
            <w:pPr>
              <w:spacing w:after="0"/>
              <w:rPr>
                <w:sz w:val="12"/>
                <w:szCs w:val="12"/>
                <w:color w:val="auto"/>
              </w:rPr>
            </w:pPr>
          </w:p>
        </w:tc>
        <w:tc>
          <w:tcPr>
            <w:tcW w:w="880" w:type="dxa"/>
            <w:vAlign w:val="bottom"/>
            <w:tcBorders>
              <w:bottom w:val="single" w:sz="8" w:color="00A798"/>
            </w:tcBorders>
          </w:tcPr>
          <w:p>
            <w:pPr>
              <w:spacing w:after="0"/>
              <w:rPr>
                <w:sz w:val="12"/>
                <w:szCs w:val="12"/>
                <w:color w:val="auto"/>
              </w:rPr>
            </w:pPr>
          </w:p>
        </w:tc>
        <w:tc>
          <w:tcPr>
            <w:tcW w:w="5500" w:type="dxa"/>
            <w:vAlign w:val="bottom"/>
            <w:tcBorders>
              <w:bottom w:val="single" w:sz="8" w:color="00A798"/>
            </w:tcBorders>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9"/>
        </w:trPr>
        <w:tc>
          <w:tcPr>
            <w:tcW w:w="15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-3265805</wp:posOffset>
            </wp:positionV>
            <wp:extent cx="163195" cy="774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63195" cy="7747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-2725420</wp:posOffset>
            </wp:positionV>
            <wp:extent cx="163195" cy="7747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63195" cy="7747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-2031365</wp:posOffset>
            </wp:positionV>
            <wp:extent cx="163195" cy="768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63195" cy="7683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66" w:name="page67"/>
    <w:bookmarkEnd w:id="66"/>
    <w:p>
      <w:pPr>
        <w:ind w:left="8420"/>
        <w:spacing w:after="0"/>
        <w:tabs>
          <w:tab w:leader="none" w:pos="109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Compensation Matters | MSCI</w:t>
      </w:r>
      <w:r>
        <w:rPr>
          <w:sz w:val="20"/>
          <w:szCs w:val="20"/>
          <w:color w:val="auto"/>
        </w:rPr>
        <w:tab/>
      </w:r>
      <w:r>
        <w:rPr>
          <w:rFonts w:ascii="Arial" w:cs="Arial" w:eastAsia="Arial" w:hAnsi="Arial"/>
          <w:sz w:val="14"/>
          <w:szCs w:val="14"/>
          <w:b w:val="1"/>
          <w:bCs w:val="1"/>
          <w:color w:val="1A3FD6"/>
        </w:rPr>
        <w:t>65</w:t>
      </w:r>
    </w:p>
    <w:p>
      <w:pPr>
        <w:sectPr>
          <w:pgSz w:w="11900" w:h="16838" w:orient="portrait"/>
          <w:cols w:equalWidth="0" w:num="1">
            <w:col w:w="11220"/>
          </w:cols>
          <w:pgMar w:left="320" w:top="2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Independent Compensation Consultant</w:t>
      </w:r>
    </w:p>
    <w:p>
      <w:pPr>
        <w:spacing w:after="0" w:line="101"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The Compensation Committee selected and engaged Semler Brossy as its independent compensation consultant to assist with a range of executive compensation matters, including the overall design of our executive compensation program, evaluation and selection of peer group companies, provision of competitive market data and other matters related to our NEO compensation program. During 2024, Semler Brossy was present at all Compensation Committee meetings, other than the Compensation Committee’s annual in-depth review of senior leader progression planning, and consulted on executive compensation matters, including by reviewing agendas and preparing materials in advance of each meeting and sharing peer and best practices with management and the Compensation Committee, as appropriate. The Compensation Committee recognizes that it is important to receive objective advice from its outside advisor and regularly meets with Semler Brossy in Executive Session without management’s attendance. Semler Brossy reports directly to the Compensation Committee, which, pursuant to its charter, maintains sole responsibility for retaining or terminating the compensation consultant. Semler Brossy did not provide any other services to MSCI during 2024.</w:t>
      </w:r>
    </w:p>
    <w:p>
      <w:pPr>
        <w:spacing w:after="0" w:line="114"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Executive Compensation Considerations</w:t>
      </w:r>
    </w:p>
    <w:p>
      <w:pPr>
        <w:spacing w:after="0" w:line="18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Compensation Committee considers a range of factors in determining compensation components and setting compensation amounts. In addition to reviewing NEO performance against annual goals, various financial and operational metrics and individual goals, the Compensation Committee reviews peer group analyses provided by Semler Brossy (used as a reference without benchmarking to a specified target) and shareholder feedback. The weight attributed to each individual factor may change from time to time, depending on the circumstances of such decisions. We believe this continues to be the best approach for the Company, as it enables the Compensation Committee to balance competing interests, address evolving priorities and meet Company objectives.</w:t>
      </w: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2024 Say-on-Pay Vote Results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In 2024, 97.3% of the votes cast on the Say-on-Pay Advisory Vote were voted in support of the compensation of our NEOs.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1A3FD6"/>
        </w:rPr>
        <w:t>High Approval for the Last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73660</wp:posOffset>
            </wp:positionV>
            <wp:extent cx="3454400" cy="18599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45440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280"/>
        <w:spacing w:after="0"/>
        <w:rPr>
          <w:sz w:val="20"/>
          <w:szCs w:val="20"/>
          <w:color w:val="auto"/>
        </w:rPr>
      </w:pPr>
      <w:r>
        <w:rPr>
          <w:rFonts w:ascii="Arial" w:cs="Arial" w:eastAsia="Arial" w:hAnsi="Arial"/>
          <w:sz w:val="12"/>
          <w:szCs w:val="12"/>
          <w:b w:val="1"/>
          <w:bCs w:val="1"/>
          <w:color w:val="1A3FD6"/>
        </w:rPr>
        <w:t xml:space="preserve">¢  </w:t>
      </w:r>
      <w:r>
        <w:rPr>
          <w:rFonts w:ascii="Arial" w:cs="Arial" w:eastAsia="Arial" w:hAnsi="Arial"/>
          <w:sz w:val="14"/>
          <w:szCs w:val="14"/>
          <w:color w:val="000000"/>
        </w:rPr>
        <w:t xml:space="preserve">MSCI     </w:t>
      </w:r>
      <w:r>
        <w:rPr>
          <w:sz w:val="1"/>
          <w:szCs w:val="1"/>
          <w:color w:val="auto"/>
        </w:rPr>
        <w:drawing>
          <wp:inline distT="0" distB="0" distL="0" distR="0">
            <wp:extent cx="163195" cy="60325"/>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63195" cy="60325"/>
                    </a:xfrm>
                    <a:prstGeom prst="rect">
                      <a:avLst/>
                    </a:prstGeom>
                    <a:noFill/>
                    <a:ln>
                      <a:noFill/>
                    </a:ln>
                  </pic:spPr>
                </pic:pic>
              </a:graphicData>
            </a:graphic>
          </wp:inline>
        </w:drawing>
      </w:r>
      <w:r>
        <w:rPr>
          <w:rFonts w:ascii="Arial" w:cs="Arial" w:eastAsia="Arial" w:hAnsi="Arial"/>
          <w:sz w:val="14"/>
          <w:szCs w:val="14"/>
          <w:color w:val="auto"/>
        </w:rPr>
        <w:t xml:space="preserve">   S&amp;P 500 Average</w:t>
      </w: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Shareholder Engagement</w:t>
      </w:r>
    </w:p>
    <w:p>
      <w:pPr>
        <w:spacing w:after="0" w:line="101"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MSCI has established a robust process for engaging shareholders on executive compensation. On at least an annual basis, we meet with shareholders to provide an overview of our executive compensation program and highlight recent changes, if any. In our 2024 Corporate Responsibility Roadshow, the Company contacted our top 17 shareholders representing approximately 46.0% of our outstanding shares, and met with shareholders representing approximately 27.8% of our outstanding shares as of September 30, 2024 in individual meetings to discuss our corporate responsibility practices, including our executive compensation program. Shareholders generally reacted positively to the Company’s current compensation program and none of the shareholders expressed significant concerns.</w:t>
      </w:r>
    </w:p>
    <w:p>
      <w:pPr>
        <w:spacing w:after="0" w:line="80"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Our 2024 compensation program reflects feedback we considered from our shareholders over the last several years, including meaningful changes that we incorporated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type w:val="continuous"/>
        </w:sectPr>
      </w:pPr>
    </w:p>
    <w:bookmarkStart w:id="67" w:name="page68"/>
    <w:bookmarkEnd w:id="67"/>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66</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740"/>
        <w:spacing w:after="0"/>
        <w:rPr>
          <w:sz w:val="20"/>
          <w:szCs w:val="20"/>
          <w:color w:val="auto"/>
        </w:rPr>
      </w:pPr>
      <w:r>
        <w:rPr>
          <w:rFonts w:ascii="Arial" w:cs="Arial" w:eastAsia="Arial" w:hAnsi="Arial"/>
          <w:sz w:val="19"/>
          <w:szCs w:val="19"/>
          <w:b w:val="1"/>
          <w:bCs w:val="1"/>
          <w:color w:val="1A3FD6"/>
        </w:rPr>
        <w:t>Recent Enhancements in Response to Shareholder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1A3FD6"/>
        </w:rPr>
        <w:t xml:space="preserve">WHAT WE HEARD       </w:t>
      </w:r>
      <w:r>
        <w:rPr>
          <w:sz w:val="1"/>
          <w:szCs w:val="1"/>
          <w:color w:val="auto"/>
        </w:rPr>
        <w:drawing>
          <wp:inline distT="0" distB="0" distL="0" distR="0">
            <wp:extent cx="76835" cy="163195"/>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6835" cy="163195"/>
                    </a:xfrm>
                    <a:prstGeom prst="rect">
                      <a:avLst/>
                    </a:prstGeom>
                    <a:noFill/>
                    <a:ln>
                      <a:noFill/>
                    </a:ln>
                  </pic:spPr>
                </pic:pic>
              </a:graphicData>
            </a:graphic>
          </wp:inline>
        </w:drawing>
      </w:r>
      <w:r>
        <w:rPr>
          <w:rFonts w:ascii="Arial" w:cs="Arial" w:eastAsia="Arial" w:hAnsi="Arial"/>
          <w:sz w:val="16"/>
          <w:szCs w:val="16"/>
          <w:b w:val="1"/>
          <w:bCs w:val="1"/>
          <w:color w:val="1A3FD6"/>
        </w:rPr>
        <w:t xml:space="preserve">   WHAT WE DID                                            </w:t>
      </w:r>
      <w:r>
        <w:rPr>
          <w:sz w:val="1"/>
          <w:szCs w:val="1"/>
          <w:color w:val="auto"/>
        </w:rPr>
        <w:drawing>
          <wp:inline distT="0" distB="0" distL="0" distR="0">
            <wp:extent cx="77470" cy="163195"/>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7470" cy="163195"/>
                    </a:xfrm>
                    <a:prstGeom prst="rect">
                      <a:avLst/>
                    </a:prstGeom>
                    <a:noFill/>
                    <a:ln>
                      <a:noFill/>
                    </a:ln>
                  </pic:spPr>
                </pic:pic>
              </a:graphicData>
            </a:graphic>
          </wp:inline>
        </w:drawing>
      </w:r>
      <w:r>
        <w:rPr>
          <w:rFonts w:ascii="Arial" w:cs="Arial" w:eastAsia="Arial" w:hAnsi="Arial"/>
          <w:sz w:val="16"/>
          <w:szCs w:val="16"/>
          <w:b w:val="1"/>
          <w:bCs w:val="1"/>
          <w:color w:val="1A3FD6"/>
        </w:rPr>
        <w:t xml:space="preserve">   WHY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2020" w:type="dxa"/>
            <w:vAlign w:val="bottom"/>
          </w:tcPr>
          <w:p>
            <w:pPr>
              <w:spacing w:after="0"/>
              <w:rPr>
                <w:sz w:val="20"/>
                <w:szCs w:val="20"/>
                <w:color w:val="auto"/>
              </w:rPr>
            </w:pPr>
            <w:r>
              <w:rPr>
                <w:rFonts w:ascii="Arial" w:cs="Arial" w:eastAsia="Arial" w:hAnsi="Arial"/>
                <w:sz w:val="16"/>
                <w:szCs w:val="16"/>
                <w:b w:val="1"/>
                <w:bCs w:val="1"/>
                <w:color w:val="auto"/>
              </w:rPr>
              <w:t>Request for clarity on</w:t>
            </w:r>
          </w:p>
        </w:tc>
        <w:tc>
          <w:tcPr>
            <w:tcW w:w="4940" w:type="dxa"/>
            <w:vAlign w:val="bottom"/>
          </w:tcPr>
          <w:p>
            <w:pPr>
              <w:ind w:left="360"/>
              <w:spacing w:after="0"/>
              <w:rPr>
                <w:sz w:val="20"/>
                <w:szCs w:val="20"/>
                <w:color w:val="auto"/>
              </w:rPr>
            </w:pPr>
            <w:r>
              <w:rPr>
                <w:rFonts w:ascii="Arial" w:cs="Arial" w:eastAsia="Arial" w:hAnsi="Arial"/>
                <w:sz w:val="16"/>
                <w:szCs w:val="16"/>
                <w:color w:val="auto"/>
              </w:rPr>
              <w:t>Amended the Company’s stock ownership guidelines to exclude</w:t>
            </w:r>
          </w:p>
        </w:tc>
      </w:tr>
      <w:tr>
        <w:trPr>
          <w:trHeight w:val="189"/>
        </w:trPr>
        <w:tc>
          <w:tcPr>
            <w:tcW w:w="2020" w:type="dxa"/>
            <w:vAlign w:val="bottom"/>
          </w:tcPr>
          <w:p>
            <w:pPr>
              <w:spacing w:after="0"/>
              <w:rPr>
                <w:sz w:val="20"/>
                <w:szCs w:val="20"/>
                <w:color w:val="auto"/>
              </w:rPr>
            </w:pPr>
            <w:r>
              <w:rPr>
                <w:rFonts w:ascii="Arial" w:cs="Arial" w:eastAsia="Arial" w:hAnsi="Arial"/>
                <w:sz w:val="16"/>
                <w:szCs w:val="16"/>
                <w:b w:val="1"/>
                <w:bCs w:val="1"/>
                <w:color w:val="auto"/>
              </w:rPr>
              <w:t>minimum ownership</w:t>
            </w:r>
          </w:p>
        </w:tc>
        <w:tc>
          <w:tcPr>
            <w:tcW w:w="4940" w:type="dxa"/>
            <w:vAlign w:val="bottom"/>
          </w:tcPr>
          <w:p>
            <w:pPr>
              <w:ind w:left="360"/>
              <w:spacing w:after="0"/>
              <w:rPr>
                <w:sz w:val="20"/>
                <w:szCs w:val="20"/>
                <w:color w:val="auto"/>
              </w:rPr>
            </w:pPr>
            <w:r>
              <w:rPr>
                <w:rFonts w:ascii="Arial" w:cs="Arial" w:eastAsia="Arial" w:hAnsi="Arial"/>
                <w:sz w:val="16"/>
                <w:szCs w:val="16"/>
                <w:color w:val="auto"/>
              </w:rPr>
              <w:t>unexercised options and unvested performance awards from</w:t>
            </w:r>
          </w:p>
        </w:tc>
      </w:tr>
      <w:tr>
        <w:trPr>
          <w:trHeight w:val="203"/>
        </w:trPr>
        <w:tc>
          <w:tcPr>
            <w:tcW w:w="2020" w:type="dxa"/>
            <w:vAlign w:val="bottom"/>
          </w:tcPr>
          <w:p>
            <w:pPr>
              <w:spacing w:after="0"/>
              <w:rPr>
                <w:sz w:val="20"/>
                <w:szCs w:val="20"/>
                <w:color w:val="auto"/>
              </w:rPr>
            </w:pPr>
            <w:r>
              <w:rPr>
                <w:rFonts w:ascii="Arial" w:cs="Arial" w:eastAsia="Arial" w:hAnsi="Arial"/>
                <w:sz w:val="16"/>
                <w:szCs w:val="16"/>
                <w:b w:val="1"/>
                <w:bCs w:val="1"/>
                <w:color w:val="auto"/>
              </w:rPr>
              <w:t>calculation of</w:t>
            </w:r>
          </w:p>
        </w:tc>
        <w:tc>
          <w:tcPr>
            <w:tcW w:w="4940" w:type="dxa"/>
            <w:vAlign w:val="bottom"/>
          </w:tcPr>
          <w:p>
            <w:pPr>
              <w:ind w:left="360"/>
              <w:spacing w:after="0"/>
              <w:rPr>
                <w:sz w:val="20"/>
                <w:szCs w:val="20"/>
                <w:color w:val="auto"/>
              </w:rPr>
            </w:pPr>
            <w:r>
              <w:rPr>
                <w:rFonts w:ascii="Arial" w:cs="Arial" w:eastAsia="Arial" w:hAnsi="Arial"/>
                <w:sz w:val="16"/>
                <w:szCs w:val="16"/>
                <w:color w:val="auto"/>
              </w:rPr>
              <w:t>minimum ownership calculation</w:t>
            </w:r>
          </w:p>
        </w:tc>
      </w:tr>
      <w:tr>
        <w:trPr>
          <w:trHeight w:val="223"/>
        </w:trPr>
        <w:tc>
          <w:tcPr>
            <w:tcW w:w="2020" w:type="dxa"/>
            <w:vAlign w:val="bottom"/>
          </w:tcPr>
          <w:p>
            <w:pPr>
              <w:spacing w:after="0"/>
              <w:rPr>
                <w:sz w:val="20"/>
                <w:szCs w:val="20"/>
                <w:color w:val="auto"/>
              </w:rPr>
            </w:pPr>
            <w:r>
              <w:rPr>
                <w:rFonts w:ascii="Arial" w:cs="Arial" w:eastAsia="Arial" w:hAnsi="Arial"/>
                <w:sz w:val="16"/>
                <w:szCs w:val="16"/>
                <w:b w:val="1"/>
                <w:bCs w:val="1"/>
                <w:color w:val="auto"/>
              </w:rPr>
              <w:t>ownership guidelines</w:t>
            </w:r>
          </w:p>
        </w:tc>
        <w:tc>
          <w:tcPr>
            <w:tcW w:w="49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We believe excluding unexercised options and unvested performance awards from minimum ownership requirements better aligns with market best practice</w:t>
      </w:r>
    </w:p>
    <w:p>
      <w:pPr>
        <w:spacing w:after="0" w:line="191" w:lineRule="exact"/>
        <w:rPr>
          <w:sz w:val="20"/>
          <w:szCs w:val="20"/>
          <w:color w:val="auto"/>
        </w:rPr>
      </w:pPr>
    </w:p>
    <w:p>
      <w:pPr>
        <w:sectPr>
          <w:pgSz w:w="11900" w:h="16838" w:orient="portrait"/>
          <w:cols w:equalWidth="0" w:num="2">
            <w:col w:w="7300" w:space="720"/>
            <w:col w:w="3220"/>
          </w:cols>
          <w:pgMar w:left="320" w:top="292" w:right="3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2060" w:type="dxa"/>
            <w:vAlign w:val="bottom"/>
            <w:shd w:val="clear" w:color="auto" w:fill="EDF0FC"/>
          </w:tcPr>
          <w:p>
            <w:pPr>
              <w:ind w:left="160"/>
              <w:spacing w:after="0"/>
              <w:rPr>
                <w:sz w:val="20"/>
                <w:szCs w:val="20"/>
                <w:color w:val="auto"/>
              </w:rPr>
            </w:pPr>
            <w:r>
              <w:rPr>
                <w:rFonts w:ascii="Arial" w:cs="Arial" w:eastAsia="Arial" w:hAnsi="Arial"/>
                <w:sz w:val="16"/>
                <w:szCs w:val="16"/>
                <w:b w:val="1"/>
                <w:bCs w:val="1"/>
                <w:color w:val="auto"/>
              </w:rPr>
              <w:t>Request to lower the</w:t>
            </w:r>
          </w:p>
        </w:tc>
        <w:tc>
          <w:tcPr>
            <w:tcW w:w="5480" w:type="dxa"/>
            <w:vAlign w:val="bottom"/>
            <w:shd w:val="clear" w:color="auto" w:fill="EDF0FC"/>
          </w:tcPr>
          <w:p>
            <w:pPr>
              <w:ind w:left="480"/>
              <w:spacing w:after="0"/>
              <w:rPr>
                <w:sz w:val="20"/>
                <w:szCs w:val="20"/>
                <w:color w:val="auto"/>
              </w:rPr>
            </w:pPr>
            <w:r>
              <w:rPr>
                <w:rFonts w:ascii="Arial" w:cs="Arial" w:eastAsia="Arial" w:hAnsi="Arial"/>
                <w:sz w:val="16"/>
                <w:szCs w:val="16"/>
                <w:color w:val="auto"/>
              </w:rPr>
              <w:t>Beginning with awards granted in 2024, we lowered the payout</w:t>
            </w:r>
          </w:p>
        </w:tc>
        <w:tc>
          <w:tcPr>
            <w:tcW w:w="3700" w:type="dxa"/>
            <w:vAlign w:val="bottom"/>
            <w:shd w:val="clear" w:color="auto" w:fill="EDF0FC"/>
          </w:tcPr>
          <w:p>
            <w:pPr>
              <w:ind w:left="480"/>
              <w:spacing w:after="0"/>
              <w:rPr>
                <w:sz w:val="20"/>
                <w:szCs w:val="20"/>
                <w:color w:val="auto"/>
              </w:rPr>
            </w:pPr>
            <w:r>
              <w:rPr>
                <w:rFonts w:ascii="Arial" w:cs="Arial" w:eastAsia="Arial" w:hAnsi="Arial"/>
                <w:sz w:val="16"/>
                <w:szCs w:val="16"/>
                <w:color w:val="auto"/>
              </w:rPr>
              <w:t>We believe a lower PSU payout maximum</w:t>
            </w:r>
          </w:p>
        </w:tc>
      </w:tr>
      <w:tr>
        <w:trPr>
          <w:trHeight w:val="189"/>
        </w:trPr>
        <w:tc>
          <w:tcPr>
            <w:tcW w:w="2060" w:type="dxa"/>
            <w:vAlign w:val="bottom"/>
            <w:shd w:val="clear" w:color="auto" w:fill="EDF0FC"/>
          </w:tcPr>
          <w:p>
            <w:pPr>
              <w:ind w:left="160"/>
              <w:spacing w:after="0"/>
              <w:rPr>
                <w:sz w:val="20"/>
                <w:szCs w:val="20"/>
                <w:color w:val="auto"/>
              </w:rPr>
            </w:pPr>
            <w:r>
              <w:rPr>
                <w:rFonts w:ascii="Arial" w:cs="Arial" w:eastAsia="Arial" w:hAnsi="Arial"/>
                <w:sz w:val="16"/>
                <w:szCs w:val="16"/>
                <w:b w:val="1"/>
                <w:bCs w:val="1"/>
                <w:color w:val="auto"/>
              </w:rPr>
              <w:t>PSU payout maximum</w:t>
            </w:r>
          </w:p>
        </w:tc>
        <w:tc>
          <w:tcPr>
            <w:tcW w:w="5480" w:type="dxa"/>
            <w:vAlign w:val="bottom"/>
            <w:shd w:val="clear" w:color="auto" w:fill="EDF0FC"/>
          </w:tcPr>
          <w:p>
            <w:pPr>
              <w:ind w:left="480"/>
              <w:spacing w:after="0"/>
              <w:rPr>
                <w:sz w:val="20"/>
                <w:szCs w:val="20"/>
                <w:color w:val="auto"/>
              </w:rPr>
            </w:pPr>
            <w:r>
              <w:rPr>
                <w:rFonts w:ascii="Arial" w:cs="Arial" w:eastAsia="Arial" w:hAnsi="Arial"/>
                <w:sz w:val="16"/>
                <w:szCs w:val="16"/>
                <w:color w:val="auto"/>
              </w:rPr>
              <w:t>maximum for annual PSUs from 300% to 200%</w:t>
            </w:r>
          </w:p>
        </w:tc>
        <w:tc>
          <w:tcPr>
            <w:tcW w:w="3700" w:type="dxa"/>
            <w:vAlign w:val="bottom"/>
            <w:shd w:val="clear" w:color="auto" w:fill="EDF0FC"/>
          </w:tcPr>
          <w:p>
            <w:pPr>
              <w:ind w:left="480"/>
              <w:spacing w:after="0"/>
              <w:rPr>
                <w:sz w:val="20"/>
                <w:szCs w:val="20"/>
                <w:color w:val="auto"/>
              </w:rPr>
            </w:pPr>
            <w:r>
              <w:rPr>
                <w:rFonts w:ascii="Arial" w:cs="Arial" w:eastAsia="Arial" w:hAnsi="Arial"/>
                <w:sz w:val="16"/>
                <w:szCs w:val="16"/>
                <w:color w:val="auto"/>
              </w:rPr>
              <w:t>better aligns with market practice and is</w:t>
            </w:r>
          </w:p>
        </w:tc>
      </w:tr>
      <w:tr>
        <w:trPr>
          <w:trHeight w:val="189"/>
        </w:trPr>
        <w:tc>
          <w:tcPr>
            <w:tcW w:w="2060" w:type="dxa"/>
            <w:vAlign w:val="bottom"/>
            <w:shd w:val="clear" w:color="auto" w:fill="EDF0FC"/>
          </w:tcPr>
          <w:p>
            <w:pPr>
              <w:spacing w:after="0"/>
              <w:rPr>
                <w:sz w:val="16"/>
                <w:szCs w:val="16"/>
                <w:color w:val="auto"/>
              </w:rPr>
            </w:pPr>
          </w:p>
        </w:tc>
        <w:tc>
          <w:tcPr>
            <w:tcW w:w="5480" w:type="dxa"/>
            <w:vAlign w:val="bottom"/>
            <w:shd w:val="clear" w:color="auto" w:fill="EDF0FC"/>
          </w:tcPr>
          <w:p>
            <w:pPr>
              <w:spacing w:after="0"/>
              <w:rPr>
                <w:sz w:val="16"/>
                <w:szCs w:val="16"/>
                <w:color w:val="auto"/>
              </w:rPr>
            </w:pPr>
          </w:p>
        </w:tc>
        <w:tc>
          <w:tcPr>
            <w:tcW w:w="3700" w:type="dxa"/>
            <w:vAlign w:val="bottom"/>
            <w:shd w:val="clear" w:color="auto" w:fill="EDF0FC"/>
          </w:tcPr>
          <w:p>
            <w:pPr>
              <w:ind w:left="480"/>
              <w:spacing w:after="0"/>
              <w:rPr>
                <w:sz w:val="20"/>
                <w:szCs w:val="20"/>
                <w:color w:val="auto"/>
              </w:rPr>
            </w:pPr>
            <w:r>
              <w:rPr>
                <w:rFonts w:ascii="Arial" w:cs="Arial" w:eastAsia="Arial" w:hAnsi="Arial"/>
                <w:sz w:val="16"/>
                <w:szCs w:val="16"/>
                <w:color w:val="auto"/>
              </w:rPr>
              <w:t>directly responsive to</w:t>
            </w:r>
          </w:p>
        </w:tc>
      </w:tr>
      <w:tr>
        <w:trPr>
          <w:trHeight w:val="215"/>
        </w:trPr>
        <w:tc>
          <w:tcPr>
            <w:tcW w:w="2060" w:type="dxa"/>
            <w:vAlign w:val="bottom"/>
            <w:shd w:val="clear" w:color="auto" w:fill="EDF0FC"/>
          </w:tcPr>
          <w:p>
            <w:pPr>
              <w:spacing w:after="0"/>
              <w:rPr>
                <w:sz w:val="18"/>
                <w:szCs w:val="18"/>
                <w:color w:val="auto"/>
              </w:rPr>
            </w:pPr>
          </w:p>
        </w:tc>
        <w:tc>
          <w:tcPr>
            <w:tcW w:w="5480" w:type="dxa"/>
            <w:vAlign w:val="bottom"/>
            <w:shd w:val="clear" w:color="auto" w:fill="EDF0FC"/>
          </w:tcPr>
          <w:p>
            <w:pPr>
              <w:spacing w:after="0"/>
              <w:rPr>
                <w:sz w:val="18"/>
                <w:szCs w:val="18"/>
                <w:color w:val="auto"/>
              </w:rPr>
            </w:pPr>
          </w:p>
        </w:tc>
        <w:tc>
          <w:tcPr>
            <w:tcW w:w="3700" w:type="dxa"/>
            <w:vAlign w:val="bottom"/>
            <w:shd w:val="clear" w:color="auto" w:fill="EDF0FC"/>
          </w:tcPr>
          <w:p>
            <w:pPr>
              <w:ind w:left="480"/>
              <w:spacing w:after="0"/>
              <w:rPr>
                <w:sz w:val="20"/>
                <w:szCs w:val="20"/>
                <w:color w:val="auto"/>
              </w:rPr>
            </w:pPr>
            <w:r>
              <w:rPr>
                <w:rFonts w:ascii="Arial" w:cs="Arial" w:eastAsia="Arial" w:hAnsi="Arial"/>
                <w:sz w:val="16"/>
                <w:szCs w:val="16"/>
                <w:color w:val="auto"/>
              </w:rPr>
              <w:t>shareholder feedback</w:t>
            </w:r>
          </w:p>
        </w:tc>
      </w:tr>
      <w:tr>
        <w:trPr>
          <w:trHeight w:val="69"/>
        </w:trPr>
        <w:tc>
          <w:tcPr>
            <w:tcW w:w="2060" w:type="dxa"/>
            <w:vAlign w:val="bottom"/>
            <w:shd w:val="clear" w:color="auto" w:fill="EDF0FC"/>
          </w:tcPr>
          <w:p>
            <w:pPr>
              <w:spacing w:after="0"/>
              <w:rPr>
                <w:sz w:val="6"/>
                <w:szCs w:val="6"/>
                <w:color w:val="auto"/>
              </w:rPr>
            </w:pPr>
          </w:p>
        </w:tc>
        <w:tc>
          <w:tcPr>
            <w:tcW w:w="5480" w:type="dxa"/>
            <w:vAlign w:val="bottom"/>
            <w:shd w:val="clear" w:color="auto" w:fill="EDF0FC"/>
          </w:tcPr>
          <w:p>
            <w:pPr>
              <w:spacing w:after="0"/>
              <w:rPr>
                <w:sz w:val="6"/>
                <w:szCs w:val="6"/>
                <w:color w:val="auto"/>
              </w:rPr>
            </w:pPr>
          </w:p>
        </w:tc>
        <w:tc>
          <w:tcPr>
            <w:tcW w:w="3700" w:type="dxa"/>
            <w:vAlign w:val="bottom"/>
            <w:shd w:val="clear" w:color="auto" w:fill="EDF0FC"/>
          </w:tcPr>
          <w:p>
            <w:pPr>
              <w:spacing w:after="0"/>
              <w:rPr>
                <w:sz w:val="6"/>
                <w:szCs w:val="6"/>
                <w:color w:val="auto"/>
              </w:rPr>
            </w:pPr>
          </w:p>
        </w:tc>
      </w:tr>
    </w:tbl>
    <w:p>
      <w:pPr>
        <w:spacing w:after="0" w:line="175" w:lineRule="exact"/>
        <w:rPr>
          <w:sz w:val="20"/>
          <w:szCs w:val="20"/>
          <w:color w:val="auto"/>
        </w:rPr>
      </w:pPr>
    </w:p>
    <w:p>
      <w:pPr>
        <w:sectPr>
          <w:pgSz w:w="11900" w:h="16838" w:orient="portrait"/>
          <w:cols w:equalWidth="0" w:num="1">
            <w:col w:w="11240"/>
          </w:cols>
          <w:pgMar w:left="320" w:top="292" w:right="339" w:bottom="1440" w:gutter="0" w:footer="0" w:header="0"/>
          <w:type w:val="continuous"/>
        </w:sectPr>
      </w:pPr>
    </w:p>
    <w:p>
      <w:pPr>
        <w:ind w:left="160"/>
        <w:spacing w:after="0" w:line="260" w:lineRule="auto"/>
        <w:rPr>
          <w:sz w:val="20"/>
          <w:szCs w:val="20"/>
          <w:color w:val="auto"/>
        </w:rPr>
      </w:pPr>
      <w:r>
        <w:rPr>
          <w:rFonts w:ascii="Arial" w:cs="Arial" w:eastAsia="Arial" w:hAnsi="Arial"/>
          <w:sz w:val="16"/>
          <w:szCs w:val="16"/>
          <w:b w:val="1"/>
          <w:bCs w:val="1"/>
          <w:color w:val="auto"/>
        </w:rPr>
        <w:t>Focus on an owner-operator culture, stronger link between LTIP awards and operational performance, and enhanced retention</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Arial" w:cs="Arial" w:eastAsia="Arial" w:hAnsi="Arial"/>
          <w:sz w:val="16"/>
          <w:szCs w:val="16"/>
          <w:color w:val="auto"/>
        </w:rPr>
        <w:t>In 2022, the Compensation Committee strengthened stock ownership guidelines, making them among the highest in our peer group; introduced PSOs tied to financial and operating metrics alongside TSR-based PSUs; and shifted RSU vesting to 100% cliff-vesting after three years instead of annual ratable vesting</w:t>
      </w:r>
    </w:p>
    <w:p>
      <w:pPr>
        <w:spacing w:after="0" w:line="20" w:lineRule="exact"/>
        <w:rPr>
          <w:sz w:val="20"/>
          <w:szCs w:val="20"/>
          <w:color w:val="auto"/>
        </w:rPr>
      </w:pPr>
      <w:r>
        <w:rPr>
          <w:sz w:val="20"/>
          <w:szCs w:val="20"/>
          <w:color w:val="auto"/>
        </w:rPr>
        <w:br w:type="column"/>
      </w:r>
    </w:p>
    <w:p>
      <w:pPr>
        <w:ind w:right="160"/>
        <w:spacing w:after="0" w:line="254" w:lineRule="auto"/>
        <w:rPr>
          <w:sz w:val="20"/>
          <w:szCs w:val="20"/>
          <w:color w:val="auto"/>
        </w:rPr>
      </w:pPr>
      <w:r>
        <w:rPr>
          <w:rFonts w:ascii="Arial" w:cs="Arial" w:eastAsia="Arial" w:hAnsi="Arial"/>
          <w:sz w:val="16"/>
          <w:szCs w:val="16"/>
          <w:color w:val="auto"/>
        </w:rPr>
        <w:t>These changes reinforce executive equity retention, align incentives with both strategic execution and shareholder returns, and enhance pay-for-performance culture by ensuring senior leaders remain focused on long-term value creation</w:t>
      </w:r>
    </w:p>
    <w:p>
      <w:pPr>
        <w:spacing w:after="0" w:line="426" w:lineRule="exact"/>
        <w:rPr>
          <w:sz w:val="20"/>
          <w:szCs w:val="20"/>
          <w:color w:val="auto"/>
        </w:rPr>
      </w:pPr>
    </w:p>
    <w:p>
      <w:pPr>
        <w:sectPr>
          <w:pgSz w:w="11900" w:h="16838" w:orient="portrait"/>
          <w:cols w:equalWidth="0" w:num="3">
            <w:col w:w="1820" w:space="720"/>
            <w:col w:w="4960" w:space="520"/>
            <w:col w:w="3220"/>
          </w:cols>
          <w:pgMar w:left="320" w:top="292" w:right="339" w:bottom="1440" w:gutter="0" w:footer="0" w:header="0"/>
          <w:type w:val="continuous"/>
        </w:sectPr>
      </w:pPr>
    </w:p>
    <w:p>
      <w:pPr>
        <w:spacing w:after="0" w:line="106"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The Company will continue to maintain an active dialogue with shareholders and evaluate feedback on issues of importance to them, including the metrics that drive each of our NEO’s compensation. For additional information about our shareholder engagement efforts, please see page 42 of this Proxy Statement.</w:t>
      </w:r>
    </w:p>
    <w:p>
      <w:pPr>
        <w:spacing w:after="0" w:line="4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Peer Groups</w:t>
      </w:r>
    </w:p>
    <w:p>
      <w:pPr>
        <w:spacing w:after="0" w:line="114" w:lineRule="exact"/>
        <w:rPr>
          <w:sz w:val="20"/>
          <w:szCs w:val="20"/>
          <w:color w:val="auto"/>
        </w:rPr>
      </w:pPr>
    </w:p>
    <w:p>
      <w:pPr>
        <w:ind w:right="280"/>
        <w:spacing w:after="0" w:line="289" w:lineRule="auto"/>
        <w:rPr>
          <w:sz w:val="20"/>
          <w:szCs w:val="20"/>
          <w:color w:val="auto"/>
        </w:rPr>
      </w:pPr>
      <w:r>
        <w:rPr>
          <w:rFonts w:ascii="Arial" w:cs="Arial" w:eastAsia="Arial" w:hAnsi="Arial"/>
          <w:sz w:val="16"/>
          <w:szCs w:val="16"/>
          <w:color w:val="auto"/>
        </w:rPr>
        <w:t>To ensure competitiveness of compensation structures and pay levels for our NEOs, the Compensation Committee conducts an annual review of peer company compensation data. Each year, prior to beginning this review, the Compensation Committee examines the composition of companies previously considered our peer companies to make certain that the selected companies continue to be relevant as evaluated according to the following screening criteria:</w:t>
      </w:r>
    </w:p>
    <w:p>
      <w:pPr>
        <w:spacing w:after="0" w:line="59" w:lineRule="exact"/>
        <w:rPr>
          <w:sz w:val="20"/>
          <w:szCs w:val="20"/>
          <w:color w:val="auto"/>
        </w:rPr>
      </w:pPr>
    </w:p>
    <w:p>
      <w:pPr>
        <w:ind w:left="200" w:hanging="192"/>
        <w:spacing w:after="0"/>
        <w:tabs>
          <w:tab w:leader="none" w:pos="200" w:val="left"/>
        </w:tabs>
        <w:numPr>
          <w:ilvl w:val="0"/>
          <w:numId w:val="70"/>
        </w:numPr>
        <w:rPr>
          <w:rFonts w:ascii="Arial" w:cs="Arial" w:eastAsia="Arial" w:hAnsi="Arial"/>
          <w:sz w:val="16"/>
          <w:szCs w:val="16"/>
          <w:color w:val="1A3FD6"/>
        </w:rPr>
      </w:pPr>
      <w:r>
        <w:rPr>
          <w:rFonts w:ascii="Arial" w:cs="Arial" w:eastAsia="Arial" w:hAnsi="Arial"/>
          <w:sz w:val="16"/>
          <w:szCs w:val="16"/>
          <w:color w:val="auto"/>
        </w:rPr>
        <w:t>Scale, to reflect similar size and complexity;</w:t>
      </w:r>
    </w:p>
    <w:p>
      <w:pPr>
        <w:spacing w:after="0" w:line="86" w:lineRule="exact"/>
        <w:rPr>
          <w:rFonts w:ascii="Arial" w:cs="Arial" w:eastAsia="Arial" w:hAnsi="Arial"/>
          <w:sz w:val="16"/>
          <w:szCs w:val="16"/>
          <w:color w:val="1A3FD6"/>
        </w:rPr>
      </w:pPr>
    </w:p>
    <w:p>
      <w:pPr>
        <w:ind w:left="200" w:hanging="192"/>
        <w:spacing w:after="0"/>
        <w:tabs>
          <w:tab w:leader="none" w:pos="200" w:val="left"/>
        </w:tabs>
        <w:numPr>
          <w:ilvl w:val="0"/>
          <w:numId w:val="70"/>
        </w:numPr>
        <w:rPr>
          <w:rFonts w:ascii="Arial" w:cs="Arial" w:eastAsia="Arial" w:hAnsi="Arial"/>
          <w:sz w:val="16"/>
          <w:szCs w:val="16"/>
          <w:color w:val="1A3FD6"/>
        </w:rPr>
      </w:pPr>
      <w:r>
        <w:rPr>
          <w:rFonts w:ascii="Arial" w:cs="Arial" w:eastAsia="Arial" w:hAnsi="Arial"/>
          <w:sz w:val="16"/>
          <w:szCs w:val="16"/>
          <w:color w:val="auto"/>
        </w:rPr>
        <w:t>Geographic footprint, to reflect business structure and international complexity;</w:t>
      </w:r>
    </w:p>
    <w:p>
      <w:pPr>
        <w:spacing w:after="0" w:line="72" w:lineRule="exact"/>
        <w:rPr>
          <w:rFonts w:ascii="Arial" w:cs="Arial" w:eastAsia="Arial" w:hAnsi="Arial"/>
          <w:sz w:val="16"/>
          <w:szCs w:val="16"/>
          <w:color w:val="1A3FD6"/>
        </w:rPr>
      </w:pPr>
    </w:p>
    <w:p>
      <w:pPr>
        <w:ind w:left="200" w:hanging="192"/>
        <w:spacing w:after="0"/>
        <w:tabs>
          <w:tab w:leader="none" w:pos="200" w:val="left"/>
        </w:tabs>
        <w:numPr>
          <w:ilvl w:val="0"/>
          <w:numId w:val="70"/>
        </w:numPr>
        <w:rPr>
          <w:rFonts w:ascii="Arial" w:cs="Arial" w:eastAsia="Arial" w:hAnsi="Arial"/>
          <w:sz w:val="16"/>
          <w:szCs w:val="16"/>
          <w:color w:val="1A3FD6"/>
        </w:rPr>
      </w:pPr>
      <w:r>
        <w:rPr>
          <w:rFonts w:ascii="Arial" w:cs="Arial" w:eastAsia="Arial" w:hAnsi="Arial"/>
          <w:sz w:val="16"/>
          <w:szCs w:val="16"/>
          <w:color w:val="auto"/>
        </w:rPr>
        <w:t>Public ownership structure, to ensure availability of data;</w:t>
      </w:r>
    </w:p>
    <w:p>
      <w:pPr>
        <w:spacing w:after="0" w:line="86" w:lineRule="exact"/>
        <w:rPr>
          <w:rFonts w:ascii="Arial" w:cs="Arial" w:eastAsia="Arial" w:hAnsi="Arial"/>
          <w:sz w:val="16"/>
          <w:szCs w:val="16"/>
          <w:color w:val="1A3FD6"/>
        </w:rPr>
      </w:pPr>
    </w:p>
    <w:p>
      <w:pPr>
        <w:ind w:left="200" w:hanging="192"/>
        <w:spacing w:after="0"/>
        <w:tabs>
          <w:tab w:leader="none" w:pos="200" w:val="left"/>
        </w:tabs>
        <w:numPr>
          <w:ilvl w:val="0"/>
          <w:numId w:val="70"/>
        </w:numPr>
        <w:rPr>
          <w:rFonts w:ascii="Arial" w:cs="Arial" w:eastAsia="Arial" w:hAnsi="Arial"/>
          <w:sz w:val="16"/>
          <w:szCs w:val="16"/>
          <w:color w:val="1A3FD6"/>
        </w:rPr>
      </w:pPr>
      <w:r>
        <w:rPr>
          <w:rFonts w:ascii="Arial" w:cs="Arial" w:eastAsia="Arial" w:hAnsi="Arial"/>
          <w:sz w:val="16"/>
          <w:szCs w:val="16"/>
          <w:color w:val="auto"/>
        </w:rPr>
        <w:t>Competitors for talent; and</w:t>
      </w:r>
    </w:p>
    <w:p>
      <w:pPr>
        <w:spacing w:after="0" w:line="86" w:lineRule="exact"/>
        <w:rPr>
          <w:rFonts w:ascii="Arial" w:cs="Arial" w:eastAsia="Arial" w:hAnsi="Arial"/>
          <w:sz w:val="16"/>
          <w:szCs w:val="16"/>
          <w:color w:val="1A3FD6"/>
        </w:rPr>
      </w:pPr>
    </w:p>
    <w:p>
      <w:pPr>
        <w:ind w:left="200" w:hanging="192"/>
        <w:spacing w:after="0"/>
        <w:tabs>
          <w:tab w:leader="none" w:pos="200" w:val="left"/>
        </w:tabs>
        <w:numPr>
          <w:ilvl w:val="0"/>
          <w:numId w:val="70"/>
        </w:numPr>
        <w:rPr>
          <w:rFonts w:ascii="Arial" w:cs="Arial" w:eastAsia="Arial" w:hAnsi="Arial"/>
          <w:sz w:val="16"/>
          <w:szCs w:val="16"/>
          <w:color w:val="1A3FD6"/>
        </w:rPr>
      </w:pPr>
      <w:r>
        <w:rPr>
          <w:rFonts w:ascii="Arial" w:cs="Arial" w:eastAsia="Arial" w:hAnsi="Arial"/>
          <w:sz w:val="16"/>
          <w:szCs w:val="16"/>
          <w:color w:val="auto"/>
        </w:rPr>
        <w:t>Similar business model.</w:t>
      </w:r>
    </w:p>
    <w:p>
      <w:pPr>
        <w:spacing w:after="0" w:line="127"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The peer group used to inform fiscal 2024 pay decisions for our NEOs was comprised of 15 companies that, in aggregate, approximated MSCI’s size, scope of operations and operating metrics. In particular, the group was selected such that it, in aggregate:</w:t>
      </w:r>
    </w:p>
    <w:p>
      <w:pPr>
        <w:spacing w:after="0" w:line="34" w:lineRule="exact"/>
        <w:rPr>
          <w:sz w:val="20"/>
          <w:szCs w:val="20"/>
          <w:color w:val="auto"/>
        </w:rPr>
      </w:pPr>
    </w:p>
    <w:p>
      <w:pPr>
        <w:ind w:left="200" w:hanging="192"/>
        <w:spacing w:after="0"/>
        <w:tabs>
          <w:tab w:leader="none" w:pos="200" w:val="left"/>
        </w:tabs>
        <w:numPr>
          <w:ilvl w:val="0"/>
          <w:numId w:val="71"/>
        </w:numPr>
        <w:rPr>
          <w:rFonts w:ascii="Arial" w:cs="Arial" w:eastAsia="Arial" w:hAnsi="Arial"/>
          <w:sz w:val="16"/>
          <w:szCs w:val="16"/>
          <w:color w:val="1A3FD6"/>
        </w:rPr>
      </w:pPr>
      <w:r>
        <w:rPr>
          <w:rFonts w:ascii="Arial" w:cs="Arial" w:eastAsia="Arial" w:hAnsi="Arial"/>
          <w:sz w:val="16"/>
          <w:szCs w:val="16"/>
          <w:color w:val="auto"/>
        </w:rPr>
        <w:t>Approximated MSCI’s size on a revenue basis for fiscal 2024;</w:t>
      </w:r>
    </w:p>
    <w:p>
      <w:pPr>
        <w:spacing w:after="0" w:line="86" w:lineRule="exact"/>
        <w:rPr>
          <w:rFonts w:ascii="Arial" w:cs="Arial" w:eastAsia="Arial" w:hAnsi="Arial"/>
          <w:sz w:val="16"/>
          <w:szCs w:val="16"/>
          <w:color w:val="1A3FD6"/>
        </w:rPr>
      </w:pPr>
    </w:p>
    <w:p>
      <w:pPr>
        <w:ind w:left="200" w:hanging="192"/>
        <w:spacing w:after="0"/>
        <w:tabs>
          <w:tab w:leader="none" w:pos="200" w:val="left"/>
        </w:tabs>
        <w:numPr>
          <w:ilvl w:val="0"/>
          <w:numId w:val="71"/>
        </w:numPr>
        <w:rPr>
          <w:rFonts w:ascii="Arial" w:cs="Arial" w:eastAsia="Arial" w:hAnsi="Arial"/>
          <w:sz w:val="16"/>
          <w:szCs w:val="16"/>
          <w:color w:val="1A3FD6"/>
        </w:rPr>
      </w:pPr>
      <w:r>
        <w:rPr>
          <w:rFonts w:ascii="Arial" w:cs="Arial" w:eastAsia="Arial" w:hAnsi="Arial"/>
          <w:sz w:val="16"/>
          <w:szCs w:val="16"/>
          <w:color w:val="auto"/>
        </w:rPr>
        <w:t>Reflected MSCI’s high-margin, high-valuation operating metrics and international reach; and/or</w:t>
      </w:r>
    </w:p>
    <w:p>
      <w:pPr>
        <w:spacing w:after="0" w:line="86" w:lineRule="exact"/>
        <w:rPr>
          <w:rFonts w:ascii="Arial" w:cs="Arial" w:eastAsia="Arial" w:hAnsi="Arial"/>
          <w:sz w:val="16"/>
          <w:szCs w:val="16"/>
          <w:color w:val="1A3FD6"/>
        </w:rPr>
      </w:pPr>
    </w:p>
    <w:p>
      <w:pPr>
        <w:ind w:left="200" w:hanging="192"/>
        <w:spacing w:after="0"/>
        <w:tabs>
          <w:tab w:leader="none" w:pos="200" w:val="left"/>
        </w:tabs>
        <w:numPr>
          <w:ilvl w:val="0"/>
          <w:numId w:val="71"/>
        </w:numPr>
        <w:rPr>
          <w:rFonts w:ascii="Arial" w:cs="Arial" w:eastAsia="Arial" w:hAnsi="Arial"/>
          <w:sz w:val="16"/>
          <w:szCs w:val="16"/>
          <w:color w:val="1A3FD6"/>
        </w:rPr>
      </w:pPr>
      <w:r>
        <w:rPr>
          <w:rFonts w:ascii="Arial" w:cs="Arial" w:eastAsia="Arial" w:hAnsi="Arial"/>
          <w:sz w:val="16"/>
          <w:szCs w:val="16"/>
          <w:color w:val="auto"/>
        </w:rPr>
        <w:t>Represented the competitive talent market for financial technology, research and consulting, and data systems/information technology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728345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322"/>
        </w:trPr>
        <w:tc>
          <w:tcPr>
            <w:tcW w:w="2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0" w:type="dxa"/>
            <w:vAlign w:val="bottom"/>
            <w:tcBorders>
              <w:right w:val="single" w:sz="8" w:color="1A3FD6"/>
            </w:tcBorders>
          </w:tcPr>
          <w:p>
            <w:pPr>
              <w:ind w:left="4260"/>
              <w:spacing w:after="0"/>
              <w:rPr>
                <w:sz w:val="20"/>
                <w:szCs w:val="20"/>
                <w:color w:val="auto"/>
              </w:rPr>
            </w:pPr>
            <w:r>
              <w:rPr>
                <w:rFonts w:ascii="Arial" w:cs="Arial" w:eastAsia="Arial" w:hAnsi="Arial"/>
                <w:sz w:val="14"/>
                <w:szCs w:val="14"/>
                <w:b w:val="1"/>
                <w:bCs w:val="1"/>
                <w:color w:val="1A3FD6"/>
              </w:rPr>
              <w:t>Compensation Matters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67</w:t>
            </w:r>
          </w:p>
        </w:tc>
      </w:tr>
      <w:tr>
        <w:trPr>
          <w:trHeight w:val="191"/>
        </w:trPr>
        <w:tc>
          <w:tcPr>
            <w:tcW w:w="2940" w:type="dxa"/>
            <w:vAlign w:val="bottom"/>
            <w:tcBorders>
              <w:bottom w:val="single" w:sz="8" w:color="1A3FD6"/>
            </w:tcBorders>
          </w:tcPr>
          <w:p>
            <w:pPr>
              <w:spacing w:after="0"/>
              <w:rPr>
                <w:sz w:val="16"/>
                <w:szCs w:val="16"/>
                <w:color w:val="auto"/>
              </w:rPr>
            </w:pPr>
          </w:p>
        </w:tc>
        <w:tc>
          <w:tcPr>
            <w:tcW w:w="1220" w:type="dxa"/>
            <w:vAlign w:val="bottom"/>
            <w:tcBorders>
              <w:bottom w:val="single" w:sz="8" w:color="1A3FD6"/>
            </w:tcBorders>
          </w:tcPr>
          <w:p>
            <w:pPr>
              <w:spacing w:after="0"/>
              <w:rPr>
                <w:sz w:val="16"/>
                <w:szCs w:val="16"/>
                <w:color w:val="auto"/>
              </w:rPr>
            </w:pPr>
          </w:p>
        </w:tc>
        <w:tc>
          <w:tcPr>
            <w:tcW w:w="640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r>
        <w:trPr>
          <w:trHeight w:val="662"/>
        </w:trPr>
        <w:tc>
          <w:tcPr>
            <w:tcW w:w="294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Company</w:t>
            </w:r>
          </w:p>
        </w:tc>
        <w:tc>
          <w:tcPr>
            <w:tcW w:w="1220" w:type="dxa"/>
            <w:vAlign w:val="bottom"/>
            <w:tcBorders>
              <w:bottom w:val="single" w:sz="8" w:color="1A3FD6"/>
            </w:tcBorders>
          </w:tcPr>
          <w:p>
            <w:pPr>
              <w:ind w:left="460"/>
              <w:spacing w:after="0"/>
              <w:rPr>
                <w:sz w:val="20"/>
                <w:szCs w:val="20"/>
                <w:color w:val="auto"/>
              </w:rPr>
            </w:pPr>
            <w:r>
              <w:rPr>
                <w:rFonts w:ascii="Arial" w:cs="Arial" w:eastAsia="Arial" w:hAnsi="Arial"/>
                <w:sz w:val="14"/>
                <w:szCs w:val="14"/>
                <w:b w:val="1"/>
                <w:bCs w:val="1"/>
                <w:color w:val="auto"/>
              </w:rPr>
              <w:t>Ticker</w:t>
            </w:r>
          </w:p>
        </w:tc>
        <w:tc>
          <w:tcPr>
            <w:tcW w:w="6400" w:type="dxa"/>
            <w:vAlign w:val="bottom"/>
            <w:tcBorders>
              <w:bottom w:val="single" w:sz="8" w:color="1A3FD6"/>
            </w:tcBorders>
          </w:tcPr>
          <w:p>
            <w:pPr>
              <w:ind w:left="280"/>
              <w:spacing w:after="0"/>
              <w:rPr>
                <w:sz w:val="20"/>
                <w:szCs w:val="20"/>
                <w:color w:val="auto"/>
              </w:rPr>
            </w:pPr>
            <w:r>
              <w:rPr>
                <w:rFonts w:ascii="Arial" w:cs="Arial" w:eastAsia="Arial" w:hAnsi="Arial"/>
                <w:sz w:val="14"/>
                <w:szCs w:val="14"/>
                <w:b w:val="1"/>
                <w:bCs w:val="1"/>
                <w:color w:val="auto"/>
              </w:rPr>
              <w:t>GICS Classification</w:t>
            </w:r>
          </w:p>
        </w:tc>
        <w:tc>
          <w:tcPr>
            <w:tcW w:w="680" w:type="dxa"/>
            <w:vAlign w:val="bottom"/>
            <w:tcBorders>
              <w:bottom w:val="single" w:sz="8" w:color="1A3FD6"/>
            </w:tcBorders>
          </w:tcPr>
          <w:p>
            <w:pPr>
              <w:spacing w:after="0"/>
              <w:rPr>
                <w:sz w:val="24"/>
                <w:szCs w:val="24"/>
                <w:color w:val="auto"/>
              </w:rPr>
            </w:pPr>
          </w:p>
        </w:tc>
      </w:tr>
      <w:tr>
        <w:trPr>
          <w:trHeight w:val="236"/>
        </w:trPr>
        <w:tc>
          <w:tcPr>
            <w:tcW w:w="2940" w:type="dxa"/>
            <w:vAlign w:val="bottom"/>
          </w:tcPr>
          <w:p>
            <w:pPr>
              <w:ind w:left="20"/>
              <w:spacing w:after="0"/>
              <w:rPr>
                <w:sz w:val="20"/>
                <w:szCs w:val="20"/>
                <w:color w:val="auto"/>
              </w:rPr>
            </w:pPr>
            <w:r>
              <w:rPr>
                <w:rFonts w:ascii="Arial" w:cs="Arial" w:eastAsia="Arial" w:hAnsi="Arial"/>
                <w:sz w:val="16"/>
                <w:szCs w:val="16"/>
                <w:b w:val="1"/>
                <w:bCs w:val="1"/>
                <w:color w:val="auto"/>
              </w:rPr>
              <w:t>MSCI Inc.</w:t>
            </w:r>
          </w:p>
        </w:tc>
        <w:tc>
          <w:tcPr>
            <w:tcW w:w="1220" w:type="dxa"/>
            <w:vAlign w:val="bottom"/>
          </w:tcPr>
          <w:p>
            <w:pPr>
              <w:ind w:left="460"/>
              <w:spacing w:after="0"/>
              <w:rPr>
                <w:sz w:val="20"/>
                <w:szCs w:val="20"/>
                <w:color w:val="auto"/>
              </w:rPr>
            </w:pPr>
            <w:r>
              <w:rPr>
                <w:rFonts w:ascii="Arial" w:cs="Arial" w:eastAsia="Arial" w:hAnsi="Arial"/>
                <w:sz w:val="16"/>
                <w:szCs w:val="16"/>
                <w:b w:val="1"/>
                <w:bCs w:val="1"/>
                <w:color w:val="auto"/>
              </w:rPr>
              <w:t>MSCI</w:t>
            </w:r>
          </w:p>
        </w:tc>
        <w:tc>
          <w:tcPr>
            <w:tcW w:w="6400" w:type="dxa"/>
            <w:vAlign w:val="bottom"/>
          </w:tcPr>
          <w:p>
            <w:pPr>
              <w:ind w:left="280"/>
              <w:spacing w:after="0"/>
              <w:rPr>
                <w:sz w:val="20"/>
                <w:szCs w:val="20"/>
                <w:color w:val="auto"/>
              </w:rPr>
            </w:pPr>
            <w:r>
              <w:rPr>
                <w:rFonts w:ascii="Arial" w:cs="Arial" w:eastAsia="Arial" w:hAnsi="Arial"/>
                <w:sz w:val="16"/>
                <w:szCs w:val="16"/>
                <w:b w:val="1"/>
                <w:bCs w:val="1"/>
                <w:color w:val="auto"/>
              </w:rPr>
              <w:t>Financial Services—Capital Markets—Financial Exchanges and Data</w:t>
            </w:r>
          </w:p>
        </w:tc>
        <w:tc>
          <w:tcPr>
            <w:tcW w:w="680" w:type="dxa"/>
            <w:vAlign w:val="bottom"/>
          </w:tcPr>
          <w:p>
            <w:pPr>
              <w:spacing w:after="0"/>
              <w:rPr>
                <w:sz w:val="20"/>
                <w:szCs w:val="20"/>
                <w:color w:val="auto"/>
              </w:rPr>
            </w:pPr>
          </w:p>
        </w:tc>
      </w:tr>
      <w:tr>
        <w:trPr>
          <w:trHeight w:val="34"/>
        </w:trPr>
        <w:tc>
          <w:tcPr>
            <w:tcW w:w="29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4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50"/>
        </w:trPr>
        <w:tc>
          <w:tcPr>
            <w:tcW w:w="2940" w:type="dxa"/>
            <w:vAlign w:val="bottom"/>
            <w:tcBorders>
              <w:bottom w:val="single" w:sz="8" w:color="EDF0FC"/>
            </w:tcBorders>
            <w:shd w:val="clear" w:color="auto" w:fill="EDF0FC"/>
          </w:tcPr>
          <w:p>
            <w:pPr>
              <w:ind w:left="20"/>
              <w:spacing w:after="0"/>
              <w:rPr>
                <w:sz w:val="20"/>
                <w:szCs w:val="20"/>
                <w:color w:val="auto"/>
              </w:rPr>
            </w:pPr>
            <w:r>
              <w:rPr>
                <w:rFonts w:ascii="Arial" w:cs="Arial" w:eastAsia="Arial" w:hAnsi="Arial"/>
                <w:sz w:val="16"/>
                <w:szCs w:val="16"/>
                <w:color w:val="auto"/>
              </w:rPr>
              <w:t>Aspen Technology, Inc.</w:t>
            </w:r>
          </w:p>
        </w:tc>
        <w:tc>
          <w:tcPr>
            <w:tcW w:w="1220" w:type="dxa"/>
            <w:vAlign w:val="bottom"/>
            <w:tcBorders>
              <w:bottom w:val="single" w:sz="8" w:color="EDF0FC"/>
            </w:tcBorders>
            <w:shd w:val="clear" w:color="auto" w:fill="EDF0FC"/>
          </w:tcPr>
          <w:p>
            <w:pPr>
              <w:ind w:left="460"/>
              <w:spacing w:after="0"/>
              <w:rPr>
                <w:sz w:val="20"/>
                <w:szCs w:val="20"/>
                <w:color w:val="auto"/>
              </w:rPr>
            </w:pPr>
            <w:r>
              <w:rPr>
                <w:rFonts w:ascii="Arial" w:cs="Arial" w:eastAsia="Arial" w:hAnsi="Arial"/>
                <w:sz w:val="16"/>
                <w:szCs w:val="16"/>
                <w:color w:val="auto"/>
              </w:rPr>
              <w:t>AZPN</w:t>
            </w:r>
          </w:p>
        </w:tc>
        <w:tc>
          <w:tcPr>
            <w:tcW w:w="6400" w:type="dxa"/>
            <w:vAlign w:val="bottom"/>
            <w:tcBorders>
              <w:bottom w:val="single" w:sz="8" w:color="EDF0FC"/>
              <w:right w:val="single" w:sz="8" w:color="EDF0FC"/>
            </w:tcBorders>
            <w:shd w:val="clear" w:color="auto" w:fill="EDF0FC"/>
          </w:tcPr>
          <w:p>
            <w:pPr>
              <w:ind w:left="280"/>
              <w:spacing w:after="0"/>
              <w:rPr>
                <w:sz w:val="20"/>
                <w:szCs w:val="20"/>
                <w:color w:val="auto"/>
              </w:rPr>
            </w:pPr>
            <w:r>
              <w:rPr>
                <w:rFonts w:ascii="Arial" w:cs="Arial" w:eastAsia="Arial" w:hAnsi="Arial"/>
                <w:sz w:val="16"/>
                <w:szCs w:val="16"/>
                <w:color w:val="auto"/>
              </w:rPr>
              <w:t>Information Technology—IT Services—Application Software</w:t>
            </w:r>
          </w:p>
        </w:tc>
        <w:tc>
          <w:tcPr>
            <w:tcW w:w="680" w:type="dxa"/>
            <w:vAlign w:val="bottom"/>
            <w:tcBorders>
              <w:bottom w:val="single" w:sz="8" w:color="EDF0FC"/>
            </w:tcBorders>
            <w:shd w:val="clear" w:color="auto" w:fill="EDF0FC"/>
          </w:tcPr>
          <w:p>
            <w:pPr>
              <w:spacing w:after="0"/>
              <w:rPr>
                <w:sz w:val="21"/>
                <w:szCs w:val="21"/>
                <w:color w:val="auto"/>
              </w:rPr>
            </w:pPr>
          </w:p>
        </w:tc>
      </w:tr>
      <w:tr>
        <w:trPr>
          <w:trHeight w:val="228"/>
        </w:trPr>
        <w:tc>
          <w:tcPr>
            <w:tcW w:w="2940" w:type="dxa"/>
            <w:vAlign w:val="bottom"/>
          </w:tcPr>
          <w:p>
            <w:pPr>
              <w:ind w:left="20"/>
              <w:spacing w:after="0"/>
              <w:rPr>
                <w:sz w:val="20"/>
                <w:szCs w:val="20"/>
                <w:color w:val="auto"/>
              </w:rPr>
            </w:pPr>
            <w:r>
              <w:rPr>
                <w:rFonts w:ascii="Arial" w:cs="Arial" w:eastAsia="Arial" w:hAnsi="Arial"/>
                <w:sz w:val="16"/>
                <w:szCs w:val="16"/>
                <w:color w:val="auto"/>
              </w:rPr>
              <w:t>Black Knight, Inc.</w:t>
            </w:r>
          </w:p>
        </w:tc>
        <w:tc>
          <w:tcPr>
            <w:tcW w:w="1220" w:type="dxa"/>
            <w:vAlign w:val="bottom"/>
          </w:tcPr>
          <w:p>
            <w:pPr>
              <w:ind w:left="460"/>
              <w:spacing w:after="0"/>
              <w:rPr>
                <w:sz w:val="20"/>
                <w:szCs w:val="20"/>
                <w:color w:val="auto"/>
              </w:rPr>
            </w:pPr>
            <w:r>
              <w:rPr>
                <w:rFonts w:ascii="Arial" w:cs="Arial" w:eastAsia="Arial" w:hAnsi="Arial"/>
                <w:sz w:val="16"/>
                <w:szCs w:val="16"/>
                <w:color w:val="auto"/>
              </w:rPr>
              <w:t>BKI</w:t>
            </w:r>
          </w:p>
        </w:tc>
        <w:tc>
          <w:tcPr>
            <w:tcW w:w="6400" w:type="dxa"/>
            <w:vAlign w:val="bottom"/>
          </w:tcPr>
          <w:p>
            <w:pPr>
              <w:ind w:left="280"/>
              <w:spacing w:after="0"/>
              <w:rPr>
                <w:sz w:val="20"/>
                <w:szCs w:val="20"/>
                <w:color w:val="auto"/>
              </w:rPr>
            </w:pPr>
            <w:r>
              <w:rPr>
                <w:rFonts w:ascii="Arial" w:cs="Arial" w:eastAsia="Arial" w:hAnsi="Arial"/>
                <w:sz w:val="16"/>
                <w:szCs w:val="16"/>
                <w:color w:val="auto"/>
              </w:rPr>
              <w:t>Information Technology—IT Services—Data Processing and Outsourced Services</w:t>
            </w:r>
          </w:p>
        </w:tc>
        <w:tc>
          <w:tcPr>
            <w:tcW w:w="680" w:type="dxa"/>
            <w:vAlign w:val="bottom"/>
          </w:tcPr>
          <w:p>
            <w:pPr>
              <w:spacing w:after="0"/>
              <w:rPr>
                <w:sz w:val="19"/>
                <w:szCs w:val="19"/>
                <w:color w:val="auto"/>
              </w:rPr>
            </w:pPr>
          </w:p>
        </w:tc>
      </w:tr>
      <w:tr>
        <w:trPr>
          <w:trHeight w:val="43"/>
        </w:trPr>
        <w:tc>
          <w:tcPr>
            <w:tcW w:w="29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4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50"/>
        </w:trPr>
        <w:tc>
          <w:tcPr>
            <w:tcW w:w="2940" w:type="dxa"/>
            <w:vAlign w:val="bottom"/>
            <w:tcBorders>
              <w:bottom w:val="single" w:sz="8" w:color="EDF0FC"/>
            </w:tcBorders>
            <w:shd w:val="clear" w:color="auto" w:fill="EDF0FC"/>
          </w:tcPr>
          <w:p>
            <w:pPr>
              <w:ind w:left="20"/>
              <w:spacing w:after="0"/>
              <w:rPr>
                <w:sz w:val="20"/>
                <w:szCs w:val="20"/>
                <w:color w:val="auto"/>
              </w:rPr>
            </w:pPr>
            <w:r>
              <w:rPr>
                <w:rFonts w:ascii="Arial" w:cs="Arial" w:eastAsia="Arial" w:hAnsi="Arial"/>
                <w:sz w:val="16"/>
                <w:szCs w:val="16"/>
                <w:color w:val="auto"/>
              </w:rPr>
              <w:t>Dun &amp; Bradstreet Holdings, Inc.</w:t>
            </w:r>
          </w:p>
        </w:tc>
        <w:tc>
          <w:tcPr>
            <w:tcW w:w="1220" w:type="dxa"/>
            <w:vAlign w:val="bottom"/>
            <w:tcBorders>
              <w:bottom w:val="single" w:sz="8" w:color="EDF0FC"/>
            </w:tcBorders>
            <w:shd w:val="clear" w:color="auto" w:fill="EDF0FC"/>
          </w:tcPr>
          <w:p>
            <w:pPr>
              <w:ind w:left="460"/>
              <w:spacing w:after="0"/>
              <w:rPr>
                <w:sz w:val="20"/>
                <w:szCs w:val="20"/>
                <w:color w:val="auto"/>
              </w:rPr>
            </w:pPr>
            <w:r>
              <w:rPr>
                <w:rFonts w:ascii="Arial" w:cs="Arial" w:eastAsia="Arial" w:hAnsi="Arial"/>
                <w:sz w:val="16"/>
                <w:szCs w:val="16"/>
                <w:color w:val="auto"/>
              </w:rPr>
              <w:t>DNB</w:t>
            </w:r>
          </w:p>
        </w:tc>
        <w:tc>
          <w:tcPr>
            <w:tcW w:w="6400" w:type="dxa"/>
            <w:vAlign w:val="bottom"/>
            <w:tcBorders>
              <w:bottom w:val="single" w:sz="8" w:color="EDF0FC"/>
              <w:right w:val="single" w:sz="8" w:color="EDF0FC"/>
            </w:tcBorders>
            <w:shd w:val="clear" w:color="auto" w:fill="EDF0FC"/>
          </w:tcPr>
          <w:p>
            <w:pPr>
              <w:ind w:left="280"/>
              <w:spacing w:after="0"/>
              <w:rPr>
                <w:sz w:val="20"/>
                <w:szCs w:val="20"/>
                <w:color w:val="auto"/>
              </w:rPr>
            </w:pPr>
            <w:r>
              <w:rPr>
                <w:rFonts w:ascii="Arial" w:cs="Arial" w:eastAsia="Arial" w:hAnsi="Arial"/>
                <w:sz w:val="16"/>
                <w:szCs w:val="16"/>
                <w:color w:val="auto"/>
              </w:rPr>
              <w:t>Industrials—Professional Services—Research and Consulting Services</w:t>
            </w:r>
          </w:p>
        </w:tc>
        <w:tc>
          <w:tcPr>
            <w:tcW w:w="680" w:type="dxa"/>
            <w:vAlign w:val="bottom"/>
            <w:tcBorders>
              <w:bottom w:val="single" w:sz="8" w:color="EDF0FC"/>
            </w:tcBorders>
            <w:shd w:val="clear" w:color="auto" w:fill="EDF0FC"/>
          </w:tcPr>
          <w:p>
            <w:pPr>
              <w:spacing w:after="0"/>
              <w:rPr>
                <w:sz w:val="21"/>
                <w:szCs w:val="21"/>
                <w:color w:val="auto"/>
              </w:rPr>
            </w:pPr>
          </w:p>
        </w:tc>
      </w:tr>
      <w:tr>
        <w:trPr>
          <w:trHeight w:val="228"/>
        </w:trPr>
        <w:tc>
          <w:tcPr>
            <w:tcW w:w="2940" w:type="dxa"/>
            <w:vAlign w:val="bottom"/>
          </w:tcPr>
          <w:p>
            <w:pPr>
              <w:ind w:left="20"/>
              <w:spacing w:after="0"/>
              <w:rPr>
                <w:sz w:val="20"/>
                <w:szCs w:val="20"/>
                <w:color w:val="auto"/>
              </w:rPr>
            </w:pPr>
            <w:r>
              <w:rPr>
                <w:rFonts w:ascii="Arial" w:cs="Arial" w:eastAsia="Arial" w:hAnsi="Arial"/>
                <w:sz w:val="16"/>
                <w:szCs w:val="16"/>
                <w:color w:val="auto"/>
              </w:rPr>
              <w:t>Equifax Inc.</w:t>
            </w:r>
          </w:p>
        </w:tc>
        <w:tc>
          <w:tcPr>
            <w:tcW w:w="1220" w:type="dxa"/>
            <w:vAlign w:val="bottom"/>
          </w:tcPr>
          <w:p>
            <w:pPr>
              <w:ind w:left="460"/>
              <w:spacing w:after="0"/>
              <w:rPr>
                <w:sz w:val="20"/>
                <w:szCs w:val="20"/>
                <w:color w:val="auto"/>
              </w:rPr>
            </w:pPr>
            <w:r>
              <w:rPr>
                <w:rFonts w:ascii="Arial" w:cs="Arial" w:eastAsia="Arial" w:hAnsi="Arial"/>
                <w:sz w:val="16"/>
                <w:szCs w:val="16"/>
                <w:color w:val="auto"/>
              </w:rPr>
              <w:t>EFX</w:t>
            </w:r>
          </w:p>
        </w:tc>
        <w:tc>
          <w:tcPr>
            <w:tcW w:w="6400" w:type="dxa"/>
            <w:vAlign w:val="bottom"/>
          </w:tcPr>
          <w:p>
            <w:pPr>
              <w:ind w:left="280"/>
              <w:spacing w:after="0"/>
              <w:rPr>
                <w:sz w:val="20"/>
                <w:szCs w:val="20"/>
                <w:color w:val="auto"/>
              </w:rPr>
            </w:pPr>
            <w:r>
              <w:rPr>
                <w:rFonts w:ascii="Arial" w:cs="Arial" w:eastAsia="Arial" w:hAnsi="Arial"/>
                <w:sz w:val="16"/>
                <w:szCs w:val="16"/>
                <w:color w:val="auto"/>
              </w:rPr>
              <w:t>Industrials—Professional Services— Research and Consulting Services</w:t>
            </w:r>
          </w:p>
        </w:tc>
        <w:tc>
          <w:tcPr>
            <w:tcW w:w="680" w:type="dxa"/>
            <w:vAlign w:val="bottom"/>
          </w:tcPr>
          <w:p>
            <w:pPr>
              <w:spacing w:after="0"/>
              <w:rPr>
                <w:sz w:val="19"/>
                <w:szCs w:val="19"/>
                <w:color w:val="auto"/>
              </w:rPr>
            </w:pPr>
          </w:p>
        </w:tc>
      </w:tr>
      <w:tr>
        <w:trPr>
          <w:trHeight w:val="43"/>
        </w:trPr>
        <w:tc>
          <w:tcPr>
            <w:tcW w:w="29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4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50"/>
        </w:trPr>
        <w:tc>
          <w:tcPr>
            <w:tcW w:w="2940" w:type="dxa"/>
            <w:vAlign w:val="bottom"/>
            <w:tcBorders>
              <w:bottom w:val="single" w:sz="8" w:color="EDF0FC"/>
            </w:tcBorders>
            <w:shd w:val="clear" w:color="auto" w:fill="EDF0FC"/>
          </w:tcPr>
          <w:p>
            <w:pPr>
              <w:ind w:left="20"/>
              <w:spacing w:after="0"/>
              <w:rPr>
                <w:sz w:val="20"/>
                <w:szCs w:val="20"/>
                <w:color w:val="auto"/>
              </w:rPr>
            </w:pPr>
            <w:r>
              <w:rPr>
                <w:rFonts w:ascii="Arial" w:cs="Arial" w:eastAsia="Arial" w:hAnsi="Arial"/>
                <w:sz w:val="16"/>
                <w:szCs w:val="16"/>
                <w:color w:val="auto"/>
              </w:rPr>
              <w:t>FactSet Research Systems Inc.</w:t>
            </w:r>
          </w:p>
        </w:tc>
        <w:tc>
          <w:tcPr>
            <w:tcW w:w="1220" w:type="dxa"/>
            <w:vAlign w:val="bottom"/>
            <w:tcBorders>
              <w:bottom w:val="single" w:sz="8" w:color="EDF0FC"/>
            </w:tcBorders>
            <w:shd w:val="clear" w:color="auto" w:fill="EDF0FC"/>
          </w:tcPr>
          <w:p>
            <w:pPr>
              <w:ind w:left="460"/>
              <w:spacing w:after="0"/>
              <w:rPr>
                <w:sz w:val="20"/>
                <w:szCs w:val="20"/>
                <w:color w:val="auto"/>
              </w:rPr>
            </w:pPr>
            <w:r>
              <w:rPr>
                <w:rFonts w:ascii="Arial" w:cs="Arial" w:eastAsia="Arial" w:hAnsi="Arial"/>
                <w:sz w:val="16"/>
                <w:szCs w:val="16"/>
                <w:color w:val="auto"/>
              </w:rPr>
              <w:t>FDS</w:t>
            </w:r>
          </w:p>
        </w:tc>
        <w:tc>
          <w:tcPr>
            <w:tcW w:w="6400" w:type="dxa"/>
            <w:vAlign w:val="bottom"/>
            <w:tcBorders>
              <w:bottom w:val="single" w:sz="8" w:color="EDF0FC"/>
              <w:right w:val="single" w:sz="8" w:color="EDF0FC"/>
            </w:tcBorders>
            <w:shd w:val="clear" w:color="auto" w:fill="EDF0FC"/>
          </w:tcPr>
          <w:p>
            <w:pPr>
              <w:ind w:left="280"/>
              <w:spacing w:after="0"/>
              <w:rPr>
                <w:sz w:val="20"/>
                <w:szCs w:val="20"/>
                <w:color w:val="auto"/>
              </w:rPr>
            </w:pPr>
            <w:r>
              <w:rPr>
                <w:rFonts w:ascii="Arial" w:cs="Arial" w:eastAsia="Arial" w:hAnsi="Arial"/>
                <w:sz w:val="16"/>
                <w:szCs w:val="16"/>
                <w:color w:val="auto"/>
              </w:rPr>
              <w:t>Financial Services—Capital Markets—Financial Exchanges and Data</w:t>
            </w:r>
          </w:p>
        </w:tc>
        <w:tc>
          <w:tcPr>
            <w:tcW w:w="680" w:type="dxa"/>
            <w:vAlign w:val="bottom"/>
            <w:tcBorders>
              <w:bottom w:val="single" w:sz="8" w:color="EDF0FC"/>
            </w:tcBorders>
            <w:shd w:val="clear" w:color="auto" w:fill="EDF0FC"/>
          </w:tcPr>
          <w:p>
            <w:pPr>
              <w:spacing w:after="0"/>
              <w:rPr>
                <w:sz w:val="21"/>
                <w:szCs w:val="21"/>
                <w:color w:val="auto"/>
              </w:rPr>
            </w:pPr>
          </w:p>
        </w:tc>
      </w:tr>
      <w:tr>
        <w:trPr>
          <w:trHeight w:val="228"/>
        </w:trPr>
        <w:tc>
          <w:tcPr>
            <w:tcW w:w="2940" w:type="dxa"/>
            <w:vAlign w:val="bottom"/>
          </w:tcPr>
          <w:p>
            <w:pPr>
              <w:ind w:left="20"/>
              <w:spacing w:after="0"/>
              <w:rPr>
                <w:sz w:val="20"/>
                <w:szCs w:val="20"/>
                <w:color w:val="auto"/>
              </w:rPr>
            </w:pPr>
            <w:r>
              <w:rPr>
                <w:rFonts w:ascii="Arial" w:cs="Arial" w:eastAsia="Arial" w:hAnsi="Arial"/>
                <w:sz w:val="16"/>
                <w:szCs w:val="16"/>
                <w:color w:val="auto"/>
              </w:rPr>
              <w:t>Fair Isaac Corporation</w:t>
            </w:r>
          </w:p>
        </w:tc>
        <w:tc>
          <w:tcPr>
            <w:tcW w:w="1220" w:type="dxa"/>
            <w:vAlign w:val="bottom"/>
          </w:tcPr>
          <w:p>
            <w:pPr>
              <w:ind w:left="460"/>
              <w:spacing w:after="0"/>
              <w:rPr>
                <w:sz w:val="20"/>
                <w:szCs w:val="20"/>
                <w:color w:val="auto"/>
              </w:rPr>
            </w:pPr>
            <w:r>
              <w:rPr>
                <w:rFonts w:ascii="Arial" w:cs="Arial" w:eastAsia="Arial" w:hAnsi="Arial"/>
                <w:sz w:val="16"/>
                <w:szCs w:val="16"/>
                <w:color w:val="auto"/>
              </w:rPr>
              <w:t>FICO</w:t>
            </w:r>
          </w:p>
        </w:tc>
        <w:tc>
          <w:tcPr>
            <w:tcW w:w="6400" w:type="dxa"/>
            <w:vAlign w:val="bottom"/>
          </w:tcPr>
          <w:p>
            <w:pPr>
              <w:ind w:left="280"/>
              <w:spacing w:after="0"/>
              <w:rPr>
                <w:sz w:val="20"/>
                <w:szCs w:val="20"/>
                <w:color w:val="auto"/>
              </w:rPr>
            </w:pPr>
            <w:r>
              <w:rPr>
                <w:rFonts w:ascii="Arial" w:cs="Arial" w:eastAsia="Arial" w:hAnsi="Arial"/>
                <w:sz w:val="16"/>
                <w:szCs w:val="16"/>
                <w:color w:val="auto"/>
              </w:rPr>
              <w:t>Information Technology—Software—Application Software</w:t>
            </w:r>
          </w:p>
        </w:tc>
        <w:tc>
          <w:tcPr>
            <w:tcW w:w="680" w:type="dxa"/>
            <w:vAlign w:val="bottom"/>
          </w:tcPr>
          <w:p>
            <w:pPr>
              <w:spacing w:after="0"/>
              <w:rPr>
                <w:sz w:val="19"/>
                <w:szCs w:val="19"/>
                <w:color w:val="auto"/>
              </w:rPr>
            </w:pPr>
          </w:p>
        </w:tc>
      </w:tr>
      <w:tr>
        <w:trPr>
          <w:trHeight w:val="43"/>
        </w:trPr>
        <w:tc>
          <w:tcPr>
            <w:tcW w:w="29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4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50"/>
        </w:trPr>
        <w:tc>
          <w:tcPr>
            <w:tcW w:w="2940" w:type="dxa"/>
            <w:vAlign w:val="bottom"/>
            <w:tcBorders>
              <w:bottom w:val="single" w:sz="8" w:color="EDF0FC"/>
            </w:tcBorders>
            <w:shd w:val="clear" w:color="auto" w:fill="EDF0FC"/>
          </w:tcPr>
          <w:p>
            <w:pPr>
              <w:ind w:left="20"/>
              <w:spacing w:after="0"/>
              <w:rPr>
                <w:sz w:val="20"/>
                <w:szCs w:val="20"/>
                <w:color w:val="auto"/>
              </w:rPr>
            </w:pPr>
            <w:r>
              <w:rPr>
                <w:rFonts w:ascii="Arial" w:cs="Arial" w:eastAsia="Arial" w:hAnsi="Arial"/>
                <w:sz w:val="16"/>
                <w:szCs w:val="16"/>
                <w:color w:val="auto"/>
              </w:rPr>
              <w:t>Gartner, Inc.</w:t>
            </w:r>
          </w:p>
        </w:tc>
        <w:tc>
          <w:tcPr>
            <w:tcW w:w="1220" w:type="dxa"/>
            <w:vAlign w:val="bottom"/>
            <w:tcBorders>
              <w:bottom w:val="single" w:sz="8" w:color="EDF0FC"/>
            </w:tcBorders>
            <w:shd w:val="clear" w:color="auto" w:fill="EDF0FC"/>
          </w:tcPr>
          <w:p>
            <w:pPr>
              <w:ind w:left="460"/>
              <w:spacing w:after="0"/>
              <w:rPr>
                <w:sz w:val="20"/>
                <w:szCs w:val="20"/>
                <w:color w:val="auto"/>
              </w:rPr>
            </w:pPr>
            <w:r>
              <w:rPr>
                <w:rFonts w:ascii="Arial" w:cs="Arial" w:eastAsia="Arial" w:hAnsi="Arial"/>
                <w:sz w:val="16"/>
                <w:szCs w:val="16"/>
                <w:color w:val="auto"/>
              </w:rPr>
              <w:t>IT</w:t>
            </w:r>
          </w:p>
        </w:tc>
        <w:tc>
          <w:tcPr>
            <w:tcW w:w="6400" w:type="dxa"/>
            <w:vAlign w:val="bottom"/>
            <w:tcBorders>
              <w:bottom w:val="single" w:sz="8" w:color="EDF0FC"/>
              <w:right w:val="single" w:sz="8" w:color="EDF0FC"/>
            </w:tcBorders>
            <w:shd w:val="clear" w:color="auto" w:fill="EDF0FC"/>
          </w:tcPr>
          <w:p>
            <w:pPr>
              <w:ind w:left="280"/>
              <w:spacing w:after="0"/>
              <w:rPr>
                <w:sz w:val="20"/>
                <w:szCs w:val="20"/>
                <w:color w:val="auto"/>
              </w:rPr>
            </w:pPr>
            <w:r>
              <w:rPr>
                <w:rFonts w:ascii="Arial" w:cs="Arial" w:eastAsia="Arial" w:hAnsi="Arial"/>
                <w:sz w:val="16"/>
                <w:szCs w:val="16"/>
                <w:color w:val="auto"/>
              </w:rPr>
              <w:t>Information Technology—IT Services—IT Consulting and Other Services</w:t>
            </w:r>
          </w:p>
        </w:tc>
        <w:tc>
          <w:tcPr>
            <w:tcW w:w="680" w:type="dxa"/>
            <w:vAlign w:val="bottom"/>
            <w:tcBorders>
              <w:bottom w:val="single" w:sz="8" w:color="EDF0FC"/>
            </w:tcBorders>
            <w:shd w:val="clear" w:color="auto" w:fill="EDF0FC"/>
          </w:tcPr>
          <w:p>
            <w:pPr>
              <w:spacing w:after="0"/>
              <w:rPr>
                <w:sz w:val="21"/>
                <w:szCs w:val="21"/>
                <w:color w:val="auto"/>
              </w:rPr>
            </w:pPr>
          </w:p>
        </w:tc>
      </w:tr>
      <w:tr>
        <w:trPr>
          <w:trHeight w:val="228"/>
        </w:trPr>
        <w:tc>
          <w:tcPr>
            <w:tcW w:w="2940" w:type="dxa"/>
            <w:vAlign w:val="bottom"/>
          </w:tcPr>
          <w:p>
            <w:pPr>
              <w:ind w:left="20"/>
              <w:spacing w:after="0"/>
              <w:rPr>
                <w:sz w:val="20"/>
                <w:szCs w:val="20"/>
                <w:color w:val="auto"/>
              </w:rPr>
            </w:pPr>
            <w:r>
              <w:rPr>
                <w:rFonts w:ascii="Arial" w:cs="Arial" w:eastAsia="Arial" w:hAnsi="Arial"/>
                <w:sz w:val="16"/>
                <w:szCs w:val="16"/>
                <w:color w:val="auto"/>
              </w:rPr>
              <w:t>MarketAxess Holdings Inc.</w:t>
            </w:r>
          </w:p>
        </w:tc>
        <w:tc>
          <w:tcPr>
            <w:tcW w:w="1220" w:type="dxa"/>
            <w:vAlign w:val="bottom"/>
          </w:tcPr>
          <w:p>
            <w:pPr>
              <w:ind w:left="460"/>
              <w:spacing w:after="0"/>
              <w:rPr>
                <w:sz w:val="20"/>
                <w:szCs w:val="20"/>
                <w:color w:val="auto"/>
              </w:rPr>
            </w:pPr>
            <w:r>
              <w:rPr>
                <w:rFonts w:ascii="Arial" w:cs="Arial" w:eastAsia="Arial" w:hAnsi="Arial"/>
                <w:sz w:val="16"/>
                <w:szCs w:val="16"/>
                <w:color w:val="auto"/>
              </w:rPr>
              <w:t>MKTX</w:t>
            </w:r>
          </w:p>
        </w:tc>
        <w:tc>
          <w:tcPr>
            <w:tcW w:w="6400" w:type="dxa"/>
            <w:vAlign w:val="bottom"/>
          </w:tcPr>
          <w:p>
            <w:pPr>
              <w:ind w:left="280"/>
              <w:spacing w:after="0"/>
              <w:rPr>
                <w:sz w:val="20"/>
                <w:szCs w:val="20"/>
                <w:color w:val="auto"/>
              </w:rPr>
            </w:pPr>
            <w:r>
              <w:rPr>
                <w:rFonts w:ascii="Arial" w:cs="Arial" w:eastAsia="Arial" w:hAnsi="Arial"/>
                <w:sz w:val="16"/>
                <w:szCs w:val="16"/>
                <w:color w:val="auto"/>
              </w:rPr>
              <w:t>Financial Services—Capital Markets—Financial Exchanges and Data</w:t>
            </w:r>
          </w:p>
        </w:tc>
        <w:tc>
          <w:tcPr>
            <w:tcW w:w="680" w:type="dxa"/>
            <w:vAlign w:val="bottom"/>
          </w:tcPr>
          <w:p>
            <w:pPr>
              <w:spacing w:after="0"/>
              <w:rPr>
                <w:sz w:val="19"/>
                <w:szCs w:val="19"/>
                <w:color w:val="auto"/>
              </w:rPr>
            </w:pPr>
          </w:p>
        </w:tc>
      </w:tr>
      <w:tr>
        <w:trPr>
          <w:trHeight w:val="43"/>
        </w:trPr>
        <w:tc>
          <w:tcPr>
            <w:tcW w:w="29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4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50"/>
        </w:trPr>
        <w:tc>
          <w:tcPr>
            <w:tcW w:w="2940" w:type="dxa"/>
            <w:vAlign w:val="bottom"/>
            <w:tcBorders>
              <w:bottom w:val="single" w:sz="8" w:color="EDF0FC"/>
            </w:tcBorders>
            <w:shd w:val="clear" w:color="auto" w:fill="EDF0FC"/>
          </w:tcPr>
          <w:p>
            <w:pPr>
              <w:ind w:left="20"/>
              <w:spacing w:after="0"/>
              <w:rPr>
                <w:sz w:val="20"/>
                <w:szCs w:val="20"/>
                <w:color w:val="auto"/>
              </w:rPr>
            </w:pPr>
            <w:r>
              <w:rPr>
                <w:rFonts w:ascii="Arial" w:cs="Arial" w:eastAsia="Arial" w:hAnsi="Arial"/>
                <w:sz w:val="16"/>
                <w:szCs w:val="16"/>
                <w:color w:val="auto"/>
              </w:rPr>
              <w:t>Moody’s Corporation</w:t>
            </w:r>
          </w:p>
        </w:tc>
        <w:tc>
          <w:tcPr>
            <w:tcW w:w="1220" w:type="dxa"/>
            <w:vAlign w:val="bottom"/>
            <w:tcBorders>
              <w:bottom w:val="single" w:sz="8" w:color="EDF0FC"/>
            </w:tcBorders>
            <w:shd w:val="clear" w:color="auto" w:fill="EDF0FC"/>
          </w:tcPr>
          <w:p>
            <w:pPr>
              <w:ind w:left="460"/>
              <w:spacing w:after="0"/>
              <w:rPr>
                <w:sz w:val="20"/>
                <w:szCs w:val="20"/>
                <w:color w:val="auto"/>
              </w:rPr>
            </w:pPr>
            <w:r>
              <w:rPr>
                <w:rFonts w:ascii="Arial" w:cs="Arial" w:eastAsia="Arial" w:hAnsi="Arial"/>
                <w:sz w:val="16"/>
                <w:szCs w:val="16"/>
                <w:color w:val="auto"/>
              </w:rPr>
              <w:t>MCO</w:t>
            </w:r>
          </w:p>
        </w:tc>
        <w:tc>
          <w:tcPr>
            <w:tcW w:w="6400" w:type="dxa"/>
            <w:vAlign w:val="bottom"/>
            <w:tcBorders>
              <w:bottom w:val="single" w:sz="8" w:color="EDF0FC"/>
              <w:right w:val="single" w:sz="8" w:color="EDF0FC"/>
            </w:tcBorders>
            <w:shd w:val="clear" w:color="auto" w:fill="EDF0FC"/>
          </w:tcPr>
          <w:p>
            <w:pPr>
              <w:ind w:left="280"/>
              <w:spacing w:after="0"/>
              <w:rPr>
                <w:sz w:val="20"/>
                <w:szCs w:val="20"/>
                <w:color w:val="auto"/>
              </w:rPr>
            </w:pPr>
            <w:r>
              <w:rPr>
                <w:rFonts w:ascii="Arial" w:cs="Arial" w:eastAsia="Arial" w:hAnsi="Arial"/>
                <w:sz w:val="16"/>
                <w:szCs w:val="16"/>
                <w:color w:val="auto"/>
              </w:rPr>
              <w:t>Financial Services—Capital Markets—Financial Exchanges and Data</w:t>
            </w:r>
          </w:p>
        </w:tc>
        <w:tc>
          <w:tcPr>
            <w:tcW w:w="680" w:type="dxa"/>
            <w:vAlign w:val="bottom"/>
            <w:tcBorders>
              <w:bottom w:val="single" w:sz="8" w:color="EDF0FC"/>
            </w:tcBorders>
            <w:shd w:val="clear" w:color="auto" w:fill="EDF0FC"/>
          </w:tcPr>
          <w:p>
            <w:pPr>
              <w:spacing w:after="0"/>
              <w:rPr>
                <w:sz w:val="21"/>
                <w:szCs w:val="21"/>
                <w:color w:val="auto"/>
              </w:rPr>
            </w:pPr>
          </w:p>
        </w:tc>
      </w:tr>
      <w:tr>
        <w:trPr>
          <w:trHeight w:val="228"/>
        </w:trPr>
        <w:tc>
          <w:tcPr>
            <w:tcW w:w="2940" w:type="dxa"/>
            <w:vAlign w:val="bottom"/>
          </w:tcPr>
          <w:p>
            <w:pPr>
              <w:ind w:left="20"/>
              <w:spacing w:after="0"/>
              <w:rPr>
                <w:sz w:val="20"/>
                <w:szCs w:val="20"/>
                <w:color w:val="auto"/>
              </w:rPr>
            </w:pPr>
            <w:r>
              <w:rPr>
                <w:rFonts w:ascii="Arial" w:cs="Arial" w:eastAsia="Arial" w:hAnsi="Arial"/>
                <w:sz w:val="16"/>
                <w:szCs w:val="16"/>
                <w:color w:val="auto"/>
              </w:rPr>
              <w:t>Morningstar, Inc.</w:t>
            </w:r>
          </w:p>
        </w:tc>
        <w:tc>
          <w:tcPr>
            <w:tcW w:w="1220" w:type="dxa"/>
            <w:vAlign w:val="bottom"/>
          </w:tcPr>
          <w:p>
            <w:pPr>
              <w:ind w:left="460"/>
              <w:spacing w:after="0"/>
              <w:rPr>
                <w:sz w:val="20"/>
                <w:szCs w:val="20"/>
                <w:color w:val="auto"/>
              </w:rPr>
            </w:pPr>
            <w:r>
              <w:rPr>
                <w:rFonts w:ascii="Arial" w:cs="Arial" w:eastAsia="Arial" w:hAnsi="Arial"/>
                <w:sz w:val="16"/>
                <w:szCs w:val="16"/>
                <w:color w:val="auto"/>
              </w:rPr>
              <w:t>MORN</w:t>
            </w:r>
          </w:p>
        </w:tc>
        <w:tc>
          <w:tcPr>
            <w:tcW w:w="6400" w:type="dxa"/>
            <w:vAlign w:val="bottom"/>
          </w:tcPr>
          <w:p>
            <w:pPr>
              <w:ind w:left="280"/>
              <w:spacing w:after="0"/>
              <w:rPr>
                <w:sz w:val="20"/>
                <w:szCs w:val="20"/>
                <w:color w:val="auto"/>
              </w:rPr>
            </w:pPr>
            <w:r>
              <w:rPr>
                <w:rFonts w:ascii="Arial" w:cs="Arial" w:eastAsia="Arial" w:hAnsi="Arial"/>
                <w:sz w:val="16"/>
                <w:szCs w:val="16"/>
                <w:color w:val="auto"/>
              </w:rPr>
              <w:t>Financial Services—Capital Markets—Financial Exchanges and Data</w:t>
            </w:r>
          </w:p>
        </w:tc>
        <w:tc>
          <w:tcPr>
            <w:tcW w:w="680" w:type="dxa"/>
            <w:vAlign w:val="bottom"/>
          </w:tcPr>
          <w:p>
            <w:pPr>
              <w:spacing w:after="0"/>
              <w:rPr>
                <w:sz w:val="19"/>
                <w:szCs w:val="19"/>
                <w:color w:val="auto"/>
              </w:rPr>
            </w:pPr>
          </w:p>
        </w:tc>
      </w:tr>
      <w:tr>
        <w:trPr>
          <w:trHeight w:val="43"/>
        </w:trPr>
        <w:tc>
          <w:tcPr>
            <w:tcW w:w="29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4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50"/>
        </w:trPr>
        <w:tc>
          <w:tcPr>
            <w:tcW w:w="2940" w:type="dxa"/>
            <w:vAlign w:val="bottom"/>
            <w:tcBorders>
              <w:bottom w:val="single" w:sz="8" w:color="EDF0FC"/>
            </w:tcBorders>
            <w:shd w:val="clear" w:color="auto" w:fill="EDF0FC"/>
          </w:tcPr>
          <w:p>
            <w:pPr>
              <w:ind w:left="20"/>
              <w:spacing w:after="0"/>
              <w:rPr>
                <w:sz w:val="20"/>
                <w:szCs w:val="20"/>
                <w:color w:val="auto"/>
              </w:rPr>
            </w:pPr>
            <w:r>
              <w:rPr>
                <w:rFonts w:ascii="Arial" w:cs="Arial" w:eastAsia="Arial" w:hAnsi="Arial"/>
                <w:sz w:val="16"/>
                <w:szCs w:val="16"/>
                <w:color w:val="auto"/>
              </w:rPr>
              <w:t>SEI Investments Company</w:t>
            </w:r>
          </w:p>
        </w:tc>
        <w:tc>
          <w:tcPr>
            <w:tcW w:w="1220" w:type="dxa"/>
            <w:vAlign w:val="bottom"/>
            <w:tcBorders>
              <w:bottom w:val="single" w:sz="8" w:color="EDF0FC"/>
            </w:tcBorders>
            <w:shd w:val="clear" w:color="auto" w:fill="EDF0FC"/>
          </w:tcPr>
          <w:p>
            <w:pPr>
              <w:ind w:left="460"/>
              <w:spacing w:after="0"/>
              <w:rPr>
                <w:sz w:val="20"/>
                <w:szCs w:val="20"/>
                <w:color w:val="auto"/>
              </w:rPr>
            </w:pPr>
            <w:r>
              <w:rPr>
                <w:rFonts w:ascii="Arial" w:cs="Arial" w:eastAsia="Arial" w:hAnsi="Arial"/>
                <w:sz w:val="16"/>
                <w:szCs w:val="16"/>
                <w:color w:val="auto"/>
              </w:rPr>
              <w:t>SEIC</w:t>
            </w:r>
          </w:p>
        </w:tc>
        <w:tc>
          <w:tcPr>
            <w:tcW w:w="6400" w:type="dxa"/>
            <w:vAlign w:val="bottom"/>
            <w:tcBorders>
              <w:bottom w:val="single" w:sz="8" w:color="EDF0FC"/>
              <w:right w:val="single" w:sz="8" w:color="EDF0FC"/>
            </w:tcBorders>
            <w:shd w:val="clear" w:color="auto" w:fill="EDF0FC"/>
          </w:tcPr>
          <w:p>
            <w:pPr>
              <w:ind w:left="280"/>
              <w:spacing w:after="0"/>
              <w:rPr>
                <w:sz w:val="20"/>
                <w:szCs w:val="20"/>
                <w:color w:val="auto"/>
              </w:rPr>
            </w:pPr>
            <w:r>
              <w:rPr>
                <w:rFonts w:ascii="Arial" w:cs="Arial" w:eastAsia="Arial" w:hAnsi="Arial"/>
                <w:sz w:val="16"/>
                <w:szCs w:val="16"/>
                <w:color w:val="auto"/>
              </w:rPr>
              <w:t>Financial Services—Capital Markets—Asset Management and Custody Banks</w:t>
            </w:r>
          </w:p>
        </w:tc>
        <w:tc>
          <w:tcPr>
            <w:tcW w:w="680" w:type="dxa"/>
            <w:vAlign w:val="bottom"/>
            <w:tcBorders>
              <w:bottom w:val="single" w:sz="8" w:color="EDF0FC"/>
            </w:tcBorders>
            <w:shd w:val="clear" w:color="auto" w:fill="EDF0FC"/>
          </w:tcPr>
          <w:p>
            <w:pPr>
              <w:spacing w:after="0"/>
              <w:rPr>
                <w:sz w:val="21"/>
                <w:szCs w:val="21"/>
                <w:color w:val="auto"/>
              </w:rPr>
            </w:pPr>
          </w:p>
        </w:tc>
      </w:tr>
      <w:tr>
        <w:trPr>
          <w:trHeight w:val="228"/>
        </w:trPr>
        <w:tc>
          <w:tcPr>
            <w:tcW w:w="2940" w:type="dxa"/>
            <w:vAlign w:val="bottom"/>
          </w:tcPr>
          <w:p>
            <w:pPr>
              <w:ind w:left="20"/>
              <w:spacing w:after="0"/>
              <w:rPr>
                <w:sz w:val="20"/>
                <w:szCs w:val="20"/>
                <w:color w:val="auto"/>
              </w:rPr>
            </w:pPr>
            <w:r>
              <w:rPr>
                <w:rFonts w:ascii="Arial" w:cs="Arial" w:eastAsia="Arial" w:hAnsi="Arial"/>
                <w:sz w:val="16"/>
                <w:szCs w:val="16"/>
                <w:color w:val="auto"/>
              </w:rPr>
              <w:t>S&amp;P Global Inc.</w:t>
            </w:r>
          </w:p>
        </w:tc>
        <w:tc>
          <w:tcPr>
            <w:tcW w:w="1220" w:type="dxa"/>
            <w:vAlign w:val="bottom"/>
          </w:tcPr>
          <w:p>
            <w:pPr>
              <w:ind w:left="460"/>
              <w:spacing w:after="0"/>
              <w:rPr>
                <w:sz w:val="20"/>
                <w:szCs w:val="20"/>
                <w:color w:val="auto"/>
              </w:rPr>
            </w:pPr>
            <w:r>
              <w:rPr>
                <w:rFonts w:ascii="Arial" w:cs="Arial" w:eastAsia="Arial" w:hAnsi="Arial"/>
                <w:sz w:val="16"/>
                <w:szCs w:val="16"/>
                <w:color w:val="auto"/>
              </w:rPr>
              <w:t>SPGI</w:t>
            </w:r>
          </w:p>
        </w:tc>
        <w:tc>
          <w:tcPr>
            <w:tcW w:w="6400" w:type="dxa"/>
            <w:vAlign w:val="bottom"/>
          </w:tcPr>
          <w:p>
            <w:pPr>
              <w:ind w:left="280"/>
              <w:spacing w:after="0"/>
              <w:rPr>
                <w:sz w:val="20"/>
                <w:szCs w:val="20"/>
                <w:color w:val="auto"/>
              </w:rPr>
            </w:pPr>
            <w:r>
              <w:rPr>
                <w:rFonts w:ascii="Arial" w:cs="Arial" w:eastAsia="Arial" w:hAnsi="Arial"/>
                <w:sz w:val="16"/>
                <w:szCs w:val="16"/>
                <w:color w:val="auto"/>
              </w:rPr>
              <w:t>Financial Services—Capital Markets—Financial Exchanges and Data</w:t>
            </w:r>
          </w:p>
        </w:tc>
        <w:tc>
          <w:tcPr>
            <w:tcW w:w="680" w:type="dxa"/>
            <w:vAlign w:val="bottom"/>
          </w:tcPr>
          <w:p>
            <w:pPr>
              <w:spacing w:after="0"/>
              <w:rPr>
                <w:sz w:val="19"/>
                <w:szCs w:val="19"/>
                <w:color w:val="auto"/>
              </w:rPr>
            </w:pPr>
          </w:p>
        </w:tc>
      </w:tr>
      <w:tr>
        <w:trPr>
          <w:trHeight w:val="43"/>
        </w:trPr>
        <w:tc>
          <w:tcPr>
            <w:tcW w:w="29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4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50"/>
        </w:trPr>
        <w:tc>
          <w:tcPr>
            <w:tcW w:w="2940" w:type="dxa"/>
            <w:vAlign w:val="bottom"/>
            <w:tcBorders>
              <w:bottom w:val="single" w:sz="8" w:color="EDF0FC"/>
            </w:tcBorders>
            <w:shd w:val="clear" w:color="auto" w:fill="EDF0FC"/>
          </w:tcPr>
          <w:p>
            <w:pPr>
              <w:ind w:left="20"/>
              <w:spacing w:after="0"/>
              <w:rPr>
                <w:sz w:val="20"/>
                <w:szCs w:val="20"/>
                <w:color w:val="auto"/>
              </w:rPr>
            </w:pPr>
            <w:r>
              <w:rPr>
                <w:rFonts w:ascii="Arial" w:cs="Arial" w:eastAsia="Arial" w:hAnsi="Arial"/>
                <w:sz w:val="16"/>
                <w:szCs w:val="16"/>
                <w:color w:val="auto"/>
              </w:rPr>
              <w:t>SS&amp;C Technologies Holdings, Inc.</w:t>
            </w:r>
          </w:p>
        </w:tc>
        <w:tc>
          <w:tcPr>
            <w:tcW w:w="1220" w:type="dxa"/>
            <w:vAlign w:val="bottom"/>
            <w:tcBorders>
              <w:bottom w:val="single" w:sz="8" w:color="EDF0FC"/>
            </w:tcBorders>
            <w:shd w:val="clear" w:color="auto" w:fill="EDF0FC"/>
          </w:tcPr>
          <w:p>
            <w:pPr>
              <w:ind w:left="460"/>
              <w:spacing w:after="0"/>
              <w:rPr>
                <w:sz w:val="20"/>
                <w:szCs w:val="20"/>
                <w:color w:val="auto"/>
              </w:rPr>
            </w:pPr>
            <w:r>
              <w:rPr>
                <w:rFonts w:ascii="Arial" w:cs="Arial" w:eastAsia="Arial" w:hAnsi="Arial"/>
                <w:sz w:val="16"/>
                <w:szCs w:val="16"/>
                <w:color w:val="auto"/>
              </w:rPr>
              <w:t>SSNC</w:t>
            </w:r>
          </w:p>
        </w:tc>
        <w:tc>
          <w:tcPr>
            <w:tcW w:w="6400" w:type="dxa"/>
            <w:vAlign w:val="bottom"/>
            <w:tcBorders>
              <w:bottom w:val="single" w:sz="8" w:color="EDF0FC"/>
              <w:right w:val="single" w:sz="8" w:color="EDF0FC"/>
            </w:tcBorders>
            <w:shd w:val="clear" w:color="auto" w:fill="EDF0FC"/>
          </w:tcPr>
          <w:p>
            <w:pPr>
              <w:ind w:left="280"/>
              <w:spacing w:after="0"/>
              <w:rPr>
                <w:sz w:val="20"/>
                <w:szCs w:val="20"/>
                <w:color w:val="auto"/>
              </w:rPr>
            </w:pPr>
            <w:r>
              <w:rPr>
                <w:rFonts w:ascii="Arial" w:cs="Arial" w:eastAsia="Arial" w:hAnsi="Arial"/>
                <w:sz w:val="16"/>
                <w:szCs w:val="16"/>
                <w:color w:val="auto"/>
              </w:rPr>
              <w:t>Industrials—Professional Services—Data Processing and Outsourced Services</w:t>
            </w:r>
          </w:p>
        </w:tc>
        <w:tc>
          <w:tcPr>
            <w:tcW w:w="680" w:type="dxa"/>
            <w:vAlign w:val="bottom"/>
            <w:tcBorders>
              <w:bottom w:val="single" w:sz="8" w:color="EDF0FC"/>
            </w:tcBorders>
            <w:shd w:val="clear" w:color="auto" w:fill="EDF0FC"/>
          </w:tcPr>
          <w:p>
            <w:pPr>
              <w:spacing w:after="0"/>
              <w:rPr>
                <w:sz w:val="21"/>
                <w:szCs w:val="21"/>
                <w:color w:val="auto"/>
              </w:rPr>
            </w:pPr>
          </w:p>
        </w:tc>
      </w:tr>
      <w:tr>
        <w:trPr>
          <w:trHeight w:val="228"/>
        </w:trPr>
        <w:tc>
          <w:tcPr>
            <w:tcW w:w="2940" w:type="dxa"/>
            <w:vAlign w:val="bottom"/>
          </w:tcPr>
          <w:p>
            <w:pPr>
              <w:ind w:left="20"/>
              <w:spacing w:after="0"/>
              <w:rPr>
                <w:sz w:val="20"/>
                <w:szCs w:val="20"/>
                <w:color w:val="auto"/>
              </w:rPr>
            </w:pPr>
            <w:r>
              <w:rPr>
                <w:rFonts w:ascii="Arial" w:cs="Arial" w:eastAsia="Arial" w:hAnsi="Arial"/>
                <w:sz w:val="16"/>
                <w:szCs w:val="16"/>
                <w:color w:val="auto"/>
              </w:rPr>
              <w:t>TransUnion</w:t>
            </w:r>
          </w:p>
        </w:tc>
        <w:tc>
          <w:tcPr>
            <w:tcW w:w="1220" w:type="dxa"/>
            <w:vAlign w:val="bottom"/>
          </w:tcPr>
          <w:p>
            <w:pPr>
              <w:ind w:left="460"/>
              <w:spacing w:after="0"/>
              <w:rPr>
                <w:sz w:val="20"/>
                <w:szCs w:val="20"/>
                <w:color w:val="auto"/>
              </w:rPr>
            </w:pPr>
            <w:r>
              <w:rPr>
                <w:rFonts w:ascii="Arial" w:cs="Arial" w:eastAsia="Arial" w:hAnsi="Arial"/>
                <w:sz w:val="16"/>
                <w:szCs w:val="16"/>
                <w:color w:val="auto"/>
              </w:rPr>
              <w:t>TRU</w:t>
            </w:r>
          </w:p>
        </w:tc>
        <w:tc>
          <w:tcPr>
            <w:tcW w:w="6400" w:type="dxa"/>
            <w:vAlign w:val="bottom"/>
          </w:tcPr>
          <w:p>
            <w:pPr>
              <w:ind w:left="280"/>
              <w:spacing w:after="0"/>
              <w:rPr>
                <w:sz w:val="20"/>
                <w:szCs w:val="20"/>
                <w:color w:val="auto"/>
              </w:rPr>
            </w:pPr>
            <w:r>
              <w:rPr>
                <w:rFonts w:ascii="Arial" w:cs="Arial" w:eastAsia="Arial" w:hAnsi="Arial"/>
                <w:sz w:val="16"/>
                <w:szCs w:val="16"/>
                <w:color w:val="auto"/>
              </w:rPr>
              <w:t>Industrials—Professional Services—Research and Consulting Services</w:t>
            </w:r>
          </w:p>
        </w:tc>
        <w:tc>
          <w:tcPr>
            <w:tcW w:w="680" w:type="dxa"/>
            <w:vAlign w:val="bottom"/>
          </w:tcPr>
          <w:p>
            <w:pPr>
              <w:spacing w:after="0"/>
              <w:rPr>
                <w:sz w:val="19"/>
                <w:szCs w:val="19"/>
                <w:color w:val="auto"/>
              </w:rPr>
            </w:pPr>
          </w:p>
        </w:tc>
      </w:tr>
      <w:tr>
        <w:trPr>
          <w:trHeight w:val="43"/>
        </w:trPr>
        <w:tc>
          <w:tcPr>
            <w:tcW w:w="29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4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50"/>
        </w:trPr>
        <w:tc>
          <w:tcPr>
            <w:tcW w:w="2940" w:type="dxa"/>
            <w:vAlign w:val="bottom"/>
            <w:tcBorders>
              <w:bottom w:val="single" w:sz="8" w:color="EDF0FC"/>
            </w:tcBorders>
            <w:shd w:val="clear" w:color="auto" w:fill="EDF0FC"/>
          </w:tcPr>
          <w:p>
            <w:pPr>
              <w:ind w:left="20"/>
              <w:spacing w:after="0"/>
              <w:rPr>
                <w:sz w:val="20"/>
                <w:szCs w:val="20"/>
                <w:color w:val="auto"/>
              </w:rPr>
            </w:pPr>
            <w:r>
              <w:rPr>
                <w:rFonts w:ascii="Arial" w:cs="Arial" w:eastAsia="Arial" w:hAnsi="Arial"/>
                <w:sz w:val="16"/>
                <w:szCs w:val="16"/>
                <w:color w:val="auto"/>
              </w:rPr>
              <w:t>Verisk Analytics, Inc.</w:t>
            </w:r>
          </w:p>
        </w:tc>
        <w:tc>
          <w:tcPr>
            <w:tcW w:w="1220" w:type="dxa"/>
            <w:vAlign w:val="bottom"/>
            <w:tcBorders>
              <w:bottom w:val="single" w:sz="8" w:color="EDF0FC"/>
            </w:tcBorders>
            <w:shd w:val="clear" w:color="auto" w:fill="EDF0FC"/>
          </w:tcPr>
          <w:p>
            <w:pPr>
              <w:ind w:left="460"/>
              <w:spacing w:after="0"/>
              <w:rPr>
                <w:sz w:val="20"/>
                <w:szCs w:val="20"/>
                <w:color w:val="auto"/>
              </w:rPr>
            </w:pPr>
            <w:r>
              <w:rPr>
                <w:rFonts w:ascii="Arial" w:cs="Arial" w:eastAsia="Arial" w:hAnsi="Arial"/>
                <w:sz w:val="16"/>
                <w:szCs w:val="16"/>
                <w:color w:val="auto"/>
              </w:rPr>
              <w:t>VRSK</w:t>
            </w:r>
          </w:p>
        </w:tc>
        <w:tc>
          <w:tcPr>
            <w:tcW w:w="6400" w:type="dxa"/>
            <w:vAlign w:val="bottom"/>
            <w:tcBorders>
              <w:bottom w:val="single" w:sz="8" w:color="EDF0FC"/>
              <w:right w:val="single" w:sz="8" w:color="EDF0FC"/>
            </w:tcBorders>
            <w:shd w:val="clear" w:color="auto" w:fill="EDF0FC"/>
          </w:tcPr>
          <w:p>
            <w:pPr>
              <w:ind w:left="280"/>
              <w:spacing w:after="0"/>
              <w:rPr>
                <w:sz w:val="20"/>
                <w:szCs w:val="20"/>
                <w:color w:val="auto"/>
              </w:rPr>
            </w:pPr>
            <w:r>
              <w:rPr>
                <w:rFonts w:ascii="Arial" w:cs="Arial" w:eastAsia="Arial" w:hAnsi="Arial"/>
                <w:sz w:val="16"/>
                <w:szCs w:val="16"/>
                <w:color w:val="auto"/>
              </w:rPr>
              <w:t>Industrials—Professional Services—Research and Consulting Services</w:t>
            </w:r>
          </w:p>
        </w:tc>
        <w:tc>
          <w:tcPr>
            <w:tcW w:w="680" w:type="dxa"/>
            <w:vAlign w:val="bottom"/>
            <w:tcBorders>
              <w:bottom w:val="single" w:sz="8" w:color="EDF0FC"/>
            </w:tcBorders>
            <w:shd w:val="clear" w:color="auto" w:fill="EDF0FC"/>
          </w:tcPr>
          <w:p>
            <w:pPr>
              <w:spacing w:after="0"/>
              <w:rPr>
                <w:sz w:val="21"/>
                <w:szCs w:val="21"/>
                <w:color w:val="auto"/>
              </w:rPr>
            </w:pPr>
          </w:p>
        </w:tc>
      </w:tr>
      <w:tr>
        <w:trPr>
          <w:trHeight w:val="20"/>
        </w:trPr>
        <w:tc>
          <w:tcPr>
            <w:tcW w:w="29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40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128270</wp:posOffset>
            </wp:positionV>
            <wp:extent cx="5554980" cy="16630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55498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Review for 2025</w:t>
      </w:r>
    </w:p>
    <w:p>
      <w:pPr>
        <w:spacing w:after="0" w:line="114"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In its annual review of the executive compensation peer group for 2025, the Compensation Committee undertook a comprehensive review of the executive compensation peer group following considerable evolution of the industries in which the Company operates over the last few years and the evolution and expansion of the Company’s product lines. As a result, the Compensation Committee removed Aspen Technology, Inc. and Black Knight, Inc. and added the following companies to the peer group that was used as a reference when setting fiscal 2025 pay for our NEOs: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2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Company</w:t>
            </w:r>
          </w:p>
        </w:tc>
        <w:tc>
          <w:tcPr>
            <w:tcW w:w="1340" w:type="dxa"/>
            <w:vAlign w:val="bottom"/>
            <w:tcBorders>
              <w:bottom w:val="single" w:sz="8" w:color="1A3FD6"/>
            </w:tcBorders>
          </w:tcPr>
          <w:p>
            <w:pPr>
              <w:ind w:left="580"/>
              <w:spacing w:after="0"/>
              <w:rPr>
                <w:sz w:val="20"/>
                <w:szCs w:val="20"/>
                <w:color w:val="auto"/>
              </w:rPr>
            </w:pPr>
            <w:r>
              <w:rPr>
                <w:rFonts w:ascii="Arial" w:cs="Arial" w:eastAsia="Arial" w:hAnsi="Arial"/>
                <w:sz w:val="14"/>
                <w:szCs w:val="14"/>
                <w:b w:val="1"/>
                <w:bCs w:val="1"/>
                <w:color w:val="auto"/>
              </w:rPr>
              <w:t>Ticker</w:t>
            </w:r>
          </w:p>
        </w:tc>
        <w:tc>
          <w:tcPr>
            <w:tcW w:w="7080" w:type="dxa"/>
            <w:vAlign w:val="bottom"/>
            <w:tcBorders>
              <w:bottom w:val="single" w:sz="8" w:color="1A3FD6"/>
            </w:tcBorders>
          </w:tcPr>
          <w:p>
            <w:pPr>
              <w:ind w:left="280"/>
              <w:spacing w:after="0"/>
              <w:rPr>
                <w:sz w:val="20"/>
                <w:szCs w:val="20"/>
                <w:color w:val="auto"/>
              </w:rPr>
            </w:pPr>
            <w:r>
              <w:rPr>
                <w:rFonts w:ascii="Arial" w:cs="Arial" w:eastAsia="Arial" w:hAnsi="Arial"/>
                <w:sz w:val="14"/>
                <w:szCs w:val="14"/>
                <w:b w:val="1"/>
                <w:bCs w:val="1"/>
                <w:color w:val="auto"/>
              </w:rPr>
              <w:t>GICS Classification</w:t>
            </w:r>
          </w:p>
        </w:tc>
      </w:tr>
      <w:tr>
        <w:trPr>
          <w:trHeight w:val="228"/>
        </w:trPr>
        <w:tc>
          <w:tcPr>
            <w:tcW w:w="2820" w:type="dxa"/>
            <w:vAlign w:val="bottom"/>
          </w:tcPr>
          <w:p>
            <w:pPr>
              <w:ind w:left="20"/>
              <w:spacing w:after="0"/>
              <w:rPr>
                <w:sz w:val="20"/>
                <w:szCs w:val="20"/>
                <w:color w:val="auto"/>
              </w:rPr>
            </w:pPr>
            <w:r>
              <w:rPr>
                <w:rFonts w:ascii="Arial" w:cs="Arial" w:eastAsia="Arial" w:hAnsi="Arial"/>
                <w:sz w:val="16"/>
                <w:szCs w:val="16"/>
                <w:color w:val="auto"/>
              </w:rPr>
              <w:t>Cboe Global Markets, Inc.</w:t>
            </w:r>
          </w:p>
        </w:tc>
        <w:tc>
          <w:tcPr>
            <w:tcW w:w="1340" w:type="dxa"/>
            <w:vAlign w:val="bottom"/>
          </w:tcPr>
          <w:p>
            <w:pPr>
              <w:ind w:left="580"/>
              <w:spacing w:after="0"/>
              <w:rPr>
                <w:sz w:val="20"/>
                <w:szCs w:val="20"/>
                <w:color w:val="auto"/>
              </w:rPr>
            </w:pPr>
            <w:r>
              <w:rPr>
                <w:rFonts w:ascii="Arial" w:cs="Arial" w:eastAsia="Arial" w:hAnsi="Arial"/>
                <w:sz w:val="16"/>
                <w:szCs w:val="16"/>
                <w:color w:val="auto"/>
              </w:rPr>
              <w:t>CBOE</w:t>
            </w:r>
          </w:p>
        </w:tc>
        <w:tc>
          <w:tcPr>
            <w:tcW w:w="7080" w:type="dxa"/>
            <w:vAlign w:val="bottom"/>
          </w:tcPr>
          <w:p>
            <w:pPr>
              <w:ind w:left="280"/>
              <w:spacing w:after="0"/>
              <w:rPr>
                <w:sz w:val="20"/>
                <w:szCs w:val="20"/>
                <w:color w:val="auto"/>
              </w:rPr>
            </w:pPr>
            <w:r>
              <w:rPr>
                <w:rFonts w:ascii="Arial" w:cs="Arial" w:eastAsia="Arial" w:hAnsi="Arial"/>
                <w:sz w:val="16"/>
                <w:szCs w:val="16"/>
                <w:color w:val="auto"/>
              </w:rPr>
              <w:t>Financial Services—Capital Markets—Financial Exchanges and Data</w:t>
            </w:r>
          </w:p>
        </w:tc>
      </w:tr>
      <w:tr>
        <w:trPr>
          <w:trHeight w:val="42"/>
        </w:trPr>
        <w:tc>
          <w:tcPr>
            <w:tcW w:w="2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7080" w:type="dxa"/>
            <w:vAlign w:val="bottom"/>
          </w:tcPr>
          <w:p>
            <w:pPr>
              <w:spacing w:after="0"/>
              <w:rPr>
                <w:sz w:val="3"/>
                <w:szCs w:val="3"/>
                <w:color w:val="auto"/>
              </w:rPr>
            </w:pPr>
          </w:p>
        </w:tc>
      </w:tr>
      <w:tr>
        <w:trPr>
          <w:trHeight w:val="250"/>
        </w:trPr>
        <w:tc>
          <w:tcPr>
            <w:tcW w:w="2820" w:type="dxa"/>
            <w:vAlign w:val="bottom"/>
            <w:tcBorders>
              <w:bottom w:val="single" w:sz="8" w:color="EDF0FC"/>
            </w:tcBorders>
            <w:shd w:val="clear" w:color="auto" w:fill="EDF0FC"/>
          </w:tcPr>
          <w:p>
            <w:pPr>
              <w:ind w:left="20"/>
              <w:spacing w:after="0"/>
              <w:rPr>
                <w:sz w:val="20"/>
                <w:szCs w:val="20"/>
                <w:color w:val="auto"/>
              </w:rPr>
            </w:pPr>
            <w:r>
              <w:rPr>
                <w:rFonts w:ascii="Arial" w:cs="Arial" w:eastAsia="Arial" w:hAnsi="Arial"/>
                <w:sz w:val="16"/>
                <w:szCs w:val="16"/>
                <w:color w:val="auto"/>
              </w:rPr>
              <w:t>CME Group Inc.</w:t>
            </w:r>
          </w:p>
        </w:tc>
        <w:tc>
          <w:tcPr>
            <w:tcW w:w="1340" w:type="dxa"/>
            <w:vAlign w:val="bottom"/>
            <w:tcBorders>
              <w:bottom w:val="single" w:sz="8" w:color="EDF0FC"/>
            </w:tcBorders>
            <w:shd w:val="clear" w:color="auto" w:fill="EDF0FC"/>
          </w:tcPr>
          <w:p>
            <w:pPr>
              <w:ind w:left="580"/>
              <w:spacing w:after="0"/>
              <w:rPr>
                <w:sz w:val="20"/>
                <w:szCs w:val="20"/>
                <w:color w:val="auto"/>
              </w:rPr>
            </w:pPr>
            <w:r>
              <w:rPr>
                <w:rFonts w:ascii="Arial" w:cs="Arial" w:eastAsia="Arial" w:hAnsi="Arial"/>
                <w:sz w:val="16"/>
                <w:szCs w:val="16"/>
                <w:color w:val="auto"/>
              </w:rPr>
              <w:t>CME</w:t>
            </w:r>
          </w:p>
        </w:tc>
        <w:tc>
          <w:tcPr>
            <w:tcW w:w="7080" w:type="dxa"/>
            <w:vAlign w:val="bottom"/>
            <w:tcBorders>
              <w:bottom w:val="single" w:sz="8" w:color="EDF0FC"/>
            </w:tcBorders>
            <w:shd w:val="clear" w:color="auto" w:fill="EDF0FC"/>
          </w:tcPr>
          <w:p>
            <w:pPr>
              <w:ind w:left="280"/>
              <w:spacing w:after="0"/>
              <w:rPr>
                <w:sz w:val="20"/>
                <w:szCs w:val="20"/>
                <w:color w:val="auto"/>
              </w:rPr>
            </w:pPr>
            <w:r>
              <w:rPr>
                <w:rFonts w:ascii="Arial" w:cs="Arial" w:eastAsia="Arial" w:hAnsi="Arial"/>
                <w:sz w:val="16"/>
                <w:szCs w:val="16"/>
                <w:color w:val="auto"/>
              </w:rPr>
              <w:t>Financial Services—Capital Markets—Financial Exchanges and Data</w:t>
            </w:r>
          </w:p>
        </w:tc>
      </w:tr>
      <w:tr>
        <w:trPr>
          <w:trHeight w:val="228"/>
        </w:trPr>
        <w:tc>
          <w:tcPr>
            <w:tcW w:w="2820" w:type="dxa"/>
            <w:vAlign w:val="bottom"/>
          </w:tcPr>
          <w:p>
            <w:pPr>
              <w:ind w:left="20"/>
              <w:spacing w:after="0"/>
              <w:rPr>
                <w:sz w:val="20"/>
                <w:szCs w:val="20"/>
                <w:color w:val="auto"/>
              </w:rPr>
            </w:pPr>
            <w:r>
              <w:rPr>
                <w:rFonts w:ascii="Arial" w:cs="Arial" w:eastAsia="Arial" w:hAnsi="Arial"/>
                <w:sz w:val="16"/>
                <w:szCs w:val="16"/>
                <w:color w:val="auto"/>
              </w:rPr>
              <w:t>CoStar Group, Inc.</w:t>
            </w:r>
          </w:p>
        </w:tc>
        <w:tc>
          <w:tcPr>
            <w:tcW w:w="1340" w:type="dxa"/>
            <w:vAlign w:val="bottom"/>
          </w:tcPr>
          <w:p>
            <w:pPr>
              <w:ind w:left="580"/>
              <w:spacing w:after="0"/>
              <w:rPr>
                <w:sz w:val="20"/>
                <w:szCs w:val="20"/>
                <w:color w:val="auto"/>
              </w:rPr>
            </w:pPr>
            <w:r>
              <w:rPr>
                <w:rFonts w:ascii="Arial" w:cs="Arial" w:eastAsia="Arial" w:hAnsi="Arial"/>
                <w:sz w:val="16"/>
                <w:szCs w:val="16"/>
                <w:color w:val="auto"/>
              </w:rPr>
              <w:t>CSGP</w:t>
            </w:r>
          </w:p>
        </w:tc>
        <w:tc>
          <w:tcPr>
            <w:tcW w:w="7080" w:type="dxa"/>
            <w:vAlign w:val="bottom"/>
          </w:tcPr>
          <w:p>
            <w:pPr>
              <w:ind w:left="280"/>
              <w:spacing w:after="0"/>
              <w:rPr>
                <w:sz w:val="20"/>
                <w:szCs w:val="20"/>
                <w:color w:val="auto"/>
              </w:rPr>
            </w:pPr>
            <w:r>
              <w:rPr>
                <w:rFonts w:ascii="Arial" w:cs="Arial" w:eastAsia="Arial" w:hAnsi="Arial"/>
                <w:sz w:val="16"/>
                <w:szCs w:val="16"/>
                <w:color w:val="auto"/>
              </w:rPr>
              <w:t>Real Estate Management &amp; Development—Real Estate Services</w:t>
            </w:r>
          </w:p>
        </w:tc>
      </w:tr>
      <w:tr>
        <w:trPr>
          <w:trHeight w:val="42"/>
        </w:trPr>
        <w:tc>
          <w:tcPr>
            <w:tcW w:w="2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7080" w:type="dxa"/>
            <w:vAlign w:val="bottom"/>
          </w:tcPr>
          <w:p>
            <w:pPr>
              <w:spacing w:after="0"/>
              <w:rPr>
                <w:sz w:val="3"/>
                <w:szCs w:val="3"/>
                <w:color w:val="auto"/>
              </w:rPr>
            </w:pPr>
          </w:p>
        </w:tc>
      </w:tr>
      <w:tr>
        <w:trPr>
          <w:trHeight w:val="250"/>
        </w:trPr>
        <w:tc>
          <w:tcPr>
            <w:tcW w:w="2820" w:type="dxa"/>
            <w:vAlign w:val="bottom"/>
            <w:tcBorders>
              <w:bottom w:val="single" w:sz="8" w:color="EDF0FC"/>
            </w:tcBorders>
            <w:shd w:val="clear" w:color="auto" w:fill="EDF0FC"/>
          </w:tcPr>
          <w:p>
            <w:pPr>
              <w:ind w:left="20"/>
              <w:spacing w:after="0"/>
              <w:rPr>
                <w:sz w:val="20"/>
                <w:szCs w:val="20"/>
                <w:color w:val="auto"/>
              </w:rPr>
            </w:pPr>
            <w:r>
              <w:rPr>
                <w:rFonts w:ascii="Arial" w:cs="Arial" w:eastAsia="Arial" w:hAnsi="Arial"/>
                <w:sz w:val="16"/>
                <w:szCs w:val="16"/>
                <w:color w:val="auto"/>
              </w:rPr>
              <w:t>Intercontinental Exchange, Inc.</w:t>
            </w:r>
          </w:p>
        </w:tc>
        <w:tc>
          <w:tcPr>
            <w:tcW w:w="1340" w:type="dxa"/>
            <w:vAlign w:val="bottom"/>
            <w:tcBorders>
              <w:bottom w:val="single" w:sz="8" w:color="EDF0FC"/>
            </w:tcBorders>
            <w:shd w:val="clear" w:color="auto" w:fill="EDF0FC"/>
          </w:tcPr>
          <w:p>
            <w:pPr>
              <w:ind w:left="580"/>
              <w:spacing w:after="0"/>
              <w:rPr>
                <w:sz w:val="20"/>
                <w:szCs w:val="20"/>
                <w:color w:val="auto"/>
              </w:rPr>
            </w:pPr>
            <w:r>
              <w:rPr>
                <w:rFonts w:ascii="Arial" w:cs="Arial" w:eastAsia="Arial" w:hAnsi="Arial"/>
                <w:sz w:val="16"/>
                <w:szCs w:val="16"/>
                <w:color w:val="auto"/>
              </w:rPr>
              <w:t>ICE</w:t>
            </w:r>
          </w:p>
        </w:tc>
        <w:tc>
          <w:tcPr>
            <w:tcW w:w="7080" w:type="dxa"/>
            <w:vAlign w:val="bottom"/>
            <w:tcBorders>
              <w:bottom w:val="single" w:sz="8" w:color="EDF0FC"/>
            </w:tcBorders>
            <w:shd w:val="clear" w:color="auto" w:fill="EDF0FC"/>
          </w:tcPr>
          <w:p>
            <w:pPr>
              <w:ind w:left="280"/>
              <w:spacing w:after="0"/>
              <w:rPr>
                <w:sz w:val="20"/>
                <w:szCs w:val="20"/>
                <w:color w:val="auto"/>
              </w:rPr>
            </w:pPr>
            <w:r>
              <w:rPr>
                <w:rFonts w:ascii="Arial" w:cs="Arial" w:eastAsia="Arial" w:hAnsi="Arial"/>
                <w:sz w:val="16"/>
                <w:szCs w:val="16"/>
                <w:color w:val="auto"/>
              </w:rPr>
              <w:t>Financial Services—Capital Markets—Financial Exchanges and Data</w:t>
            </w:r>
          </w:p>
        </w:tc>
      </w:tr>
      <w:tr>
        <w:trPr>
          <w:trHeight w:val="228"/>
        </w:trPr>
        <w:tc>
          <w:tcPr>
            <w:tcW w:w="2820" w:type="dxa"/>
            <w:vAlign w:val="bottom"/>
          </w:tcPr>
          <w:p>
            <w:pPr>
              <w:ind w:left="20"/>
              <w:spacing w:after="0"/>
              <w:rPr>
                <w:sz w:val="20"/>
                <w:szCs w:val="20"/>
                <w:color w:val="auto"/>
              </w:rPr>
            </w:pPr>
            <w:r>
              <w:rPr>
                <w:rFonts w:ascii="Arial" w:cs="Arial" w:eastAsia="Arial" w:hAnsi="Arial"/>
                <w:sz w:val="16"/>
                <w:szCs w:val="16"/>
                <w:color w:val="auto"/>
              </w:rPr>
              <w:t>Nasdaq, Inc.</w:t>
            </w:r>
          </w:p>
        </w:tc>
        <w:tc>
          <w:tcPr>
            <w:tcW w:w="1340" w:type="dxa"/>
            <w:vAlign w:val="bottom"/>
          </w:tcPr>
          <w:p>
            <w:pPr>
              <w:ind w:left="580"/>
              <w:spacing w:after="0"/>
              <w:rPr>
                <w:sz w:val="20"/>
                <w:szCs w:val="20"/>
                <w:color w:val="auto"/>
              </w:rPr>
            </w:pPr>
            <w:r>
              <w:rPr>
                <w:rFonts w:ascii="Arial" w:cs="Arial" w:eastAsia="Arial" w:hAnsi="Arial"/>
                <w:sz w:val="16"/>
                <w:szCs w:val="16"/>
                <w:color w:val="auto"/>
              </w:rPr>
              <w:t>NDAQ</w:t>
            </w:r>
          </w:p>
        </w:tc>
        <w:tc>
          <w:tcPr>
            <w:tcW w:w="7080" w:type="dxa"/>
            <w:vAlign w:val="bottom"/>
          </w:tcPr>
          <w:p>
            <w:pPr>
              <w:ind w:left="280"/>
              <w:spacing w:after="0"/>
              <w:rPr>
                <w:sz w:val="20"/>
                <w:szCs w:val="20"/>
                <w:color w:val="auto"/>
              </w:rPr>
            </w:pPr>
            <w:r>
              <w:rPr>
                <w:rFonts w:ascii="Arial" w:cs="Arial" w:eastAsia="Arial" w:hAnsi="Arial"/>
                <w:sz w:val="16"/>
                <w:szCs w:val="16"/>
                <w:color w:val="auto"/>
              </w:rPr>
              <w:t>Financial Services—Capital Markets—Financial Exchanges and Data</w:t>
            </w:r>
          </w:p>
        </w:tc>
      </w:tr>
      <w:tr>
        <w:trPr>
          <w:trHeight w:val="42"/>
        </w:trPr>
        <w:tc>
          <w:tcPr>
            <w:tcW w:w="28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7080" w:type="dxa"/>
            <w:vAlign w:val="bottom"/>
            <w:tcBorders>
              <w:bottom w:val="single" w:sz="8" w:color="auto"/>
            </w:tcBorders>
          </w:tcPr>
          <w:p>
            <w:pPr>
              <w:spacing w:after="0"/>
              <w:rPr>
                <w:sz w:val="3"/>
                <w:szCs w:val="3"/>
                <w:color w:val="auto"/>
              </w:rPr>
            </w:pPr>
          </w:p>
        </w:tc>
      </w:tr>
      <w:tr>
        <w:trPr>
          <w:trHeight w:val="1229"/>
        </w:trPr>
        <w:tc>
          <w:tcPr>
            <w:tcW w:w="28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69" w:name="page70"/>
    <w:bookmarkEnd w:id="69"/>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68</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Review of our Programs</w:t>
      </w:r>
    </w:p>
    <w:p>
      <w:pPr>
        <w:spacing w:after="0" w:line="107"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Elements of Executive Compensation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 for our NEOs in 2024 consisted of the following elements.</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1860" w:type="dxa"/>
            <w:vAlign w:val="bottom"/>
          </w:tcPr>
          <w:p>
            <w:pPr>
              <w:ind w:left="20"/>
              <w:spacing w:after="0"/>
              <w:rPr>
                <w:sz w:val="20"/>
                <w:szCs w:val="20"/>
                <w:color w:val="auto"/>
              </w:rPr>
            </w:pPr>
            <w:r>
              <w:rPr>
                <w:rFonts w:ascii="Arial" w:cs="Arial" w:eastAsia="Arial" w:hAnsi="Arial"/>
                <w:sz w:val="14"/>
                <w:szCs w:val="14"/>
                <w:b w:val="1"/>
                <w:bCs w:val="1"/>
                <w:color w:val="auto"/>
              </w:rPr>
              <w:t>Compensation</w:t>
            </w:r>
          </w:p>
        </w:tc>
        <w:tc>
          <w:tcPr>
            <w:tcW w:w="22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60" w:type="dxa"/>
            <w:vAlign w:val="bottom"/>
          </w:tcPr>
          <w:p>
            <w:pPr>
              <w:ind w:left="20"/>
              <w:spacing w:after="0"/>
              <w:rPr>
                <w:sz w:val="20"/>
                <w:szCs w:val="20"/>
                <w:color w:val="auto"/>
              </w:rPr>
            </w:pPr>
            <w:r>
              <w:rPr>
                <w:rFonts w:ascii="Arial" w:cs="Arial" w:eastAsia="Arial" w:hAnsi="Arial"/>
                <w:sz w:val="14"/>
                <w:szCs w:val="14"/>
                <w:b w:val="1"/>
                <w:bCs w:val="1"/>
                <w:color w:val="auto"/>
              </w:rPr>
              <w:t>Element</w:t>
            </w:r>
          </w:p>
        </w:tc>
        <w:tc>
          <w:tcPr>
            <w:tcW w:w="2280" w:type="dxa"/>
            <w:vAlign w:val="bottom"/>
          </w:tcPr>
          <w:p>
            <w:pPr>
              <w:ind w:left="80"/>
              <w:spacing w:after="0"/>
              <w:rPr>
                <w:sz w:val="20"/>
                <w:szCs w:val="20"/>
                <w:color w:val="auto"/>
              </w:rPr>
            </w:pPr>
            <w:r>
              <w:rPr>
                <w:rFonts w:ascii="Arial" w:cs="Arial" w:eastAsia="Arial" w:hAnsi="Arial"/>
                <w:sz w:val="14"/>
                <w:szCs w:val="14"/>
                <w:b w:val="1"/>
                <w:bCs w:val="1"/>
                <w:color w:val="auto"/>
              </w:rPr>
              <w:t>Type of Pay</w:t>
            </w:r>
          </w:p>
        </w:tc>
        <w:tc>
          <w:tcPr>
            <w:tcW w:w="3040" w:type="dxa"/>
            <w:vAlign w:val="bottom"/>
          </w:tcPr>
          <w:p>
            <w:pPr>
              <w:ind w:left="60"/>
              <w:spacing w:after="0"/>
              <w:rPr>
                <w:sz w:val="20"/>
                <w:szCs w:val="20"/>
                <w:color w:val="auto"/>
              </w:rPr>
            </w:pPr>
            <w:r>
              <w:rPr>
                <w:rFonts w:ascii="Arial" w:cs="Arial" w:eastAsia="Arial" w:hAnsi="Arial"/>
                <w:sz w:val="14"/>
                <w:szCs w:val="14"/>
                <w:b w:val="1"/>
                <w:bCs w:val="1"/>
                <w:color w:val="auto"/>
              </w:rPr>
              <w:t>Purpose</w:t>
            </w:r>
          </w:p>
        </w:tc>
        <w:tc>
          <w:tcPr>
            <w:tcW w:w="4060" w:type="dxa"/>
            <w:vAlign w:val="bottom"/>
            <w:gridSpan w:val="2"/>
          </w:tcPr>
          <w:p>
            <w:pPr>
              <w:ind w:left="60"/>
              <w:spacing w:after="0"/>
              <w:rPr>
                <w:sz w:val="20"/>
                <w:szCs w:val="20"/>
                <w:color w:val="auto"/>
              </w:rPr>
            </w:pPr>
            <w:r>
              <w:rPr>
                <w:rFonts w:ascii="Arial" w:cs="Arial" w:eastAsia="Arial" w:hAnsi="Arial"/>
                <w:sz w:val="14"/>
                <w:szCs w:val="14"/>
                <w:b w:val="1"/>
                <w:bCs w:val="1"/>
                <w:color w:val="auto"/>
              </w:rPr>
              <w:t>2024 Program</w:t>
            </w:r>
          </w:p>
        </w:tc>
        <w:tc>
          <w:tcPr>
            <w:tcW w:w="0" w:type="dxa"/>
            <w:vAlign w:val="bottom"/>
          </w:tcPr>
          <w:p>
            <w:pPr>
              <w:spacing w:after="0"/>
              <w:rPr>
                <w:sz w:val="1"/>
                <w:szCs w:val="1"/>
                <w:color w:val="auto"/>
              </w:rPr>
            </w:pPr>
          </w:p>
        </w:tc>
      </w:tr>
      <w:tr>
        <w:trPr>
          <w:trHeight w:val="63"/>
        </w:trPr>
        <w:tc>
          <w:tcPr>
            <w:tcW w:w="1860" w:type="dxa"/>
            <w:vAlign w:val="bottom"/>
            <w:tcBorders>
              <w:bottom w:val="single" w:sz="8" w:color="1A3FD6"/>
            </w:tcBorders>
          </w:tcPr>
          <w:p>
            <w:pPr>
              <w:spacing w:after="0"/>
              <w:rPr>
                <w:sz w:val="5"/>
                <w:szCs w:val="5"/>
                <w:color w:val="auto"/>
              </w:rPr>
            </w:pPr>
          </w:p>
        </w:tc>
        <w:tc>
          <w:tcPr>
            <w:tcW w:w="2280" w:type="dxa"/>
            <w:vAlign w:val="bottom"/>
            <w:tcBorders>
              <w:bottom w:val="single" w:sz="8" w:color="1A3FD6"/>
            </w:tcBorders>
          </w:tcPr>
          <w:p>
            <w:pPr>
              <w:spacing w:after="0"/>
              <w:rPr>
                <w:sz w:val="5"/>
                <w:szCs w:val="5"/>
                <w:color w:val="auto"/>
              </w:rPr>
            </w:pPr>
          </w:p>
        </w:tc>
        <w:tc>
          <w:tcPr>
            <w:tcW w:w="3040" w:type="dxa"/>
            <w:vAlign w:val="bottom"/>
            <w:tcBorders>
              <w:bottom w:val="single" w:sz="8" w:color="1A3FD6"/>
            </w:tcBorders>
          </w:tcPr>
          <w:p>
            <w:pPr>
              <w:spacing w:after="0"/>
              <w:rPr>
                <w:sz w:val="5"/>
                <w:szCs w:val="5"/>
                <w:color w:val="auto"/>
              </w:rPr>
            </w:pPr>
          </w:p>
        </w:tc>
        <w:tc>
          <w:tcPr>
            <w:tcW w:w="4060" w:type="dxa"/>
            <w:vAlign w:val="bottom"/>
            <w:tcBorders>
              <w:bottom w:val="single" w:sz="8" w:color="1A3FD6"/>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1860" w:type="dxa"/>
            <w:vAlign w:val="bottom"/>
            <w:tcBorders>
              <w:left w:val="single" w:sz="8" w:color="1A3FD6"/>
            </w:tcBorders>
            <w:shd w:val="clear" w:color="auto" w:fill="E8ECFB"/>
          </w:tcPr>
          <w:p>
            <w:pPr>
              <w:ind w:left="100"/>
              <w:spacing w:after="0"/>
              <w:rPr>
                <w:sz w:val="20"/>
                <w:szCs w:val="20"/>
                <w:color w:val="auto"/>
              </w:rPr>
            </w:pPr>
            <w:r>
              <w:rPr>
                <w:rFonts w:ascii="Arial" w:cs="Arial" w:eastAsia="Arial" w:hAnsi="Arial"/>
                <w:sz w:val="16"/>
                <w:szCs w:val="16"/>
                <w:b w:val="1"/>
                <w:bCs w:val="1"/>
                <w:color w:val="auto"/>
              </w:rPr>
              <w:t>ANNUAL</w:t>
            </w:r>
          </w:p>
        </w:tc>
        <w:tc>
          <w:tcPr>
            <w:tcW w:w="2280" w:type="dxa"/>
            <w:vAlign w:val="bottom"/>
            <w:tcBorders>
              <w:right w:val="single" w:sz="8" w:color="1A3FD6"/>
            </w:tcBorders>
          </w:tcPr>
          <w:p>
            <w:pPr>
              <w:ind w:left="80"/>
              <w:spacing w:after="0"/>
              <w:rPr>
                <w:sz w:val="20"/>
                <w:szCs w:val="20"/>
                <w:color w:val="auto"/>
              </w:rPr>
            </w:pPr>
            <w:r>
              <w:rPr>
                <w:rFonts w:ascii="Arial" w:cs="Arial" w:eastAsia="Arial" w:hAnsi="Arial"/>
                <w:sz w:val="16"/>
                <w:szCs w:val="16"/>
                <w:color w:val="auto"/>
              </w:rPr>
              <w:t>Fixed – Cash</w:t>
            </w:r>
          </w:p>
        </w:tc>
        <w:tc>
          <w:tcPr>
            <w:tcW w:w="3040" w:type="dxa"/>
            <w:vAlign w:val="bottom"/>
            <w:tcBorders>
              <w:right w:val="single" w:sz="8" w:color="1A3FD6"/>
            </w:tcBorders>
          </w:tcPr>
          <w:p>
            <w:pPr>
              <w:ind w:left="60"/>
              <w:spacing w:after="0"/>
              <w:rPr>
                <w:sz w:val="20"/>
                <w:szCs w:val="20"/>
                <w:color w:val="auto"/>
              </w:rPr>
            </w:pPr>
            <w:r>
              <w:rPr>
                <w:rFonts w:ascii="Arial" w:cs="Arial" w:eastAsia="Arial" w:hAnsi="Arial"/>
                <w:sz w:val="16"/>
                <w:szCs w:val="16"/>
                <w:color w:val="auto"/>
              </w:rPr>
              <w:t>Provides certainty and predictability to</w:t>
            </w:r>
          </w:p>
        </w:tc>
        <w:tc>
          <w:tcPr>
            <w:tcW w:w="4060" w:type="dxa"/>
            <w:vAlign w:val="bottom"/>
            <w:gridSpan w:val="2"/>
          </w:tcPr>
          <w:p>
            <w:pPr>
              <w:ind w:left="10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The only fixed component of our executive</w:t>
            </w:r>
          </w:p>
        </w:tc>
        <w:tc>
          <w:tcPr>
            <w:tcW w:w="0" w:type="dxa"/>
            <w:vAlign w:val="bottom"/>
          </w:tcPr>
          <w:p>
            <w:pPr>
              <w:spacing w:after="0"/>
              <w:rPr>
                <w:sz w:val="1"/>
                <w:szCs w:val="1"/>
                <w:color w:val="auto"/>
              </w:rPr>
            </w:pPr>
          </w:p>
        </w:tc>
      </w:tr>
      <w:tr>
        <w:trPr>
          <w:trHeight w:val="203"/>
        </w:trPr>
        <w:tc>
          <w:tcPr>
            <w:tcW w:w="1860" w:type="dxa"/>
            <w:vAlign w:val="bottom"/>
            <w:tcBorders>
              <w:left w:val="single" w:sz="8" w:color="1A3FD6"/>
            </w:tcBorders>
            <w:shd w:val="clear" w:color="auto" w:fill="E8ECFB"/>
          </w:tcPr>
          <w:p>
            <w:pPr>
              <w:ind w:left="100"/>
              <w:spacing w:after="0"/>
              <w:rPr>
                <w:sz w:val="20"/>
                <w:szCs w:val="20"/>
                <w:color w:val="auto"/>
              </w:rPr>
            </w:pPr>
            <w:r>
              <w:rPr>
                <w:rFonts w:ascii="Arial" w:cs="Arial" w:eastAsia="Arial" w:hAnsi="Arial"/>
                <w:sz w:val="16"/>
                <w:szCs w:val="16"/>
                <w:b w:val="1"/>
                <w:bCs w:val="1"/>
                <w:color w:val="auto"/>
              </w:rPr>
              <w:t>BASE SALARY</w:t>
            </w:r>
          </w:p>
        </w:tc>
        <w:tc>
          <w:tcPr>
            <w:tcW w:w="2280" w:type="dxa"/>
            <w:vAlign w:val="bottom"/>
            <w:tcBorders>
              <w:right w:val="single" w:sz="8" w:color="1A3FD6"/>
            </w:tcBorders>
          </w:tcPr>
          <w:p>
            <w:pPr>
              <w:spacing w:after="0"/>
              <w:rPr>
                <w:sz w:val="17"/>
                <w:szCs w:val="17"/>
                <w:color w:val="auto"/>
              </w:rPr>
            </w:pPr>
          </w:p>
        </w:tc>
        <w:tc>
          <w:tcPr>
            <w:tcW w:w="3040" w:type="dxa"/>
            <w:vAlign w:val="bottom"/>
            <w:tcBorders>
              <w:right w:val="single" w:sz="8" w:color="1A3FD6"/>
            </w:tcBorders>
          </w:tcPr>
          <w:p>
            <w:pPr>
              <w:ind w:left="60"/>
              <w:spacing w:after="0"/>
              <w:rPr>
                <w:sz w:val="20"/>
                <w:szCs w:val="20"/>
                <w:color w:val="auto"/>
              </w:rPr>
            </w:pPr>
            <w:r>
              <w:rPr>
                <w:rFonts w:ascii="Arial" w:cs="Arial" w:eastAsia="Arial" w:hAnsi="Arial"/>
                <w:sz w:val="16"/>
                <w:szCs w:val="16"/>
                <w:color w:val="auto"/>
              </w:rPr>
              <w:t>meet ongoing living and other financial</w:t>
            </w:r>
          </w:p>
        </w:tc>
        <w:tc>
          <w:tcPr>
            <w:tcW w:w="4060" w:type="dxa"/>
            <w:vAlign w:val="bottom"/>
            <w:gridSpan w:val="2"/>
          </w:tcPr>
          <w:p>
            <w:pPr>
              <w:ind w:left="280"/>
              <w:spacing w:after="0"/>
              <w:rPr>
                <w:sz w:val="20"/>
                <w:szCs w:val="20"/>
                <w:color w:val="auto"/>
              </w:rPr>
            </w:pPr>
            <w:r>
              <w:rPr>
                <w:rFonts w:ascii="Arial" w:cs="Arial" w:eastAsia="Arial" w:hAnsi="Arial"/>
                <w:sz w:val="16"/>
                <w:szCs w:val="16"/>
                <w:color w:val="auto"/>
              </w:rPr>
              <w:t>compensation program</w:t>
            </w:r>
          </w:p>
        </w:tc>
        <w:tc>
          <w:tcPr>
            <w:tcW w:w="0" w:type="dxa"/>
            <w:vAlign w:val="bottom"/>
          </w:tcPr>
          <w:p>
            <w:pPr>
              <w:spacing w:after="0"/>
              <w:rPr>
                <w:sz w:val="1"/>
                <w:szCs w:val="1"/>
                <w:color w:val="auto"/>
              </w:rPr>
            </w:pPr>
          </w:p>
        </w:tc>
      </w:tr>
      <w:tr>
        <w:trPr>
          <w:trHeight w:val="215"/>
        </w:trPr>
        <w:tc>
          <w:tcPr>
            <w:tcW w:w="1860" w:type="dxa"/>
            <w:vAlign w:val="bottom"/>
            <w:tcBorders>
              <w:left w:val="single" w:sz="8" w:color="1A3FD6"/>
            </w:tcBorders>
            <w:vMerge w:val="restart"/>
            <w:shd w:val="clear" w:color="auto" w:fill="E8ECFB"/>
          </w:tcPr>
          <w:p>
            <w:pPr>
              <w:ind w:left="280"/>
              <w:spacing w:after="0"/>
              <w:rPr>
                <w:sz w:val="20"/>
                <w:szCs w:val="20"/>
                <w:color w:val="auto"/>
              </w:rPr>
            </w:pPr>
            <w:r>
              <w:rPr>
                <w:rFonts w:ascii="Arial" w:cs="Arial" w:eastAsia="Arial" w:hAnsi="Arial"/>
                <w:sz w:val="16"/>
                <w:szCs w:val="16"/>
                <w:color w:val="auto"/>
              </w:rPr>
              <w:t>STARTS ON</w:t>
            </w:r>
          </w:p>
        </w:tc>
        <w:tc>
          <w:tcPr>
            <w:tcW w:w="2280" w:type="dxa"/>
            <w:vAlign w:val="bottom"/>
            <w:tcBorders>
              <w:right w:val="single" w:sz="8" w:color="1A3FD6"/>
            </w:tcBorders>
          </w:tcPr>
          <w:p>
            <w:pPr>
              <w:spacing w:after="0"/>
              <w:rPr>
                <w:sz w:val="18"/>
                <w:szCs w:val="18"/>
                <w:color w:val="auto"/>
              </w:rPr>
            </w:pPr>
          </w:p>
        </w:tc>
        <w:tc>
          <w:tcPr>
            <w:tcW w:w="3040" w:type="dxa"/>
            <w:vAlign w:val="bottom"/>
            <w:tcBorders>
              <w:right w:val="single" w:sz="8" w:color="1A3FD6"/>
            </w:tcBorders>
          </w:tcPr>
          <w:p>
            <w:pPr>
              <w:ind w:left="60"/>
              <w:spacing w:after="0"/>
              <w:rPr>
                <w:sz w:val="20"/>
                <w:szCs w:val="20"/>
                <w:color w:val="auto"/>
              </w:rPr>
            </w:pPr>
            <w:r>
              <w:rPr>
                <w:rFonts w:ascii="Arial" w:cs="Arial" w:eastAsia="Arial" w:hAnsi="Arial"/>
                <w:sz w:val="16"/>
                <w:szCs w:val="16"/>
                <w:color w:val="auto"/>
              </w:rPr>
              <w:t>commitments</w:t>
            </w:r>
          </w:p>
        </w:tc>
        <w:tc>
          <w:tcPr>
            <w:tcW w:w="4060" w:type="dxa"/>
            <w:vAlign w:val="bottom"/>
            <w:gridSpan w:val="2"/>
            <w:vMerge w:val="restart"/>
          </w:tcPr>
          <w:p>
            <w:pPr>
              <w:ind w:left="10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For 2024, represented 7% of our CEO's total</w:t>
            </w:r>
          </w:p>
        </w:tc>
        <w:tc>
          <w:tcPr>
            <w:tcW w:w="0" w:type="dxa"/>
            <w:vAlign w:val="bottom"/>
          </w:tcPr>
          <w:p>
            <w:pPr>
              <w:spacing w:after="0"/>
              <w:rPr>
                <w:sz w:val="1"/>
                <w:szCs w:val="1"/>
                <w:color w:val="auto"/>
              </w:rPr>
            </w:pPr>
          </w:p>
        </w:tc>
      </w:tr>
      <w:tr>
        <w:trPr>
          <w:trHeight w:val="42"/>
        </w:trPr>
        <w:tc>
          <w:tcPr>
            <w:tcW w:w="1860" w:type="dxa"/>
            <w:vAlign w:val="bottom"/>
            <w:tcBorders>
              <w:left w:val="single" w:sz="8" w:color="1A3FD6"/>
            </w:tcBorders>
            <w:vMerge w:val="continue"/>
            <w:shd w:val="clear" w:color="auto" w:fill="E8ECFB"/>
          </w:tcPr>
          <w:p>
            <w:pPr>
              <w:spacing w:after="0"/>
              <w:rPr>
                <w:sz w:val="3"/>
                <w:szCs w:val="3"/>
                <w:color w:val="auto"/>
              </w:rPr>
            </w:pPr>
          </w:p>
        </w:tc>
        <w:tc>
          <w:tcPr>
            <w:tcW w:w="2280" w:type="dxa"/>
            <w:vAlign w:val="bottom"/>
            <w:tcBorders>
              <w:right w:val="single" w:sz="8" w:color="1A3FD6"/>
            </w:tcBorders>
          </w:tcPr>
          <w:p>
            <w:pPr>
              <w:spacing w:after="0"/>
              <w:rPr>
                <w:sz w:val="3"/>
                <w:szCs w:val="3"/>
                <w:color w:val="auto"/>
              </w:rPr>
            </w:pPr>
          </w:p>
        </w:tc>
        <w:tc>
          <w:tcPr>
            <w:tcW w:w="3040" w:type="dxa"/>
            <w:vAlign w:val="bottom"/>
            <w:tcBorders>
              <w:right w:val="single" w:sz="8" w:color="1A3FD6"/>
            </w:tcBorders>
          </w:tcPr>
          <w:p>
            <w:pPr>
              <w:spacing w:after="0"/>
              <w:rPr>
                <w:sz w:val="3"/>
                <w:szCs w:val="3"/>
                <w:color w:val="auto"/>
              </w:rPr>
            </w:pPr>
          </w:p>
        </w:tc>
        <w:tc>
          <w:tcPr>
            <w:tcW w:w="40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1860" w:type="dxa"/>
            <w:vAlign w:val="bottom"/>
            <w:tcBorders>
              <w:left w:val="single" w:sz="8" w:color="1A3FD6"/>
            </w:tcBorders>
            <w:vMerge w:val="continue"/>
            <w:shd w:val="clear" w:color="auto" w:fill="E8ECFB"/>
          </w:tcPr>
          <w:p>
            <w:pPr>
              <w:spacing w:after="0"/>
              <w:rPr>
                <w:sz w:val="10"/>
                <w:szCs w:val="10"/>
                <w:color w:val="auto"/>
              </w:rPr>
            </w:pPr>
          </w:p>
        </w:tc>
        <w:tc>
          <w:tcPr>
            <w:tcW w:w="2280" w:type="dxa"/>
            <w:vAlign w:val="bottom"/>
            <w:tcBorders>
              <w:right w:val="single" w:sz="8" w:color="1A3FD6"/>
            </w:tcBorders>
          </w:tcPr>
          <w:p>
            <w:pPr>
              <w:spacing w:after="0"/>
              <w:rPr>
                <w:sz w:val="10"/>
                <w:szCs w:val="10"/>
                <w:color w:val="auto"/>
              </w:rPr>
            </w:pPr>
          </w:p>
        </w:tc>
        <w:tc>
          <w:tcPr>
            <w:tcW w:w="3040" w:type="dxa"/>
            <w:vAlign w:val="bottom"/>
            <w:tcBorders>
              <w:right w:val="single" w:sz="8" w:color="1A3FD6"/>
            </w:tcBorders>
            <w:vMerge w:val="restart"/>
          </w:tcPr>
          <w:p>
            <w:pPr>
              <w:ind w:left="60"/>
              <w:spacing w:after="0"/>
              <w:rPr>
                <w:sz w:val="20"/>
                <w:szCs w:val="20"/>
                <w:color w:val="auto"/>
              </w:rPr>
            </w:pPr>
            <w:r>
              <w:rPr>
                <w:rFonts w:ascii="Arial" w:cs="Arial" w:eastAsia="Arial" w:hAnsi="Arial"/>
                <w:sz w:val="16"/>
                <w:szCs w:val="16"/>
                <w:color w:val="auto"/>
              </w:rPr>
              <w:t>Guaranteed compensation in exchange</w:t>
            </w:r>
          </w:p>
        </w:tc>
        <w:tc>
          <w:tcPr>
            <w:tcW w:w="4060" w:type="dxa"/>
            <w:vAlign w:val="bottom"/>
            <w:gridSpan w:val="2"/>
            <w:vMerge w:val="restart"/>
          </w:tcPr>
          <w:p>
            <w:pPr>
              <w:ind w:left="280"/>
              <w:spacing w:after="0"/>
              <w:rPr>
                <w:sz w:val="20"/>
                <w:szCs w:val="20"/>
                <w:color w:val="auto"/>
              </w:rPr>
            </w:pPr>
            <w:r>
              <w:rPr>
                <w:rFonts w:ascii="Arial" w:cs="Arial" w:eastAsia="Arial" w:hAnsi="Arial"/>
                <w:sz w:val="16"/>
                <w:szCs w:val="16"/>
                <w:color w:val="auto"/>
              </w:rPr>
              <w:t>compensation and an average of 13% of our other</w:t>
            </w:r>
          </w:p>
        </w:tc>
        <w:tc>
          <w:tcPr>
            <w:tcW w:w="0" w:type="dxa"/>
            <w:vAlign w:val="bottom"/>
          </w:tcPr>
          <w:p>
            <w:pPr>
              <w:spacing w:after="0"/>
              <w:rPr>
                <w:sz w:val="1"/>
                <w:szCs w:val="1"/>
                <w:color w:val="auto"/>
              </w:rPr>
            </w:pPr>
          </w:p>
        </w:tc>
      </w:tr>
      <w:tr>
        <w:trPr>
          <w:trHeight w:val="69"/>
        </w:trPr>
        <w:tc>
          <w:tcPr>
            <w:tcW w:w="1860" w:type="dxa"/>
            <w:vAlign w:val="bottom"/>
            <w:tcBorders>
              <w:left w:val="single" w:sz="8" w:color="1A3FD6"/>
            </w:tcBorders>
            <w:vMerge w:val="restart"/>
            <w:shd w:val="clear" w:color="auto" w:fill="E8ECFB"/>
          </w:tcPr>
          <w:p>
            <w:pPr>
              <w:ind w:left="100"/>
              <w:spacing w:after="0"/>
              <w:rPr>
                <w:sz w:val="20"/>
                <w:szCs w:val="20"/>
                <w:color w:val="auto"/>
              </w:rPr>
            </w:pPr>
            <w:r>
              <w:rPr>
                <w:rFonts w:ascii="Arial" w:cs="Arial" w:eastAsia="Arial" w:hAnsi="Arial"/>
                <w:sz w:val="16"/>
                <w:szCs w:val="16"/>
                <w:b w:val="1"/>
                <w:bCs w:val="1"/>
                <w:color w:val="auto"/>
              </w:rPr>
              <w:t>PAGE 69</w:t>
            </w:r>
          </w:p>
        </w:tc>
        <w:tc>
          <w:tcPr>
            <w:tcW w:w="2280" w:type="dxa"/>
            <w:vAlign w:val="bottom"/>
            <w:tcBorders>
              <w:right w:val="single" w:sz="8" w:color="1A3FD6"/>
            </w:tcBorders>
          </w:tcPr>
          <w:p>
            <w:pPr>
              <w:spacing w:after="0"/>
              <w:rPr>
                <w:sz w:val="5"/>
                <w:szCs w:val="5"/>
                <w:color w:val="auto"/>
              </w:rPr>
            </w:pPr>
          </w:p>
        </w:tc>
        <w:tc>
          <w:tcPr>
            <w:tcW w:w="3040" w:type="dxa"/>
            <w:vAlign w:val="bottom"/>
            <w:tcBorders>
              <w:right w:val="single" w:sz="8" w:color="1A3FD6"/>
            </w:tcBorders>
            <w:vMerge w:val="continue"/>
          </w:tcPr>
          <w:p>
            <w:pPr>
              <w:spacing w:after="0"/>
              <w:rPr>
                <w:sz w:val="5"/>
                <w:szCs w:val="5"/>
                <w:color w:val="auto"/>
              </w:rPr>
            </w:pPr>
          </w:p>
        </w:tc>
        <w:tc>
          <w:tcPr>
            <w:tcW w:w="4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1860" w:type="dxa"/>
            <w:vAlign w:val="bottom"/>
            <w:tcBorders>
              <w:left w:val="single" w:sz="8" w:color="1A3FD6"/>
            </w:tcBorders>
            <w:vMerge w:val="continue"/>
            <w:shd w:val="clear" w:color="auto" w:fill="E8ECFB"/>
          </w:tcPr>
          <w:p>
            <w:pPr>
              <w:spacing w:after="0"/>
              <w:rPr>
                <w:sz w:val="13"/>
                <w:szCs w:val="13"/>
                <w:color w:val="auto"/>
              </w:rPr>
            </w:pPr>
          </w:p>
        </w:tc>
        <w:tc>
          <w:tcPr>
            <w:tcW w:w="2280" w:type="dxa"/>
            <w:vAlign w:val="bottom"/>
            <w:tcBorders>
              <w:right w:val="single" w:sz="8" w:color="1A3FD6"/>
            </w:tcBorders>
          </w:tcPr>
          <w:p>
            <w:pPr>
              <w:spacing w:after="0"/>
              <w:rPr>
                <w:sz w:val="13"/>
                <w:szCs w:val="13"/>
                <w:color w:val="auto"/>
              </w:rPr>
            </w:pPr>
          </w:p>
        </w:tc>
        <w:tc>
          <w:tcPr>
            <w:tcW w:w="3040" w:type="dxa"/>
            <w:vAlign w:val="bottom"/>
            <w:tcBorders>
              <w:right w:val="single" w:sz="8" w:color="1A3FD6"/>
            </w:tcBorders>
            <w:vMerge w:val="restart"/>
          </w:tcPr>
          <w:p>
            <w:pPr>
              <w:ind w:left="60"/>
              <w:spacing w:after="0"/>
              <w:rPr>
                <w:sz w:val="20"/>
                <w:szCs w:val="20"/>
                <w:color w:val="auto"/>
              </w:rPr>
            </w:pPr>
            <w:r>
              <w:rPr>
                <w:rFonts w:ascii="Arial" w:cs="Arial" w:eastAsia="Arial" w:hAnsi="Arial"/>
                <w:sz w:val="16"/>
                <w:szCs w:val="16"/>
                <w:color w:val="auto"/>
              </w:rPr>
              <w:t>for investing in a career with MSCI</w:t>
            </w:r>
          </w:p>
        </w:tc>
        <w:tc>
          <w:tcPr>
            <w:tcW w:w="4060" w:type="dxa"/>
            <w:vAlign w:val="bottom"/>
            <w:gridSpan w:val="2"/>
            <w:vMerge w:val="restart"/>
          </w:tcPr>
          <w:p>
            <w:pPr>
              <w:ind w:left="280"/>
              <w:spacing w:after="0"/>
              <w:rPr>
                <w:sz w:val="20"/>
                <w:szCs w:val="20"/>
                <w:color w:val="auto"/>
              </w:rPr>
            </w:pPr>
            <w:r>
              <w:rPr>
                <w:rFonts w:ascii="Arial" w:cs="Arial" w:eastAsia="Arial" w:hAnsi="Arial"/>
                <w:sz w:val="16"/>
                <w:szCs w:val="16"/>
                <w:color w:val="auto"/>
              </w:rPr>
              <w:t>NEOs' total compensation</w:t>
            </w:r>
          </w:p>
        </w:tc>
        <w:tc>
          <w:tcPr>
            <w:tcW w:w="0" w:type="dxa"/>
            <w:vAlign w:val="bottom"/>
          </w:tcPr>
          <w:p>
            <w:pPr>
              <w:spacing w:after="0"/>
              <w:rPr>
                <w:sz w:val="1"/>
                <w:szCs w:val="1"/>
                <w:color w:val="auto"/>
              </w:rPr>
            </w:pPr>
          </w:p>
        </w:tc>
      </w:tr>
      <w:tr>
        <w:trPr>
          <w:trHeight w:val="87"/>
        </w:trPr>
        <w:tc>
          <w:tcPr>
            <w:tcW w:w="1860" w:type="dxa"/>
            <w:vAlign w:val="bottom"/>
            <w:tcBorders>
              <w:left w:val="single" w:sz="8" w:color="1A3FD6"/>
            </w:tcBorders>
            <w:shd w:val="clear" w:color="auto" w:fill="E8ECFB"/>
          </w:tcPr>
          <w:p>
            <w:pPr>
              <w:spacing w:after="0"/>
              <w:rPr>
                <w:sz w:val="7"/>
                <w:szCs w:val="7"/>
                <w:color w:val="auto"/>
              </w:rPr>
            </w:pPr>
          </w:p>
        </w:tc>
        <w:tc>
          <w:tcPr>
            <w:tcW w:w="2280" w:type="dxa"/>
            <w:vAlign w:val="bottom"/>
            <w:tcBorders>
              <w:right w:val="single" w:sz="8" w:color="1A3FD6"/>
            </w:tcBorders>
          </w:tcPr>
          <w:p>
            <w:pPr>
              <w:spacing w:after="0"/>
              <w:rPr>
                <w:sz w:val="7"/>
                <w:szCs w:val="7"/>
                <w:color w:val="auto"/>
              </w:rPr>
            </w:pPr>
          </w:p>
        </w:tc>
        <w:tc>
          <w:tcPr>
            <w:tcW w:w="3040" w:type="dxa"/>
            <w:vAlign w:val="bottom"/>
            <w:tcBorders>
              <w:right w:val="single" w:sz="8" w:color="1A3FD6"/>
            </w:tcBorders>
            <w:vMerge w:val="continue"/>
          </w:tcPr>
          <w:p>
            <w:pPr>
              <w:spacing w:after="0"/>
              <w:rPr>
                <w:sz w:val="7"/>
                <w:szCs w:val="7"/>
                <w:color w:val="auto"/>
              </w:rPr>
            </w:pPr>
          </w:p>
        </w:tc>
        <w:tc>
          <w:tcPr>
            <w:tcW w:w="4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1860" w:type="dxa"/>
            <w:vAlign w:val="bottom"/>
            <w:tcBorders>
              <w:left w:val="single" w:sz="8" w:color="1A3FD6"/>
              <w:bottom w:val="single" w:sz="8" w:color="0626A9"/>
            </w:tcBorders>
            <w:shd w:val="clear" w:color="auto" w:fill="E8ECFB"/>
          </w:tcPr>
          <w:p>
            <w:pPr>
              <w:spacing w:after="0"/>
              <w:rPr>
                <w:sz w:val="19"/>
                <w:szCs w:val="19"/>
                <w:color w:val="auto"/>
              </w:rPr>
            </w:pPr>
          </w:p>
        </w:tc>
        <w:tc>
          <w:tcPr>
            <w:tcW w:w="2280" w:type="dxa"/>
            <w:vAlign w:val="bottom"/>
            <w:tcBorders>
              <w:bottom w:val="single" w:sz="8" w:color="0626A9"/>
              <w:right w:val="single" w:sz="8" w:color="1A3FD6"/>
            </w:tcBorders>
          </w:tcPr>
          <w:p>
            <w:pPr>
              <w:spacing w:after="0"/>
              <w:rPr>
                <w:sz w:val="19"/>
                <w:szCs w:val="19"/>
                <w:color w:val="auto"/>
              </w:rPr>
            </w:pPr>
          </w:p>
        </w:tc>
        <w:tc>
          <w:tcPr>
            <w:tcW w:w="3040" w:type="dxa"/>
            <w:vAlign w:val="bottom"/>
            <w:tcBorders>
              <w:bottom w:val="single" w:sz="8" w:color="0626A9"/>
              <w:right w:val="single" w:sz="8" w:color="1A3FD6"/>
            </w:tcBorders>
          </w:tcPr>
          <w:p>
            <w:pPr>
              <w:spacing w:after="0"/>
              <w:rPr>
                <w:sz w:val="19"/>
                <w:szCs w:val="19"/>
                <w:color w:val="auto"/>
              </w:rPr>
            </w:pPr>
          </w:p>
        </w:tc>
        <w:tc>
          <w:tcPr>
            <w:tcW w:w="4060" w:type="dxa"/>
            <w:vAlign w:val="bottom"/>
            <w:tcBorders>
              <w:bottom w:val="single" w:sz="8" w:color="0626A9"/>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1860" w:type="dxa"/>
            <w:vAlign w:val="bottom"/>
            <w:tcBorders>
              <w:left w:val="single" w:sz="8" w:color="0626A9"/>
            </w:tcBorders>
            <w:shd w:val="clear" w:color="auto" w:fill="EDF0FC"/>
          </w:tcPr>
          <w:p>
            <w:pPr>
              <w:ind w:left="100"/>
              <w:spacing w:after="0"/>
              <w:rPr>
                <w:sz w:val="20"/>
                <w:szCs w:val="20"/>
                <w:color w:val="auto"/>
              </w:rPr>
            </w:pPr>
            <w:r>
              <w:rPr>
                <w:rFonts w:ascii="Arial" w:cs="Arial" w:eastAsia="Arial" w:hAnsi="Arial"/>
                <w:sz w:val="16"/>
                <w:szCs w:val="16"/>
                <w:b w:val="1"/>
                <w:bCs w:val="1"/>
                <w:color w:val="auto"/>
              </w:rPr>
              <w:t>ANNUAL</w:t>
            </w:r>
          </w:p>
        </w:tc>
        <w:tc>
          <w:tcPr>
            <w:tcW w:w="2280" w:type="dxa"/>
            <w:vAlign w:val="bottom"/>
            <w:tcBorders>
              <w:right w:val="single" w:sz="8" w:color="0626A9"/>
            </w:tcBorders>
          </w:tcPr>
          <w:p>
            <w:pPr>
              <w:ind w:left="80"/>
              <w:spacing w:after="0"/>
              <w:rPr>
                <w:sz w:val="20"/>
                <w:szCs w:val="20"/>
                <w:color w:val="auto"/>
              </w:rPr>
            </w:pPr>
            <w:r>
              <w:rPr>
                <w:rFonts w:ascii="Arial" w:cs="Arial" w:eastAsia="Arial" w:hAnsi="Arial"/>
                <w:sz w:val="16"/>
                <w:szCs w:val="16"/>
                <w:color w:val="auto"/>
              </w:rPr>
              <w:t>Variable, Short-Term,</w:t>
            </w:r>
          </w:p>
        </w:tc>
        <w:tc>
          <w:tcPr>
            <w:tcW w:w="3040" w:type="dxa"/>
            <w:vAlign w:val="bottom"/>
            <w:tcBorders>
              <w:right w:val="single" w:sz="8" w:color="0626A9"/>
            </w:tcBorders>
          </w:tcPr>
          <w:p>
            <w:pPr>
              <w:ind w:left="60"/>
              <w:spacing w:after="0"/>
              <w:rPr>
                <w:sz w:val="20"/>
                <w:szCs w:val="20"/>
                <w:color w:val="auto"/>
              </w:rPr>
            </w:pPr>
            <w:r>
              <w:rPr>
                <w:rFonts w:ascii="Arial" w:cs="Arial" w:eastAsia="Arial" w:hAnsi="Arial"/>
                <w:sz w:val="16"/>
                <w:szCs w:val="16"/>
                <w:color w:val="auto"/>
              </w:rPr>
              <w:t>Provides a competitive annual cash</w:t>
            </w:r>
          </w:p>
        </w:tc>
        <w:tc>
          <w:tcPr>
            <w:tcW w:w="4060" w:type="dxa"/>
            <w:vAlign w:val="bottom"/>
            <w:gridSpan w:val="2"/>
          </w:tcPr>
          <w:p>
            <w:pPr>
              <w:ind w:left="10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Metrics vary by NEO, but include:</w:t>
            </w:r>
          </w:p>
        </w:tc>
        <w:tc>
          <w:tcPr>
            <w:tcW w:w="0" w:type="dxa"/>
            <w:vAlign w:val="bottom"/>
          </w:tcPr>
          <w:p>
            <w:pPr>
              <w:spacing w:after="0"/>
              <w:rPr>
                <w:sz w:val="1"/>
                <w:szCs w:val="1"/>
                <w:color w:val="auto"/>
              </w:rPr>
            </w:pPr>
          </w:p>
        </w:tc>
      </w:tr>
      <w:tr>
        <w:trPr>
          <w:trHeight w:val="257"/>
        </w:trPr>
        <w:tc>
          <w:tcPr>
            <w:tcW w:w="1860" w:type="dxa"/>
            <w:vAlign w:val="bottom"/>
            <w:tcBorders>
              <w:left w:val="single" w:sz="8" w:color="0626A9"/>
            </w:tcBorders>
            <w:shd w:val="clear" w:color="auto" w:fill="EDF0FC"/>
          </w:tcPr>
          <w:p>
            <w:pPr>
              <w:ind w:left="100"/>
              <w:spacing w:after="0"/>
              <w:rPr>
                <w:sz w:val="20"/>
                <w:szCs w:val="20"/>
                <w:color w:val="auto"/>
              </w:rPr>
            </w:pPr>
            <w:r>
              <w:rPr>
                <w:rFonts w:ascii="Arial" w:cs="Arial" w:eastAsia="Arial" w:hAnsi="Arial"/>
                <w:sz w:val="16"/>
                <w:szCs w:val="16"/>
                <w:b w:val="1"/>
                <w:bCs w:val="1"/>
                <w:color w:val="auto"/>
              </w:rPr>
              <w:t>INCENTIVE</w:t>
            </w:r>
          </w:p>
        </w:tc>
        <w:tc>
          <w:tcPr>
            <w:tcW w:w="2280" w:type="dxa"/>
            <w:vAlign w:val="bottom"/>
            <w:tcBorders>
              <w:right w:val="single" w:sz="8" w:color="0626A9"/>
            </w:tcBorders>
          </w:tcPr>
          <w:p>
            <w:pPr>
              <w:ind w:left="80"/>
              <w:spacing w:after="0"/>
              <w:rPr>
                <w:sz w:val="20"/>
                <w:szCs w:val="20"/>
                <w:color w:val="auto"/>
              </w:rPr>
            </w:pPr>
            <w:r>
              <w:rPr>
                <w:rFonts w:ascii="Arial" w:cs="Arial" w:eastAsia="Arial" w:hAnsi="Arial"/>
                <w:sz w:val="16"/>
                <w:szCs w:val="16"/>
                <w:color w:val="auto"/>
              </w:rPr>
              <w:t>Performance-Based – Cash</w:t>
            </w:r>
          </w:p>
        </w:tc>
        <w:tc>
          <w:tcPr>
            <w:tcW w:w="3040" w:type="dxa"/>
            <w:vAlign w:val="bottom"/>
            <w:tcBorders>
              <w:right w:val="single" w:sz="8" w:color="0626A9"/>
            </w:tcBorders>
          </w:tcPr>
          <w:p>
            <w:pPr>
              <w:ind w:left="60"/>
              <w:spacing w:after="0"/>
              <w:rPr>
                <w:sz w:val="20"/>
                <w:szCs w:val="20"/>
                <w:color w:val="auto"/>
              </w:rPr>
            </w:pPr>
            <w:r>
              <w:rPr>
                <w:rFonts w:ascii="Arial" w:cs="Arial" w:eastAsia="Arial" w:hAnsi="Arial"/>
                <w:sz w:val="16"/>
                <w:szCs w:val="16"/>
                <w:color w:val="auto"/>
              </w:rPr>
              <w:t>bonus opportunity</w:t>
            </w:r>
          </w:p>
        </w:tc>
        <w:tc>
          <w:tcPr>
            <w:tcW w:w="4060" w:type="dxa"/>
            <w:vAlign w:val="bottom"/>
            <w:gridSpan w:val="2"/>
          </w:tcPr>
          <w:p>
            <w:pPr>
              <w:ind w:left="28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Financial Metrics (70% weighting); for NEOs</w:t>
            </w:r>
          </w:p>
        </w:tc>
        <w:tc>
          <w:tcPr>
            <w:tcW w:w="0" w:type="dxa"/>
            <w:vAlign w:val="bottom"/>
          </w:tcPr>
          <w:p>
            <w:pPr>
              <w:spacing w:after="0"/>
              <w:rPr>
                <w:sz w:val="1"/>
                <w:szCs w:val="1"/>
                <w:color w:val="auto"/>
              </w:rPr>
            </w:pPr>
          </w:p>
        </w:tc>
      </w:tr>
      <w:tr>
        <w:trPr>
          <w:trHeight w:val="216"/>
        </w:trPr>
        <w:tc>
          <w:tcPr>
            <w:tcW w:w="1860" w:type="dxa"/>
            <w:vAlign w:val="bottom"/>
            <w:tcBorders>
              <w:left w:val="single" w:sz="8" w:color="0626A9"/>
            </w:tcBorders>
            <w:vMerge w:val="restart"/>
            <w:shd w:val="clear" w:color="auto" w:fill="EDF0FC"/>
          </w:tcPr>
          <w:p>
            <w:pPr>
              <w:ind w:left="100"/>
              <w:spacing w:after="0"/>
              <w:rPr>
                <w:sz w:val="20"/>
                <w:szCs w:val="20"/>
                <w:color w:val="auto"/>
              </w:rPr>
            </w:pPr>
            <w:r>
              <w:rPr>
                <w:rFonts w:ascii="Arial" w:cs="Arial" w:eastAsia="Arial" w:hAnsi="Arial"/>
                <w:sz w:val="16"/>
                <w:szCs w:val="16"/>
                <w:b w:val="1"/>
                <w:bCs w:val="1"/>
                <w:color w:val="auto"/>
              </w:rPr>
              <w:t>(Cash Bonus)</w:t>
            </w:r>
          </w:p>
        </w:tc>
        <w:tc>
          <w:tcPr>
            <w:tcW w:w="2280" w:type="dxa"/>
            <w:vAlign w:val="bottom"/>
            <w:tcBorders>
              <w:right w:val="single" w:sz="8" w:color="0626A9"/>
            </w:tcBorders>
          </w:tcPr>
          <w:p>
            <w:pPr>
              <w:spacing w:after="0"/>
              <w:rPr>
                <w:sz w:val="18"/>
                <w:szCs w:val="18"/>
                <w:color w:val="auto"/>
              </w:rPr>
            </w:pPr>
          </w:p>
        </w:tc>
        <w:tc>
          <w:tcPr>
            <w:tcW w:w="3040" w:type="dxa"/>
            <w:vAlign w:val="bottom"/>
            <w:tcBorders>
              <w:right w:val="single" w:sz="8" w:color="0626A9"/>
            </w:tcBorders>
          </w:tcPr>
          <w:p>
            <w:pPr>
              <w:ind w:left="60"/>
              <w:spacing w:after="0"/>
              <w:rPr>
                <w:sz w:val="20"/>
                <w:szCs w:val="20"/>
                <w:color w:val="auto"/>
              </w:rPr>
            </w:pPr>
            <w:r>
              <w:rPr>
                <w:rFonts w:ascii="Arial" w:cs="Arial" w:eastAsia="Arial" w:hAnsi="Arial"/>
                <w:sz w:val="16"/>
                <w:szCs w:val="16"/>
                <w:color w:val="auto"/>
              </w:rPr>
              <w:t>Intended to drive one-year performance</w:t>
            </w:r>
          </w:p>
        </w:tc>
        <w:tc>
          <w:tcPr>
            <w:tcW w:w="4060" w:type="dxa"/>
            <w:vAlign w:val="bottom"/>
            <w:gridSpan w:val="2"/>
          </w:tcPr>
          <w:p>
            <w:pPr>
              <w:ind w:left="480"/>
              <w:spacing w:after="0"/>
              <w:rPr>
                <w:sz w:val="20"/>
                <w:szCs w:val="20"/>
                <w:color w:val="auto"/>
              </w:rPr>
            </w:pPr>
            <w:r>
              <w:rPr>
                <w:rFonts w:ascii="Arial" w:cs="Arial" w:eastAsia="Arial" w:hAnsi="Arial"/>
                <w:sz w:val="16"/>
                <w:szCs w:val="16"/>
                <w:color w:val="auto"/>
              </w:rPr>
              <w:t>consisting of:</w:t>
            </w:r>
          </w:p>
        </w:tc>
        <w:tc>
          <w:tcPr>
            <w:tcW w:w="0" w:type="dxa"/>
            <w:vAlign w:val="bottom"/>
          </w:tcPr>
          <w:p>
            <w:pPr>
              <w:spacing w:after="0"/>
              <w:rPr>
                <w:sz w:val="1"/>
                <w:szCs w:val="1"/>
                <w:color w:val="auto"/>
              </w:rPr>
            </w:pPr>
          </w:p>
        </w:tc>
      </w:tr>
      <w:tr>
        <w:trPr>
          <w:trHeight w:val="88"/>
        </w:trPr>
        <w:tc>
          <w:tcPr>
            <w:tcW w:w="1860" w:type="dxa"/>
            <w:vAlign w:val="bottom"/>
            <w:tcBorders>
              <w:left w:val="single" w:sz="8" w:color="0626A9"/>
            </w:tcBorders>
            <w:vMerge w:val="continue"/>
            <w:shd w:val="clear" w:color="auto" w:fill="EDF0FC"/>
          </w:tcPr>
          <w:p>
            <w:pPr>
              <w:spacing w:after="0"/>
              <w:rPr>
                <w:sz w:val="7"/>
                <w:szCs w:val="7"/>
                <w:color w:val="auto"/>
              </w:rPr>
            </w:pPr>
          </w:p>
        </w:tc>
        <w:tc>
          <w:tcPr>
            <w:tcW w:w="2280" w:type="dxa"/>
            <w:vAlign w:val="bottom"/>
            <w:tcBorders>
              <w:right w:val="single" w:sz="8" w:color="0626A9"/>
            </w:tcBorders>
          </w:tcPr>
          <w:p>
            <w:pPr>
              <w:spacing w:after="0"/>
              <w:rPr>
                <w:sz w:val="7"/>
                <w:szCs w:val="7"/>
                <w:color w:val="auto"/>
              </w:rPr>
            </w:pPr>
          </w:p>
        </w:tc>
        <w:tc>
          <w:tcPr>
            <w:tcW w:w="3040" w:type="dxa"/>
            <w:vAlign w:val="bottom"/>
            <w:tcBorders>
              <w:right w:val="single" w:sz="8" w:color="0626A9"/>
            </w:tcBorders>
            <w:vMerge w:val="restart"/>
          </w:tcPr>
          <w:p>
            <w:pPr>
              <w:ind w:left="60"/>
              <w:spacing w:after="0"/>
              <w:rPr>
                <w:sz w:val="20"/>
                <w:szCs w:val="20"/>
                <w:color w:val="auto"/>
              </w:rPr>
            </w:pPr>
            <w:r>
              <w:rPr>
                <w:rFonts w:ascii="Arial" w:cs="Arial" w:eastAsia="Arial" w:hAnsi="Arial"/>
                <w:sz w:val="16"/>
                <w:szCs w:val="16"/>
                <w:color w:val="auto"/>
              </w:rPr>
              <w:t>results against financial targets and</w:t>
            </w:r>
          </w:p>
        </w:tc>
        <w:tc>
          <w:tcPr>
            <w:tcW w:w="600" w:type="dxa"/>
            <w:vAlign w:val="bottom"/>
            <w:vMerge w:val="restart"/>
          </w:tcPr>
          <w:p>
            <w:pPr>
              <w:ind w:left="480"/>
              <w:spacing w:after="0"/>
              <w:rPr>
                <w:sz w:val="20"/>
                <w:szCs w:val="20"/>
                <w:color w:val="auto"/>
              </w:rPr>
            </w:pPr>
            <w:r>
              <w:rPr>
                <w:rFonts w:ascii="Arial" w:cs="Arial" w:eastAsia="Arial" w:hAnsi="Arial"/>
                <w:sz w:val="16"/>
                <w:szCs w:val="16"/>
                <w:color w:val="1A3FD6"/>
              </w:rPr>
              <w:t>•</w:t>
            </w:r>
          </w:p>
        </w:tc>
        <w:tc>
          <w:tcPr>
            <w:tcW w:w="3460" w:type="dxa"/>
            <w:vAlign w:val="bottom"/>
            <w:vMerge w:val="restart"/>
          </w:tcPr>
          <w:p>
            <w:pPr>
              <w:ind w:left="80"/>
              <w:spacing w:after="0"/>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115"/>
        </w:trPr>
        <w:tc>
          <w:tcPr>
            <w:tcW w:w="1860" w:type="dxa"/>
            <w:vAlign w:val="bottom"/>
            <w:tcBorders>
              <w:left w:val="single" w:sz="8" w:color="0626A9"/>
            </w:tcBorders>
            <w:shd w:val="clear" w:color="auto" w:fill="EDF0FC"/>
          </w:tcPr>
          <w:p>
            <w:pPr>
              <w:spacing w:after="0"/>
              <w:rPr>
                <w:sz w:val="10"/>
                <w:szCs w:val="10"/>
                <w:color w:val="auto"/>
              </w:rPr>
            </w:pPr>
          </w:p>
        </w:tc>
        <w:tc>
          <w:tcPr>
            <w:tcW w:w="2280" w:type="dxa"/>
            <w:vAlign w:val="bottom"/>
            <w:tcBorders>
              <w:right w:val="single" w:sz="8" w:color="0626A9"/>
            </w:tcBorders>
          </w:tcPr>
          <w:p>
            <w:pPr>
              <w:spacing w:after="0"/>
              <w:rPr>
                <w:sz w:val="10"/>
                <w:szCs w:val="10"/>
                <w:color w:val="auto"/>
              </w:rPr>
            </w:pPr>
          </w:p>
        </w:tc>
        <w:tc>
          <w:tcPr>
            <w:tcW w:w="3040" w:type="dxa"/>
            <w:vAlign w:val="bottom"/>
            <w:tcBorders>
              <w:right w:val="single" w:sz="8" w:color="0626A9"/>
            </w:tcBorders>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860" w:type="dxa"/>
            <w:vAlign w:val="bottom"/>
            <w:tcBorders>
              <w:left w:val="single" w:sz="8" w:color="0626A9"/>
            </w:tcBorders>
            <w:shd w:val="clear" w:color="auto" w:fill="EDF0FC"/>
          </w:tcPr>
          <w:p>
            <w:pPr>
              <w:ind w:left="280"/>
              <w:spacing w:after="0"/>
              <w:rPr>
                <w:sz w:val="20"/>
                <w:szCs w:val="20"/>
                <w:color w:val="auto"/>
              </w:rPr>
            </w:pPr>
            <w:r>
              <w:rPr>
                <w:rFonts w:ascii="Arial" w:cs="Arial" w:eastAsia="Arial" w:hAnsi="Arial"/>
                <w:sz w:val="16"/>
                <w:szCs w:val="16"/>
                <w:color w:val="auto"/>
              </w:rPr>
              <w:t>STARTS ON</w:t>
            </w:r>
          </w:p>
        </w:tc>
        <w:tc>
          <w:tcPr>
            <w:tcW w:w="2280" w:type="dxa"/>
            <w:vAlign w:val="bottom"/>
            <w:tcBorders>
              <w:right w:val="single" w:sz="8" w:color="0626A9"/>
            </w:tcBorders>
          </w:tcPr>
          <w:p>
            <w:pPr>
              <w:spacing w:after="0"/>
              <w:rPr>
                <w:sz w:val="16"/>
                <w:szCs w:val="16"/>
                <w:color w:val="auto"/>
              </w:rPr>
            </w:pPr>
          </w:p>
        </w:tc>
        <w:tc>
          <w:tcPr>
            <w:tcW w:w="3040" w:type="dxa"/>
            <w:vAlign w:val="bottom"/>
            <w:tcBorders>
              <w:right w:val="single" w:sz="8" w:color="0626A9"/>
            </w:tcBorders>
          </w:tcPr>
          <w:p>
            <w:pPr>
              <w:ind w:left="60"/>
              <w:spacing w:after="0"/>
              <w:rPr>
                <w:sz w:val="20"/>
                <w:szCs w:val="20"/>
                <w:color w:val="auto"/>
              </w:rPr>
            </w:pPr>
            <w:r>
              <w:rPr>
                <w:rFonts w:ascii="Arial" w:cs="Arial" w:eastAsia="Arial" w:hAnsi="Arial"/>
                <w:sz w:val="16"/>
                <w:szCs w:val="16"/>
                <w:color w:val="auto"/>
              </w:rPr>
              <w:t>other Company, individual and</w:t>
            </w:r>
          </w:p>
        </w:tc>
        <w:tc>
          <w:tcPr>
            <w:tcW w:w="600" w:type="dxa"/>
            <w:vAlign w:val="bottom"/>
            <w:vMerge w:val="restart"/>
          </w:tcPr>
          <w:p>
            <w:pPr>
              <w:ind w:left="480"/>
              <w:spacing w:after="0"/>
              <w:rPr>
                <w:sz w:val="20"/>
                <w:szCs w:val="20"/>
                <w:color w:val="auto"/>
              </w:rPr>
            </w:pPr>
            <w:r>
              <w:rPr>
                <w:rFonts w:ascii="Arial" w:cs="Arial" w:eastAsia="Arial" w:hAnsi="Arial"/>
                <w:sz w:val="16"/>
                <w:szCs w:val="16"/>
                <w:color w:val="1A3FD6"/>
              </w:rPr>
              <w:t>•</w:t>
            </w:r>
          </w:p>
        </w:tc>
        <w:tc>
          <w:tcPr>
            <w:tcW w:w="3460" w:type="dxa"/>
            <w:vAlign w:val="bottom"/>
            <w:vMerge w:val="restart"/>
          </w:tcPr>
          <w:p>
            <w:pPr>
              <w:ind w:left="80"/>
              <w:spacing w:after="0"/>
              <w:rPr>
                <w:sz w:val="20"/>
                <w:szCs w:val="20"/>
                <w:color w:val="auto"/>
              </w:rPr>
            </w:pPr>
            <w:r>
              <w:rPr>
                <w:rFonts w:ascii="Arial" w:cs="Arial" w:eastAsia="Arial" w:hAnsi="Arial"/>
                <w:sz w:val="16"/>
                <w:szCs w:val="16"/>
                <w:color w:val="auto"/>
              </w:rPr>
              <w:t>Adjusted EPS</w:t>
            </w:r>
          </w:p>
        </w:tc>
        <w:tc>
          <w:tcPr>
            <w:tcW w:w="0" w:type="dxa"/>
            <w:vAlign w:val="bottom"/>
          </w:tcPr>
          <w:p>
            <w:pPr>
              <w:spacing w:after="0"/>
              <w:rPr>
                <w:sz w:val="1"/>
                <w:szCs w:val="1"/>
                <w:color w:val="auto"/>
              </w:rPr>
            </w:pPr>
          </w:p>
        </w:tc>
      </w:tr>
      <w:tr>
        <w:trPr>
          <w:trHeight w:val="107"/>
        </w:trPr>
        <w:tc>
          <w:tcPr>
            <w:tcW w:w="1860" w:type="dxa"/>
            <w:vAlign w:val="bottom"/>
            <w:tcBorders>
              <w:left w:val="single" w:sz="8" w:color="0626A9"/>
            </w:tcBorders>
            <w:vMerge w:val="restart"/>
            <w:shd w:val="clear" w:color="auto" w:fill="EDF0FC"/>
          </w:tcPr>
          <w:p>
            <w:pPr>
              <w:ind w:left="100"/>
              <w:spacing w:after="0"/>
              <w:rPr>
                <w:sz w:val="20"/>
                <w:szCs w:val="20"/>
                <w:color w:val="auto"/>
              </w:rPr>
            </w:pPr>
            <w:r>
              <w:rPr>
                <w:rFonts w:ascii="Arial" w:cs="Arial" w:eastAsia="Arial" w:hAnsi="Arial"/>
                <w:sz w:val="16"/>
                <w:szCs w:val="16"/>
                <w:b w:val="1"/>
                <w:bCs w:val="1"/>
                <w:color w:val="auto"/>
              </w:rPr>
              <w:t>PAGE 69</w:t>
            </w:r>
          </w:p>
        </w:tc>
        <w:tc>
          <w:tcPr>
            <w:tcW w:w="2280" w:type="dxa"/>
            <w:vAlign w:val="bottom"/>
            <w:tcBorders>
              <w:right w:val="single" w:sz="8" w:color="0626A9"/>
            </w:tcBorders>
          </w:tcPr>
          <w:p>
            <w:pPr>
              <w:spacing w:after="0"/>
              <w:rPr>
                <w:sz w:val="9"/>
                <w:szCs w:val="9"/>
                <w:color w:val="auto"/>
              </w:rPr>
            </w:pPr>
          </w:p>
        </w:tc>
        <w:tc>
          <w:tcPr>
            <w:tcW w:w="3040" w:type="dxa"/>
            <w:vAlign w:val="bottom"/>
            <w:tcBorders>
              <w:right w:val="single" w:sz="8" w:color="0626A9"/>
            </w:tcBorders>
            <w:vMerge w:val="restart"/>
          </w:tcPr>
          <w:p>
            <w:pPr>
              <w:ind w:left="60"/>
              <w:spacing w:after="0"/>
              <w:rPr>
                <w:sz w:val="20"/>
                <w:szCs w:val="20"/>
                <w:color w:val="auto"/>
              </w:rPr>
            </w:pPr>
            <w:r>
              <w:rPr>
                <w:rFonts w:ascii="Arial" w:cs="Arial" w:eastAsia="Arial" w:hAnsi="Arial"/>
                <w:sz w:val="16"/>
                <w:szCs w:val="16"/>
                <w:color w:val="auto"/>
              </w:rPr>
              <w:t>leadership-focused goals</w:t>
            </w:r>
          </w:p>
        </w:tc>
        <w:tc>
          <w:tcPr>
            <w:tcW w:w="600" w:type="dxa"/>
            <w:vAlign w:val="bottom"/>
            <w:vMerge w:val="continue"/>
          </w:tcPr>
          <w:p>
            <w:pPr>
              <w:spacing w:after="0"/>
              <w:rPr>
                <w:sz w:val="9"/>
                <w:szCs w:val="9"/>
                <w:color w:val="auto"/>
              </w:rPr>
            </w:pPr>
          </w:p>
        </w:tc>
        <w:tc>
          <w:tcPr>
            <w:tcW w:w="3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860" w:type="dxa"/>
            <w:vAlign w:val="bottom"/>
            <w:tcBorders>
              <w:left w:val="single" w:sz="8" w:color="0626A9"/>
            </w:tcBorders>
            <w:vMerge w:val="continue"/>
            <w:shd w:val="clear" w:color="auto" w:fill="EDF0FC"/>
          </w:tcPr>
          <w:p>
            <w:pPr>
              <w:spacing w:after="0"/>
              <w:rPr>
                <w:sz w:val="12"/>
                <w:szCs w:val="12"/>
                <w:color w:val="auto"/>
              </w:rPr>
            </w:pPr>
          </w:p>
        </w:tc>
        <w:tc>
          <w:tcPr>
            <w:tcW w:w="2280" w:type="dxa"/>
            <w:vAlign w:val="bottom"/>
            <w:tcBorders>
              <w:right w:val="single" w:sz="8" w:color="0626A9"/>
            </w:tcBorders>
          </w:tcPr>
          <w:p>
            <w:pPr>
              <w:spacing w:after="0"/>
              <w:rPr>
                <w:sz w:val="12"/>
                <w:szCs w:val="12"/>
                <w:color w:val="auto"/>
              </w:rPr>
            </w:pPr>
          </w:p>
        </w:tc>
        <w:tc>
          <w:tcPr>
            <w:tcW w:w="3040" w:type="dxa"/>
            <w:vAlign w:val="bottom"/>
            <w:tcBorders>
              <w:right w:val="single" w:sz="8" w:color="0626A9"/>
            </w:tcBorders>
            <w:vMerge w:val="continue"/>
          </w:tcPr>
          <w:p>
            <w:pPr>
              <w:spacing w:after="0"/>
              <w:rPr>
                <w:sz w:val="12"/>
                <w:szCs w:val="12"/>
                <w:color w:val="auto"/>
              </w:rPr>
            </w:pPr>
          </w:p>
        </w:tc>
        <w:tc>
          <w:tcPr>
            <w:tcW w:w="4060" w:type="dxa"/>
            <w:vAlign w:val="bottom"/>
            <w:gridSpan w:val="2"/>
            <w:vMerge w:val="restart"/>
          </w:tcPr>
          <w:p>
            <w:pPr>
              <w:ind w:left="48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Total Net Sales (formerly referred to as Net</w:t>
            </w:r>
          </w:p>
        </w:tc>
        <w:tc>
          <w:tcPr>
            <w:tcW w:w="0" w:type="dxa"/>
            <w:vAlign w:val="bottom"/>
          </w:tcPr>
          <w:p>
            <w:pPr>
              <w:spacing w:after="0"/>
              <w:rPr>
                <w:sz w:val="1"/>
                <w:szCs w:val="1"/>
                <w:color w:val="auto"/>
              </w:rPr>
            </w:pPr>
          </w:p>
        </w:tc>
      </w:tr>
      <w:tr>
        <w:trPr>
          <w:trHeight w:val="101"/>
        </w:trPr>
        <w:tc>
          <w:tcPr>
            <w:tcW w:w="1860" w:type="dxa"/>
            <w:vAlign w:val="bottom"/>
            <w:tcBorders>
              <w:left w:val="single" w:sz="8" w:color="0626A9"/>
            </w:tcBorders>
            <w:shd w:val="clear" w:color="auto" w:fill="EDF0FC"/>
          </w:tcPr>
          <w:p>
            <w:pPr>
              <w:spacing w:after="0"/>
              <w:rPr>
                <w:sz w:val="8"/>
                <w:szCs w:val="8"/>
                <w:color w:val="auto"/>
              </w:rPr>
            </w:pPr>
          </w:p>
        </w:tc>
        <w:tc>
          <w:tcPr>
            <w:tcW w:w="2280" w:type="dxa"/>
            <w:vAlign w:val="bottom"/>
            <w:tcBorders>
              <w:right w:val="single" w:sz="8" w:color="0626A9"/>
            </w:tcBorders>
          </w:tcPr>
          <w:p>
            <w:pPr>
              <w:spacing w:after="0"/>
              <w:rPr>
                <w:sz w:val="8"/>
                <w:szCs w:val="8"/>
                <w:color w:val="auto"/>
              </w:rPr>
            </w:pPr>
          </w:p>
        </w:tc>
        <w:tc>
          <w:tcPr>
            <w:tcW w:w="3040" w:type="dxa"/>
            <w:vAlign w:val="bottom"/>
            <w:tcBorders>
              <w:right w:val="single" w:sz="8" w:color="0626A9"/>
            </w:tcBorders>
          </w:tcPr>
          <w:p>
            <w:pPr>
              <w:spacing w:after="0"/>
              <w:rPr>
                <w:sz w:val="8"/>
                <w:szCs w:val="8"/>
                <w:color w:val="auto"/>
              </w:rPr>
            </w:pPr>
          </w:p>
        </w:tc>
        <w:tc>
          <w:tcPr>
            <w:tcW w:w="40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860" w:type="dxa"/>
            <w:vAlign w:val="bottom"/>
            <w:tcBorders>
              <w:left w:val="single" w:sz="8" w:color="0626A9"/>
            </w:tcBorders>
            <w:shd w:val="clear" w:color="auto" w:fill="EDF0FC"/>
          </w:tcPr>
          <w:p>
            <w:pPr>
              <w:spacing w:after="0"/>
              <w:rPr>
                <w:sz w:val="18"/>
                <w:szCs w:val="18"/>
                <w:color w:val="auto"/>
              </w:rPr>
            </w:pPr>
          </w:p>
        </w:tc>
        <w:tc>
          <w:tcPr>
            <w:tcW w:w="2280" w:type="dxa"/>
            <w:vAlign w:val="bottom"/>
            <w:tcBorders>
              <w:right w:val="single" w:sz="8" w:color="0626A9"/>
            </w:tcBorders>
          </w:tcPr>
          <w:p>
            <w:pPr>
              <w:spacing w:after="0"/>
              <w:rPr>
                <w:sz w:val="18"/>
                <w:szCs w:val="18"/>
                <w:color w:val="auto"/>
              </w:rPr>
            </w:pPr>
          </w:p>
        </w:tc>
        <w:tc>
          <w:tcPr>
            <w:tcW w:w="3040" w:type="dxa"/>
            <w:vAlign w:val="bottom"/>
            <w:tcBorders>
              <w:right w:val="single" w:sz="8" w:color="0626A9"/>
            </w:tcBorders>
          </w:tcPr>
          <w:p>
            <w:pPr>
              <w:spacing w:after="0"/>
              <w:rPr>
                <w:sz w:val="18"/>
                <w:szCs w:val="18"/>
                <w:color w:val="auto"/>
              </w:rPr>
            </w:pPr>
          </w:p>
        </w:tc>
        <w:tc>
          <w:tcPr>
            <w:tcW w:w="600" w:type="dxa"/>
            <w:vAlign w:val="bottom"/>
          </w:tcPr>
          <w:p>
            <w:pPr>
              <w:spacing w:after="0"/>
              <w:rPr>
                <w:sz w:val="18"/>
                <w:szCs w:val="18"/>
                <w:color w:val="auto"/>
              </w:rPr>
            </w:pPr>
          </w:p>
        </w:tc>
        <w:tc>
          <w:tcPr>
            <w:tcW w:w="3460" w:type="dxa"/>
            <w:vAlign w:val="bottom"/>
          </w:tcPr>
          <w:p>
            <w:pPr>
              <w:ind w:left="80"/>
              <w:spacing w:after="0"/>
              <w:rPr>
                <w:sz w:val="20"/>
                <w:szCs w:val="20"/>
                <w:color w:val="auto"/>
              </w:rPr>
            </w:pPr>
            <w:r>
              <w:rPr>
                <w:rFonts w:ascii="Arial" w:cs="Arial" w:eastAsia="Arial" w:hAnsi="Arial"/>
                <w:sz w:val="16"/>
                <w:szCs w:val="16"/>
                <w:color w:val="auto"/>
              </w:rPr>
              <w:t>New Sales)</w:t>
            </w:r>
          </w:p>
        </w:tc>
        <w:tc>
          <w:tcPr>
            <w:tcW w:w="0" w:type="dxa"/>
            <w:vAlign w:val="bottom"/>
          </w:tcPr>
          <w:p>
            <w:pPr>
              <w:spacing w:after="0"/>
              <w:rPr>
                <w:sz w:val="1"/>
                <w:szCs w:val="1"/>
                <w:color w:val="auto"/>
              </w:rPr>
            </w:pPr>
          </w:p>
        </w:tc>
      </w:tr>
      <w:tr>
        <w:trPr>
          <w:trHeight w:val="257"/>
        </w:trPr>
        <w:tc>
          <w:tcPr>
            <w:tcW w:w="1860" w:type="dxa"/>
            <w:vAlign w:val="bottom"/>
            <w:tcBorders>
              <w:left w:val="single" w:sz="8" w:color="0626A9"/>
            </w:tcBorders>
            <w:shd w:val="clear" w:color="auto" w:fill="EDF0FC"/>
          </w:tcPr>
          <w:p>
            <w:pPr>
              <w:spacing w:after="0"/>
              <w:rPr>
                <w:sz w:val="22"/>
                <w:szCs w:val="22"/>
                <w:color w:val="auto"/>
              </w:rPr>
            </w:pPr>
          </w:p>
        </w:tc>
        <w:tc>
          <w:tcPr>
            <w:tcW w:w="2280" w:type="dxa"/>
            <w:vAlign w:val="bottom"/>
            <w:tcBorders>
              <w:right w:val="single" w:sz="8" w:color="0626A9"/>
            </w:tcBorders>
          </w:tcPr>
          <w:p>
            <w:pPr>
              <w:spacing w:after="0"/>
              <w:rPr>
                <w:sz w:val="22"/>
                <w:szCs w:val="22"/>
                <w:color w:val="auto"/>
              </w:rPr>
            </w:pPr>
          </w:p>
        </w:tc>
        <w:tc>
          <w:tcPr>
            <w:tcW w:w="3040" w:type="dxa"/>
            <w:vAlign w:val="bottom"/>
            <w:tcBorders>
              <w:right w:val="single" w:sz="8" w:color="0626A9"/>
            </w:tcBorders>
          </w:tcPr>
          <w:p>
            <w:pPr>
              <w:spacing w:after="0"/>
              <w:rPr>
                <w:sz w:val="22"/>
                <w:szCs w:val="22"/>
                <w:color w:val="auto"/>
              </w:rPr>
            </w:pPr>
          </w:p>
        </w:tc>
        <w:tc>
          <w:tcPr>
            <w:tcW w:w="600" w:type="dxa"/>
            <w:vAlign w:val="bottom"/>
          </w:tcPr>
          <w:p>
            <w:pPr>
              <w:ind w:left="480"/>
              <w:spacing w:after="0"/>
              <w:rPr>
                <w:sz w:val="20"/>
                <w:szCs w:val="20"/>
                <w:color w:val="auto"/>
              </w:rPr>
            </w:pPr>
            <w:r>
              <w:rPr>
                <w:rFonts w:ascii="Arial" w:cs="Arial" w:eastAsia="Arial" w:hAnsi="Arial"/>
                <w:sz w:val="16"/>
                <w:szCs w:val="16"/>
                <w:color w:val="1A3FD6"/>
              </w:rPr>
              <w:t>•</w:t>
            </w:r>
          </w:p>
        </w:tc>
        <w:tc>
          <w:tcPr>
            <w:tcW w:w="3460" w:type="dxa"/>
            <w:vAlign w:val="bottom"/>
          </w:tcPr>
          <w:p>
            <w:pPr>
              <w:ind w:left="80"/>
              <w:spacing w:after="0"/>
              <w:rPr>
                <w:sz w:val="20"/>
                <w:szCs w:val="20"/>
                <w:color w:val="auto"/>
              </w:rPr>
            </w:pPr>
            <w:r>
              <w:rPr>
                <w:rFonts w:ascii="Arial" w:cs="Arial" w:eastAsia="Arial" w:hAnsi="Arial"/>
                <w:sz w:val="16"/>
                <w:szCs w:val="16"/>
                <w:color w:val="auto"/>
              </w:rPr>
              <w:t>Free Cash Flow</w:t>
            </w:r>
          </w:p>
        </w:tc>
        <w:tc>
          <w:tcPr>
            <w:tcW w:w="0" w:type="dxa"/>
            <w:vAlign w:val="bottom"/>
          </w:tcPr>
          <w:p>
            <w:pPr>
              <w:spacing w:after="0"/>
              <w:rPr>
                <w:sz w:val="1"/>
                <w:szCs w:val="1"/>
                <w:color w:val="auto"/>
              </w:rPr>
            </w:pPr>
          </w:p>
        </w:tc>
      </w:tr>
      <w:tr>
        <w:trPr>
          <w:trHeight w:val="231"/>
        </w:trPr>
        <w:tc>
          <w:tcPr>
            <w:tcW w:w="1860" w:type="dxa"/>
            <w:vAlign w:val="bottom"/>
            <w:tcBorders>
              <w:left w:val="single" w:sz="8" w:color="0626A9"/>
            </w:tcBorders>
            <w:shd w:val="clear" w:color="auto" w:fill="EDF0FC"/>
          </w:tcPr>
          <w:p>
            <w:pPr>
              <w:spacing w:after="0"/>
              <w:rPr>
                <w:sz w:val="20"/>
                <w:szCs w:val="20"/>
                <w:color w:val="auto"/>
              </w:rPr>
            </w:pPr>
          </w:p>
        </w:tc>
        <w:tc>
          <w:tcPr>
            <w:tcW w:w="2280" w:type="dxa"/>
            <w:vAlign w:val="bottom"/>
            <w:tcBorders>
              <w:right w:val="single" w:sz="8" w:color="0626A9"/>
            </w:tcBorders>
          </w:tcPr>
          <w:p>
            <w:pPr>
              <w:spacing w:after="0"/>
              <w:rPr>
                <w:sz w:val="20"/>
                <w:szCs w:val="20"/>
                <w:color w:val="auto"/>
              </w:rPr>
            </w:pPr>
          </w:p>
        </w:tc>
        <w:tc>
          <w:tcPr>
            <w:tcW w:w="3040" w:type="dxa"/>
            <w:vAlign w:val="bottom"/>
            <w:tcBorders>
              <w:right w:val="single" w:sz="8" w:color="0626A9"/>
            </w:tcBorders>
          </w:tcPr>
          <w:p>
            <w:pPr>
              <w:spacing w:after="0"/>
              <w:rPr>
                <w:sz w:val="20"/>
                <w:szCs w:val="20"/>
                <w:color w:val="auto"/>
              </w:rPr>
            </w:pPr>
          </w:p>
        </w:tc>
        <w:tc>
          <w:tcPr>
            <w:tcW w:w="4060" w:type="dxa"/>
            <w:vAlign w:val="bottom"/>
            <w:gridSpan w:val="2"/>
          </w:tcPr>
          <w:p>
            <w:pPr>
              <w:ind w:left="28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Key Performance Indicator/Leadership</w:t>
            </w:r>
          </w:p>
        </w:tc>
        <w:tc>
          <w:tcPr>
            <w:tcW w:w="0" w:type="dxa"/>
            <w:vAlign w:val="bottom"/>
          </w:tcPr>
          <w:p>
            <w:pPr>
              <w:spacing w:after="0"/>
              <w:rPr>
                <w:sz w:val="1"/>
                <w:szCs w:val="1"/>
                <w:color w:val="auto"/>
              </w:rPr>
            </w:pPr>
          </w:p>
        </w:tc>
      </w:tr>
      <w:tr>
        <w:trPr>
          <w:trHeight w:val="215"/>
        </w:trPr>
        <w:tc>
          <w:tcPr>
            <w:tcW w:w="1860" w:type="dxa"/>
            <w:vAlign w:val="bottom"/>
            <w:tcBorders>
              <w:left w:val="single" w:sz="8" w:color="0626A9"/>
            </w:tcBorders>
            <w:shd w:val="clear" w:color="auto" w:fill="EDF0FC"/>
          </w:tcPr>
          <w:p>
            <w:pPr>
              <w:spacing w:after="0"/>
              <w:rPr>
                <w:sz w:val="18"/>
                <w:szCs w:val="18"/>
                <w:color w:val="auto"/>
              </w:rPr>
            </w:pPr>
          </w:p>
        </w:tc>
        <w:tc>
          <w:tcPr>
            <w:tcW w:w="2280" w:type="dxa"/>
            <w:vAlign w:val="bottom"/>
            <w:tcBorders>
              <w:right w:val="single" w:sz="8" w:color="0626A9"/>
            </w:tcBorders>
          </w:tcPr>
          <w:p>
            <w:pPr>
              <w:spacing w:after="0"/>
              <w:rPr>
                <w:sz w:val="18"/>
                <w:szCs w:val="18"/>
                <w:color w:val="auto"/>
              </w:rPr>
            </w:pPr>
          </w:p>
        </w:tc>
        <w:tc>
          <w:tcPr>
            <w:tcW w:w="3040" w:type="dxa"/>
            <w:vAlign w:val="bottom"/>
            <w:tcBorders>
              <w:right w:val="single" w:sz="8" w:color="0626A9"/>
            </w:tcBorders>
          </w:tcPr>
          <w:p>
            <w:pPr>
              <w:spacing w:after="0"/>
              <w:rPr>
                <w:sz w:val="18"/>
                <w:szCs w:val="18"/>
                <w:color w:val="auto"/>
              </w:rPr>
            </w:pPr>
          </w:p>
        </w:tc>
        <w:tc>
          <w:tcPr>
            <w:tcW w:w="4060" w:type="dxa"/>
            <w:vAlign w:val="bottom"/>
            <w:gridSpan w:val="2"/>
          </w:tcPr>
          <w:p>
            <w:pPr>
              <w:ind w:left="480"/>
              <w:spacing w:after="0"/>
              <w:rPr>
                <w:sz w:val="20"/>
                <w:szCs w:val="20"/>
                <w:color w:val="auto"/>
              </w:rPr>
            </w:pPr>
            <w:r>
              <w:rPr>
                <w:rFonts w:ascii="Arial" w:cs="Arial" w:eastAsia="Arial" w:hAnsi="Arial"/>
                <w:sz w:val="16"/>
                <w:szCs w:val="16"/>
                <w:color w:val="auto"/>
              </w:rPr>
              <w:t>Effectiveness Goals (20% weighting)</w:t>
            </w:r>
          </w:p>
        </w:tc>
        <w:tc>
          <w:tcPr>
            <w:tcW w:w="0" w:type="dxa"/>
            <w:vAlign w:val="bottom"/>
          </w:tcPr>
          <w:p>
            <w:pPr>
              <w:spacing w:after="0"/>
              <w:rPr>
                <w:sz w:val="1"/>
                <w:szCs w:val="1"/>
                <w:color w:val="auto"/>
              </w:rPr>
            </w:pPr>
          </w:p>
        </w:tc>
      </w:tr>
      <w:tr>
        <w:trPr>
          <w:trHeight w:val="257"/>
        </w:trPr>
        <w:tc>
          <w:tcPr>
            <w:tcW w:w="1860" w:type="dxa"/>
            <w:vAlign w:val="bottom"/>
            <w:tcBorders>
              <w:left w:val="single" w:sz="8" w:color="0626A9"/>
            </w:tcBorders>
            <w:shd w:val="clear" w:color="auto" w:fill="EDF0FC"/>
          </w:tcPr>
          <w:p>
            <w:pPr>
              <w:spacing w:after="0"/>
              <w:rPr>
                <w:sz w:val="22"/>
                <w:szCs w:val="22"/>
                <w:color w:val="auto"/>
              </w:rPr>
            </w:pPr>
          </w:p>
        </w:tc>
        <w:tc>
          <w:tcPr>
            <w:tcW w:w="2280" w:type="dxa"/>
            <w:vAlign w:val="bottom"/>
            <w:tcBorders>
              <w:right w:val="single" w:sz="8" w:color="0626A9"/>
            </w:tcBorders>
          </w:tcPr>
          <w:p>
            <w:pPr>
              <w:spacing w:after="0"/>
              <w:rPr>
                <w:sz w:val="22"/>
                <w:szCs w:val="22"/>
                <w:color w:val="auto"/>
              </w:rPr>
            </w:pPr>
          </w:p>
        </w:tc>
        <w:tc>
          <w:tcPr>
            <w:tcW w:w="3040" w:type="dxa"/>
            <w:vAlign w:val="bottom"/>
            <w:tcBorders>
              <w:right w:val="single" w:sz="8" w:color="0626A9"/>
            </w:tcBorders>
          </w:tcPr>
          <w:p>
            <w:pPr>
              <w:spacing w:after="0"/>
              <w:rPr>
                <w:sz w:val="22"/>
                <w:szCs w:val="22"/>
                <w:color w:val="auto"/>
              </w:rPr>
            </w:pPr>
          </w:p>
        </w:tc>
        <w:tc>
          <w:tcPr>
            <w:tcW w:w="4060" w:type="dxa"/>
            <w:vAlign w:val="bottom"/>
            <w:gridSpan w:val="2"/>
          </w:tcPr>
          <w:p>
            <w:pPr>
              <w:ind w:left="28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Sustainability Goals (10% weighting)</w:t>
            </w:r>
          </w:p>
        </w:tc>
        <w:tc>
          <w:tcPr>
            <w:tcW w:w="0" w:type="dxa"/>
            <w:vAlign w:val="bottom"/>
          </w:tcPr>
          <w:p>
            <w:pPr>
              <w:spacing w:after="0"/>
              <w:rPr>
                <w:sz w:val="1"/>
                <w:szCs w:val="1"/>
                <w:color w:val="auto"/>
              </w:rPr>
            </w:pPr>
          </w:p>
        </w:tc>
      </w:tr>
      <w:tr>
        <w:trPr>
          <w:trHeight w:val="211"/>
        </w:trPr>
        <w:tc>
          <w:tcPr>
            <w:tcW w:w="1860" w:type="dxa"/>
            <w:vAlign w:val="bottom"/>
            <w:tcBorders>
              <w:left w:val="single" w:sz="8" w:color="0626A9"/>
              <w:bottom w:val="single" w:sz="8" w:color="00A798"/>
            </w:tcBorders>
            <w:shd w:val="clear" w:color="auto" w:fill="EDF0FC"/>
          </w:tcPr>
          <w:p>
            <w:pPr>
              <w:spacing w:after="0"/>
              <w:rPr>
                <w:sz w:val="18"/>
                <w:szCs w:val="18"/>
                <w:color w:val="auto"/>
              </w:rPr>
            </w:pPr>
          </w:p>
        </w:tc>
        <w:tc>
          <w:tcPr>
            <w:tcW w:w="2280" w:type="dxa"/>
            <w:vAlign w:val="bottom"/>
            <w:tcBorders>
              <w:bottom w:val="single" w:sz="8" w:color="00A798"/>
              <w:right w:val="single" w:sz="8" w:color="0626A9"/>
            </w:tcBorders>
          </w:tcPr>
          <w:p>
            <w:pPr>
              <w:spacing w:after="0"/>
              <w:rPr>
                <w:sz w:val="18"/>
                <w:szCs w:val="18"/>
                <w:color w:val="auto"/>
              </w:rPr>
            </w:pPr>
          </w:p>
        </w:tc>
        <w:tc>
          <w:tcPr>
            <w:tcW w:w="3040" w:type="dxa"/>
            <w:vAlign w:val="bottom"/>
            <w:tcBorders>
              <w:bottom w:val="single" w:sz="8" w:color="00A798"/>
              <w:right w:val="single" w:sz="8" w:color="0626A9"/>
            </w:tcBorders>
          </w:tcPr>
          <w:p>
            <w:pPr>
              <w:spacing w:after="0"/>
              <w:rPr>
                <w:sz w:val="18"/>
                <w:szCs w:val="18"/>
                <w:color w:val="auto"/>
              </w:rPr>
            </w:pPr>
          </w:p>
        </w:tc>
        <w:tc>
          <w:tcPr>
            <w:tcW w:w="600" w:type="dxa"/>
            <w:vAlign w:val="bottom"/>
            <w:tcBorders>
              <w:bottom w:val="single" w:sz="8" w:color="00A798"/>
            </w:tcBorders>
          </w:tcPr>
          <w:p>
            <w:pPr>
              <w:spacing w:after="0"/>
              <w:rPr>
                <w:sz w:val="18"/>
                <w:szCs w:val="18"/>
                <w:color w:val="auto"/>
              </w:rPr>
            </w:pPr>
          </w:p>
        </w:tc>
        <w:tc>
          <w:tcPr>
            <w:tcW w:w="3460" w:type="dxa"/>
            <w:vAlign w:val="bottom"/>
            <w:tcBorders>
              <w:bottom w:val="single" w:sz="8" w:color="00A798"/>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-16510</wp:posOffset>
            </wp:positionV>
            <wp:extent cx="8255" cy="22034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220345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-16510</wp:posOffset>
            </wp:positionV>
            <wp:extent cx="8890" cy="22034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220345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-2348230</wp:posOffset>
            </wp:positionV>
            <wp:extent cx="85725" cy="8572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-1242695</wp:posOffset>
            </wp:positionV>
            <wp:extent cx="85725" cy="8572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-16510</wp:posOffset>
            </wp:positionV>
            <wp:extent cx="1183005" cy="22034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183005" cy="2203450"/>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p>
      <w:pPr>
        <w:spacing w:after="0" w:line="9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460" w:type="dxa"/>
            <w:vAlign w:val="bottom"/>
          </w:tcPr>
          <w:p>
            <w:pPr>
              <w:spacing w:after="0"/>
              <w:rPr>
                <w:sz w:val="20"/>
                <w:szCs w:val="20"/>
                <w:color w:val="auto"/>
              </w:rPr>
            </w:pPr>
            <w:r>
              <w:rPr>
                <w:rFonts w:ascii="Arial" w:cs="Arial" w:eastAsia="Arial" w:hAnsi="Arial"/>
                <w:sz w:val="16"/>
                <w:szCs w:val="16"/>
                <w:b w:val="1"/>
                <w:bCs w:val="1"/>
                <w:color w:val="auto"/>
              </w:rPr>
              <w:t>LONG-TERM</w:t>
            </w:r>
          </w:p>
        </w:tc>
        <w:tc>
          <w:tcPr>
            <w:tcW w:w="2280" w:type="dxa"/>
            <w:vAlign w:val="bottom"/>
            <w:gridSpan w:val="2"/>
          </w:tcPr>
          <w:p>
            <w:pPr>
              <w:ind w:left="380"/>
              <w:spacing w:after="0"/>
              <w:rPr>
                <w:sz w:val="20"/>
                <w:szCs w:val="20"/>
                <w:color w:val="auto"/>
              </w:rPr>
            </w:pPr>
            <w:r>
              <w:rPr>
                <w:rFonts w:ascii="Arial" w:cs="Arial" w:eastAsia="Arial" w:hAnsi="Arial"/>
                <w:sz w:val="16"/>
                <w:szCs w:val="16"/>
                <w:color w:val="auto"/>
                <w:w w:val="98"/>
              </w:rPr>
              <w:t>Variable, Long-Term, Time</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6"/>
                <w:szCs w:val="16"/>
                <w:b w:val="1"/>
                <w:bCs w:val="1"/>
                <w:color w:val="auto"/>
              </w:rPr>
              <w:t>INCENTIVES</w:t>
            </w:r>
          </w:p>
        </w:tc>
        <w:tc>
          <w:tcPr>
            <w:tcW w:w="2280" w:type="dxa"/>
            <w:vAlign w:val="bottom"/>
            <w:gridSpan w:val="2"/>
          </w:tcPr>
          <w:p>
            <w:pPr>
              <w:ind w:left="380"/>
              <w:spacing w:after="0"/>
              <w:rPr>
                <w:sz w:val="20"/>
                <w:szCs w:val="20"/>
                <w:color w:val="auto"/>
              </w:rPr>
            </w:pPr>
            <w:r>
              <w:rPr>
                <w:rFonts w:ascii="Arial" w:cs="Arial" w:eastAsia="Arial" w:hAnsi="Arial"/>
                <w:sz w:val="16"/>
                <w:szCs w:val="16"/>
                <w:color w:val="auto"/>
              </w:rPr>
              <w:t>and Performance-Based –</w:t>
            </w:r>
          </w:p>
        </w:tc>
        <w:tc>
          <w:tcPr>
            <w:tcW w:w="0" w:type="dxa"/>
            <w:vAlign w:val="bottom"/>
          </w:tcPr>
          <w:p>
            <w:pPr>
              <w:spacing w:after="0"/>
              <w:rPr>
                <w:sz w:val="1"/>
                <w:szCs w:val="1"/>
                <w:color w:val="auto"/>
              </w:rPr>
            </w:pPr>
          </w:p>
        </w:tc>
      </w:tr>
      <w:tr>
        <w:trPr>
          <w:trHeight w:val="215"/>
        </w:trPr>
        <w:tc>
          <w:tcPr>
            <w:tcW w:w="1460" w:type="dxa"/>
            <w:vAlign w:val="bottom"/>
            <w:vMerge w:val="restart"/>
          </w:tcPr>
          <w:p>
            <w:pPr>
              <w:ind w:left="180"/>
              <w:spacing w:after="0"/>
              <w:rPr>
                <w:sz w:val="20"/>
                <w:szCs w:val="20"/>
                <w:color w:val="auto"/>
              </w:rPr>
            </w:pPr>
            <w:r>
              <w:rPr>
                <w:rFonts w:ascii="Arial" w:cs="Arial" w:eastAsia="Arial" w:hAnsi="Arial"/>
                <w:sz w:val="16"/>
                <w:szCs w:val="16"/>
                <w:color w:val="auto"/>
              </w:rPr>
              <w:t>STARTS ON</w:t>
            </w:r>
          </w:p>
        </w:tc>
        <w:tc>
          <w:tcPr>
            <w:tcW w:w="2280" w:type="dxa"/>
            <w:vAlign w:val="bottom"/>
            <w:gridSpan w:val="2"/>
          </w:tcPr>
          <w:p>
            <w:pPr>
              <w:ind w:left="380"/>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135"/>
        </w:trPr>
        <w:tc>
          <w:tcPr>
            <w:tcW w:w="1460" w:type="dxa"/>
            <w:vAlign w:val="bottom"/>
            <w:vMerge w:val="continue"/>
          </w:tcPr>
          <w:p>
            <w:pPr>
              <w:spacing w:after="0"/>
              <w:rPr>
                <w:sz w:val="11"/>
                <w:szCs w:val="11"/>
                <w:color w:val="auto"/>
              </w:rPr>
            </w:pPr>
          </w:p>
        </w:tc>
        <w:tc>
          <w:tcPr>
            <w:tcW w:w="520" w:type="dxa"/>
            <w:vAlign w:val="bottom"/>
            <w:vMerge w:val="restart"/>
          </w:tcPr>
          <w:p>
            <w:pPr>
              <w:ind w:left="400"/>
              <w:spacing w:after="0"/>
              <w:rPr>
                <w:sz w:val="20"/>
                <w:szCs w:val="20"/>
                <w:color w:val="auto"/>
              </w:rPr>
            </w:pPr>
            <w:r>
              <w:rPr>
                <w:rFonts w:ascii="Arial" w:cs="Arial" w:eastAsia="Arial" w:hAnsi="Arial"/>
                <w:sz w:val="16"/>
                <w:szCs w:val="16"/>
                <w:color w:val="1A3FD6"/>
              </w:rPr>
              <w:t>•</w:t>
            </w:r>
          </w:p>
        </w:tc>
        <w:tc>
          <w:tcPr>
            <w:tcW w:w="1760" w:type="dxa"/>
            <w:vAlign w:val="bottom"/>
            <w:vMerge w:val="restart"/>
          </w:tcPr>
          <w:p>
            <w:pPr>
              <w:ind w:left="60"/>
              <w:spacing w:after="0"/>
              <w:rPr>
                <w:sz w:val="20"/>
                <w:szCs w:val="20"/>
                <w:color w:val="auto"/>
              </w:rPr>
            </w:pPr>
            <w:r>
              <w:rPr>
                <w:rFonts w:ascii="Arial" w:cs="Arial" w:eastAsia="Arial" w:hAnsi="Arial"/>
                <w:sz w:val="16"/>
                <w:szCs w:val="16"/>
                <w:color w:val="auto"/>
              </w:rPr>
              <w:t>RSUs</w:t>
            </w:r>
          </w:p>
        </w:tc>
        <w:tc>
          <w:tcPr>
            <w:tcW w:w="0" w:type="dxa"/>
            <w:vAlign w:val="bottom"/>
          </w:tcPr>
          <w:p>
            <w:pPr>
              <w:spacing w:after="0"/>
              <w:rPr>
                <w:sz w:val="1"/>
                <w:szCs w:val="1"/>
                <w:color w:val="auto"/>
              </w:rPr>
            </w:pPr>
          </w:p>
        </w:tc>
      </w:tr>
      <w:tr>
        <w:trPr>
          <w:trHeight w:val="224"/>
        </w:trPr>
        <w:tc>
          <w:tcPr>
            <w:tcW w:w="1460" w:type="dxa"/>
            <w:vAlign w:val="bottom"/>
          </w:tcPr>
          <w:p>
            <w:pPr>
              <w:spacing w:after="0"/>
              <w:rPr>
                <w:sz w:val="20"/>
                <w:szCs w:val="20"/>
                <w:color w:val="auto"/>
              </w:rPr>
            </w:pPr>
            <w:r>
              <w:rPr>
                <w:rFonts w:ascii="Arial" w:cs="Arial" w:eastAsia="Arial" w:hAnsi="Arial"/>
                <w:sz w:val="16"/>
                <w:szCs w:val="16"/>
                <w:b w:val="1"/>
                <w:bCs w:val="1"/>
                <w:color w:val="auto"/>
              </w:rPr>
              <w:t>PAGE 74</w:t>
            </w:r>
          </w:p>
        </w:tc>
        <w:tc>
          <w:tcPr>
            <w:tcW w:w="520" w:type="dxa"/>
            <w:vAlign w:val="bottom"/>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520" w:type="dxa"/>
            <w:vAlign w:val="bottom"/>
          </w:tcPr>
          <w:p>
            <w:pPr>
              <w:ind w:left="400"/>
              <w:spacing w:after="0"/>
              <w:rPr>
                <w:sz w:val="20"/>
                <w:szCs w:val="20"/>
                <w:color w:val="auto"/>
              </w:rPr>
            </w:pPr>
            <w:r>
              <w:rPr>
                <w:rFonts w:ascii="Arial" w:cs="Arial" w:eastAsia="Arial" w:hAnsi="Arial"/>
                <w:sz w:val="16"/>
                <w:szCs w:val="16"/>
                <w:color w:val="1A3FD6"/>
              </w:rPr>
              <w:t>•</w:t>
            </w:r>
          </w:p>
        </w:tc>
        <w:tc>
          <w:tcPr>
            <w:tcW w:w="1760" w:type="dxa"/>
            <w:vAlign w:val="bottom"/>
          </w:tcPr>
          <w:p>
            <w:pPr>
              <w:ind w:left="60"/>
              <w:spacing w:after="0"/>
              <w:rPr>
                <w:sz w:val="20"/>
                <w:szCs w:val="20"/>
                <w:color w:val="auto"/>
              </w:rPr>
            </w:pPr>
            <w:r>
              <w:rPr>
                <w:rFonts w:ascii="Arial" w:cs="Arial" w:eastAsia="Arial" w:hAnsi="Arial"/>
                <w:sz w:val="16"/>
                <w:szCs w:val="16"/>
                <w:color w:val="auto"/>
              </w:rPr>
              <w:t>PSUs</w:t>
            </w:r>
          </w:p>
        </w:tc>
        <w:tc>
          <w:tcPr>
            <w:tcW w:w="0" w:type="dxa"/>
            <w:vAlign w:val="bottom"/>
          </w:tcPr>
          <w:p>
            <w:pPr>
              <w:spacing w:after="0"/>
              <w:rPr>
                <w:sz w:val="1"/>
                <w:szCs w:val="1"/>
                <w:color w:val="auto"/>
              </w:rPr>
            </w:pPr>
          </w:p>
        </w:tc>
      </w:tr>
      <w:tr>
        <w:trPr>
          <w:trHeight w:val="256"/>
        </w:trPr>
        <w:tc>
          <w:tcPr>
            <w:tcW w:w="1460" w:type="dxa"/>
            <w:vAlign w:val="bottom"/>
          </w:tcPr>
          <w:p>
            <w:pPr>
              <w:spacing w:after="0"/>
              <w:rPr>
                <w:sz w:val="22"/>
                <w:szCs w:val="22"/>
                <w:color w:val="auto"/>
              </w:rPr>
            </w:pPr>
          </w:p>
        </w:tc>
        <w:tc>
          <w:tcPr>
            <w:tcW w:w="520" w:type="dxa"/>
            <w:vAlign w:val="bottom"/>
          </w:tcPr>
          <w:p>
            <w:pPr>
              <w:ind w:left="400"/>
              <w:spacing w:after="0"/>
              <w:rPr>
                <w:sz w:val="20"/>
                <w:szCs w:val="20"/>
                <w:color w:val="auto"/>
              </w:rPr>
            </w:pPr>
            <w:r>
              <w:rPr>
                <w:rFonts w:ascii="Arial" w:cs="Arial" w:eastAsia="Arial" w:hAnsi="Arial"/>
                <w:sz w:val="16"/>
                <w:szCs w:val="16"/>
                <w:color w:val="1A3FD6"/>
              </w:rPr>
              <w:t>•</w:t>
            </w:r>
          </w:p>
        </w:tc>
        <w:tc>
          <w:tcPr>
            <w:tcW w:w="1760" w:type="dxa"/>
            <w:vAlign w:val="bottom"/>
          </w:tcPr>
          <w:p>
            <w:pPr>
              <w:ind w:left="60"/>
              <w:spacing w:after="0"/>
              <w:rPr>
                <w:sz w:val="20"/>
                <w:szCs w:val="20"/>
                <w:color w:val="auto"/>
              </w:rPr>
            </w:pPr>
            <w:r>
              <w:rPr>
                <w:rFonts w:ascii="Arial" w:cs="Arial" w:eastAsia="Arial" w:hAnsi="Arial"/>
                <w:sz w:val="16"/>
                <w:szCs w:val="16"/>
                <w:color w:val="auto"/>
              </w:rPr>
              <w:t>PSOs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Fosters an “owner-operator” mindset; closely aligns management’s interests with the long-term interests of our shareholders</w:t>
      </w:r>
    </w:p>
    <w:p>
      <w:pPr>
        <w:spacing w:after="0" w:line="55"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Promotes the retention of key members of our 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1989455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188" w:hanging="188"/>
        <w:spacing w:after="0"/>
        <w:tabs>
          <w:tab w:leader="none" w:pos="188" w:val="left"/>
        </w:tabs>
        <w:numPr>
          <w:ilvl w:val="0"/>
          <w:numId w:val="72"/>
        </w:numPr>
        <w:rPr>
          <w:rFonts w:ascii="Arial" w:cs="Arial" w:eastAsia="Arial" w:hAnsi="Arial"/>
          <w:sz w:val="16"/>
          <w:szCs w:val="16"/>
          <w:color w:val="1A3FD6"/>
        </w:rPr>
      </w:pPr>
      <w:r>
        <w:rPr>
          <w:rFonts w:ascii="Arial" w:cs="Arial" w:eastAsia="Arial" w:hAnsi="Arial"/>
          <w:sz w:val="16"/>
          <w:szCs w:val="16"/>
          <w:color w:val="auto"/>
        </w:rPr>
        <w:t>RSUs which cliff vest after a 3-year vesting period</w:t>
      </w:r>
    </w:p>
    <w:p>
      <w:pPr>
        <w:spacing w:after="0" w:line="72" w:lineRule="exact"/>
        <w:rPr>
          <w:rFonts w:ascii="Arial" w:cs="Arial" w:eastAsia="Arial" w:hAnsi="Arial"/>
          <w:sz w:val="16"/>
          <w:szCs w:val="16"/>
          <w:color w:val="1A3FD6"/>
        </w:rPr>
      </w:pPr>
    </w:p>
    <w:p>
      <w:pPr>
        <w:ind w:left="188" w:right="40" w:hanging="188"/>
        <w:spacing w:after="0" w:line="271" w:lineRule="auto"/>
        <w:tabs>
          <w:tab w:leader="none" w:pos="185" w:val="left"/>
        </w:tabs>
        <w:numPr>
          <w:ilvl w:val="0"/>
          <w:numId w:val="72"/>
        </w:numPr>
        <w:rPr>
          <w:rFonts w:ascii="Arial" w:cs="Arial" w:eastAsia="Arial" w:hAnsi="Arial"/>
          <w:sz w:val="16"/>
          <w:szCs w:val="16"/>
          <w:color w:val="1A3FD6"/>
        </w:rPr>
      </w:pPr>
      <w:r>
        <w:rPr>
          <w:rFonts w:ascii="Arial" w:cs="Arial" w:eastAsia="Arial" w:hAnsi="Arial"/>
          <w:sz w:val="16"/>
          <w:szCs w:val="16"/>
          <w:color w:val="auto"/>
        </w:rPr>
        <w:t>PSUs which vest based on achievement of an absolute TSR performance metric over a cumulative 3-year performance period, with a 1-year post-vesting mandatory holding period</w:t>
      </w:r>
    </w:p>
    <w:p>
      <w:pPr>
        <w:spacing w:after="0" w:line="19" w:lineRule="exact"/>
        <w:rPr>
          <w:rFonts w:ascii="Arial" w:cs="Arial" w:eastAsia="Arial" w:hAnsi="Arial"/>
          <w:sz w:val="16"/>
          <w:szCs w:val="16"/>
          <w:color w:val="1A3FD6"/>
        </w:rPr>
      </w:pPr>
    </w:p>
    <w:p>
      <w:pPr>
        <w:ind w:left="188" w:right="100" w:hanging="188"/>
        <w:spacing w:after="0" w:line="271" w:lineRule="auto"/>
        <w:tabs>
          <w:tab w:leader="none" w:pos="185" w:val="left"/>
        </w:tabs>
        <w:numPr>
          <w:ilvl w:val="0"/>
          <w:numId w:val="72"/>
        </w:numPr>
        <w:rPr>
          <w:rFonts w:ascii="Arial" w:cs="Arial" w:eastAsia="Arial" w:hAnsi="Arial"/>
          <w:sz w:val="16"/>
          <w:szCs w:val="16"/>
          <w:color w:val="1A3FD6"/>
        </w:rPr>
      </w:pPr>
      <w:r>
        <w:rPr>
          <w:rFonts w:ascii="Arial" w:cs="Arial" w:eastAsia="Arial" w:hAnsi="Arial"/>
          <w:sz w:val="16"/>
          <w:szCs w:val="16"/>
          <w:color w:val="auto"/>
        </w:rPr>
        <w:t>PSOs with a 3-year period which vest based on the level of achievement of a cumulative adjusted EPS performance metric and a cumulative revenue performance metric</w:t>
      </w:r>
    </w:p>
    <w:p>
      <w:pPr>
        <w:spacing w:after="0" w:line="19" w:lineRule="exact"/>
        <w:rPr>
          <w:rFonts w:ascii="Arial" w:cs="Arial" w:eastAsia="Arial" w:hAnsi="Arial"/>
          <w:sz w:val="16"/>
          <w:szCs w:val="16"/>
          <w:color w:val="1A3FD6"/>
        </w:rPr>
      </w:pPr>
    </w:p>
    <w:p>
      <w:pPr>
        <w:ind w:left="188" w:right="100" w:hanging="188"/>
        <w:spacing w:after="0" w:line="268" w:lineRule="auto"/>
        <w:tabs>
          <w:tab w:leader="none" w:pos="185" w:val="left"/>
        </w:tabs>
        <w:numPr>
          <w:ilvl w:val="0"/>
          <w:numId w:val="72"/>
        </w:numPr>
        <w:rPr>
          <w:rFonts w:ascii="Arial" w:cs="Arial" w:eastAsia="Arial" w:hAnsi="Arial"/>
          <w:sz w:val="16"/>
          <w:szCs w:val="16"/>
          <w:color w:val="1A3FD6"/>
        </w:rPr>
      </w:pPr>
      <w:r>
        <w:rPr>
          <w:rFonts w:ascii="Arial" w:cs="Arial" w:eastAsia="Arial" w:hAnsi="Arial"/>
          <w:sz w:val="16"/>
          <w:szCs w:val="16"/>
          <w:color w:val="auto"/>
        </w:rPr>
        <w:t>Each of Messrs. Fernandez and Pettit received 100% of their LTIP awards in 2024 in the form of performance awards, with 30% in the form of PSUs and 70% in the form of PSOs, and other NEOs received a mix of 30% RSUs, 40% PSOs and 30% PSUs</w:t>
      </w:r>
    </w:p>
    <w:p>
      <w:pPr>
        <w:sectPr>
          <w:pgSz w:w="11900" w:h="16838" w:orient="portrait"/>
          <w:cols w:equalWidth="0" w:num="3">
            <w:col w:w="3840" w:space="360"/>
            <w:col w:w="2840" w:space="232"/>
            <w:col w:w="3968"/>
          </w:cols>
          <w:pgMar w:left="320" w:top="292" w:right="33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8420"/>
              <w:spacing w:after="0"/>
              <w:rPr>
                <w:sz w:val="20"/>
                <w:szCs w:val="20"/>
                <w:color w:val="auto"/>
              </w:rPr>
            </w:pPr>
            <w:r>
              <w:rPr>
                <w:rFonts w:ascii="Arial" w:cs="Arial" w:eastAsia="Arial" w:hAnsi="Arial"/>
                <w:sz w:val="14"/>
                <w:szCs w:val="14"/>
                <w:b w:val="1"/>
                <w:bCs w:val="1"/>
                <w:color w:val="1A3FD6"/>
              </w:rPr>
              <w:t>Compensation Matters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69</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384"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Fixed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Annual Base Salary</w:t>
      </w:r>
    </w:p>
    <w:p>
      <w:pPr>
        <w:spacing w:after="0" w:line="10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Base salary is the only fixed component of our executive compensation program. The annual base salary element offers our NEOs a measure of certainty and predictability to meet ongoing living and other financial commitments. In setting base salaries for our NEOs, the Compensation Committee has sought to establish base salary rates that (i) are competitive with those provided for similar positions at companies in our peer group and (ii) recognize the experience and performance of the NEO. The Compensation Committee reviews the base salaries of our NEOs on an annual basis.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00" w:type="dxa"/>
            <w:vAlign w:val="bottom"/>
          </w:tcPr>
          <w:p>
            <w:pPr>
              <w:spacing w:after="0"/>
              <w:rPr>
                <w:sz w:val="15"/>
                <w:szCs w:val="15"/>
                <w:color w:val="auto"/>
              </w:rPr>
            </w:pPr>
          </w:p>
        </w:tc>
        <w:tc>
          <w:tcPr>
            <w:tcW w:w="5240" w:type="dxa"/>
            <w:vAlign w:val="bottom"/>
          </w:tcPr>
          <w:p>
            <w:pPr>
              <w:jc w:val="right"/>
              <w:spacing w:after="0"/>
              <w:rPr>
                <w:sz w:val="20"/>
                <w:szCs w:val="20"/>
                <w:color w:val="auto"/>
              </w:rPr>
            </w:pPr>
            <w:r>
              <w:rPr>
                <w:rFonts w:ascii="Arial" w:cs="Arial" w:eastAsia="Arial" w:hAnsi="Arial"/>
                <w:sz w:val="14"/>
                <w:szCs w:val="14"/>
                <w:b w:val="1"/>
                <w:bCs w:val="1"/>
                <w:color w:val="auto"/>
              </w:rPr>
              <w:t>2024 Base</w:t>
            </w:r>
          </w:p>
        </w:tc>
      </w:tr>
      <w:tr>
        <w:trPr>
          <w:trHeight w:val="205"/>
        </w:trPr>
        <w:tc>
          <w:tcPr>
            <w:tcW w:w="600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Name</w:t>
            </w:r>
          </w:p>
        </w:tc>
        <w:tc>
          <w:tcPr>
            <w:tcW w:w="524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Salary Rate ($)</w:t>
            </w:r>
          </w:p>
        </w:tc>
      </w:tr>
      <w:tr>
        <w:trPr>
          <w:trHeight w:val="239"/>
        </w:trPr>
        <w:tc>
          <w:tcPr>
            <w:tcW w:w="6000" w:type="dxa"/>
            <w:vAlign w:val="bottom"/>
          </w:tcPr>
          <w:p>
            <w:pPr>
              <w:ind w:left="20"/>
              <w:spacing w:after="0"/>
              <w:rPr>
                <w:sz w:val="20"/>
                <w:szCs w:val="20"/>
                <w:color w:val="auto"/>
              </w:rPr>
            </w:pPr>
            <w:r>
              <w:rPr>
                <w:rFonts w:ascii="Arial" w:cs="Arial" w:eastAsia="Arial" w:hAnsi="Arial"/>
                <w:sz w:val="16"/>
                <w:szCs w:val="16"/>
                <w:b w:val="1"/>
                <w:bCs w:val="1"/>
                <w:color w:val="1A3FD6"/>
              </w:rPr>
              <w:t>Henry A. Fernandez</w:t>
            </w:r>
          </w:p>
        </w:tc>
        <w:tc>
          <w:tcPr>
            <w:tcW w:w="5240" w:type="dxa"/>
            <w:vAlign w:val="bottom"/>
          </w:tcPr>
          <w:p>
            <w:pPr>
              <w:jc w:val="right"/>
              <w:ind w:right="2"/>
              <w:spacing w:after="0"/>
              <w:rPr>
                <w:sz w:val="20"/>
                <w:szCs w:val="20"/>
                <w:color w:val="auto"/>
              </w:rPr>
            </w:pPr>
            <w:r>
              <w:rPr>
                <w:rFonts w:ascii="Arial" w:cs="Arial" w:eastAsia="Arial" w:hAnsi="Arial"/>
                <w:sz w:val="16"/>
                <w:szCs w:val="16"/>
                <w:color w:val="auto"/>
              </w:rPr>
              <w:t>1,000,000</w:t>
            </w:r>
          </w:p>
        </w:tc>
      </w:tr>
      <w:tr>
        <w:trPr>
          <w:trHeight w:val="247"/>
        </w:trPr>
        <w:tc>
          <w:tcPr>
            <w:tcW w:w="600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Andrew C. Wiechmann</w:t>
            </w:r>
          </w:p>
        </w:tc>
        <w:tc>
          <w:tcPr>
            <w:tcW w:w="5240" w:type="dxa"/>
            <w:vAlign w:val="bottom"/>
            <w:shd w:val="clear" w:color="auto" w:fill="EDF0FC"/>
          </w:tcPr>
          <w:p>
            <w:pPr>
              <w:jc w:val="right"/>
              <w:ind w:right="2"/>
              <w:spacing w:after="0"/>
              <w:rPr>
                <w:sz w:val="20"/>
                <w:szCs w:val="20"/>
                <w:color w:val="auto"/>
              </w:rPr>
            </w:pPr>
            <w:r>
              <w:rPr>
                <w:rFonts w:ascii="Arial" w:cs="Arial" w:eastAsia="Arial" w:hAnsi="Arial"/>
                <w:sz w:val="16"/>
                <w:szCs w:val="16"/>
                <w:color w:val="auto"/>
              </w:rPr>
              <w:t>550,000</w:t>
            </w:r>
          </w:p>
        </w:tc>
      </w:tr>
      <w:tr>
        <w:trPr>
          <w:trHeight w:val="243"/>
        </w:trPr>
        <w:tc>
          <w:tcPr>
            <w:tcW w:w="6000" w:type="dxa"/>
            <w:vAlign w:val="bottom"/>
          </w:tcPr>
          <w:p>
            <w:pPr>
              <w:ind w:left="20"/>
              <w:spacing w:after="0"/>
              <w:rPr>
                <w:sz w:val="20"/>
                <w:szCs w:val="20"/>
                <w:color w:val="auto"/>
              </w:rPr>
            </w:pPr>
            <w:r>
              <w:rPr>
                <w:rFonts w:ascii="Arial" w:cs="Arial" w:eastAsia="Arial" w:hAnsi="Arial"/>
                <w:sz w:val="16"/>
                <w:szCs w:val="16"/>
                <w:b w:val="1"/>
                <w:bCs w:val="1"/>
                <w:color w:val="1A3FD6"/>
              </w:rPr>
              <w:t>C. D. Baer Pettit</w:t>
            </w:r>
            <w:r>
              <w:rPr>
                <w:rFonts w:ascii="Arial" w:cs="Arial" w:eastAsia="Arial" w:hAnsi="Arial"/>
                <w:sz w:val="21"/>
                <w:szCs w:val="21"/>
                <w:b w:val="1"/>
                <w:bCs w:val="1"/>
                <w:color w:val="1A3FD6"/>
                <w:vertAlign w:val="superscript"/>
              </w:rPr>
              <w:t>(1)</w:t>
            </w:r>
          </w:p>
        </w:tc>
        <w:tc>
          <w:tcPr>
            <w:tcW w:w="5240" w:type="dxa"/>
            <w:vAlign w:val="bottom"/>
          </w:tcPr>
          <w:p>
            <w:pPr>
              <w:jc w:val="right"/>
              <w:ind w:right="2"/>
              <w:spacing w:after="0"/>
              <w:rPr>
                <w:sz w:val="20"/>
                <w:szCs w:val="20"/>
                <w:color w:val="auto"/>
              </w:rPr>
            </w:pPr>
            <w:r>
              <w:rPr>
                <w:rFonts w:ascii="Arial" w:cs="Arial" w:eastAsia="Arial" w:hAnsi="Arial"/>
                <w:sz w:val="16"/>
                <w:szCs w:val="16"/>
                <w:color w:val="auto"/>
              </w:rPr>
              <w:t>798,743</w:t>
            </w:r>
          </w:p>
        </w:tc>
      </w:tr>
      <w:tr>
        <w:trPr>
          <w:trHeight w:val="243"/>
        </w:trPr>
        <w:tc>
          <w:tcPr>
            <w:tcW w:w="600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Scott A. Crum</w:t>
            </w:r>
          </w:p>
        </w:tc>
        <w:tc>
          <w:tcPr>
            <w:tcW w:w="5240" w:type="dxa"/>
            <w:vAlign w:val="bottom"/>
            <w:shd w:val="clear" w:color="auto" w:fill="EDF0FC"/>
          </w:tcPr>
          <w:p>
            <w:pPr>
              <w:jc w:val="right"/>
              <w:ind w:right="2"/>
              <w:spacing w:after="0"/>
              <w:rPr>
                <w:sz w:val="20"/>
                <w:szCs w:val="20"/>
                <w:color w:val="auto"/>
              </w:rPr>
            </w:pPr>
            <w:r>
              <w:rPr>
                <w:rFonts w:ascii="Arial" w:cs="Arial" w:eastAsia="Arial" w:hAnsi="Arial"/>
                <w:sz w:val="16"/>
                <w:szCs w:val="16"/>
                <w:color w:val="auto"/>
              </w:rPr>
              <w:t>550,000</w:t>
            </w:r>
          </w:p>
        </w:tc>
      </w:tr>
      <w:tr>
        <w:trPr>
          <w:trHeight w:val="239"/>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1A3FD6"/>
              </w:rPr>
              <w:t>Robert J. Gutowski</w:t>
            </w:r>
          </w:p>
        </w:tc>
        <w:tc>
          <w:tcPr>
            <w:tcW w:w="5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500,000</w:t>
            </w:r>
          </w:p>
        </w:tc>
      </w:tr>
    </w:tbl>
    <w:p>
      <w:pPr>
        <w:spacing w:after="0" w:line="193" w:lineRule="exact"/>
        <w:rPr>
          <w:sz w:val="20"/>
          <w:szCs w:val="20"/>
          <w:color w:val="auto"/>
        </w:rPr>
      </w:pPr>
    </w:p>
    <w:p>
      <w:pPr>
        <w:ind w:left="200" w:right="220" w:hanging="192"/>
        <w:spacing w:after="0" w:line="239" w:lineRule="auto"/>
        <w:tabs>
          <w:tab w:leader="none" w:pos="187" w:val="left"/>
        </w:tabs>
        <w:numPr>
          <w:ilvl w:val="0"/>
          <w:numId w:val="73"/>
        </w:numPr>
        <w:rPr>
          <w:rFonts w:ascii="Arial" w:cs="Arial" w:eastAsia="Arial" w:hAnsi="Arial"/>
          <w:sz w:val="19"/>
          <w:szCs w:val="19"/>
          <w:color w:val="auto"/>
          <w:vertAlign w:val="superscript"/>
        </w:rPr>
      </w:pPr>
      <w:r>
        <w:rPr>
          <w:rFonts w:ascii="Arial" w:cs="Arial" w:eastAsia="Arial" w:hAnsi="Arial"/>
          <w:sz w:val="14"/>
          <w:szCs w:val="14"/>
          <w:color w:val="auto"/>
        </w:rPr>
        <w:t>Base salary for Mr. Pettit was paid in British pounds sterling and converted to U.S. dollars using the fiscal year average of daily spot rates of £1 to $1.278. Mr. Pettit’s 2024 base salary rate was £625,000.</w:t>
      </w:r>
    </w:p>
    <w:p>
      <w:pPr>
        <w:spacing w:after="0" w:line="103"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In 2025, each of Messrs. Wiechmann and Gutowski received an increase to his annual base salary after a consideration of several factors, including peer group market data and competitive practices, to $600,000 (9.09%) and $550,000 (10.00%), respectively.</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Variable Compensation</w:t>
      </w:r>
    </w:p>
    <w:p>
      <w:pPr>
        <w:spacing w:after="0" w:line="200"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The variable compensation actually paid to our NEOs is subject to performance metrics that are designed to (i) emphasize pay for performance, (ii) balance short-term and long-term incentives, and (iii) take into account input from our shareholders. The variable elements of our target-based incentive compensation program include:</w:t>
      </w:r>
    </w:p>
    <w:p>
      <w:pPr>
        <w:spacing w:after="0" w:line="57" w:lineRule="exact"/>
        <w:rPr>
          <w:sz w:val="20"/>
          <w:szCs w:val="20"/>
          <w:color w:val="auto"/>
        </w:rPr>
      </w:pPr>
    </w:p>
    <w:p>
      <w:pPr>
        <w:ind w:left="260" w:hanging="252"/>
        <w:spacing w:after="0"/>
        <w:tabs>
          <w:tab w:leader="none" w:pos="260" w:val="left"/>
        </w:tabs>
        <w:numPr>
          <w:ilvl w:val="0"/>
          <w:numId w:val="74"/>
        </w:numPr>
        <w:rPr>
          <w:rFonts w:ascii="Arial" w:cs="Arial" w:eastAsia="Arial" w:hAnsi="Arial"/>
          <w:sz w:val="16"/>
          <w:szCs w:val="16"/>
          <w:b w:val="1"/>
          <w:bCs w:val="1"/>
          <w:color w:val="1A3FD6"/>
        </w:rPr>
      </w:pPr>
      <w:r>
        <w:rPr>
          <w:rFonts w:ascii="Arial" w:cs="Arial" w:eastAsia="Arial" w:hAnsi="Arial"/>
          <w:sz w:val="16"/>
          <w:szCs w:val="16"/>
          <w:color w:val="auto"/>
        </w:rPr>
        <w:t>an annual cash incentive component; and</w:t>
      </w:r>
    </w:p>
    <w:p>
      <w:pPr>
        <w:spacing w:after="0" w:line="86" w:lineRule="exact"/>
        <w:rPr>
          <w:rFonts w:ascii="Arial" w:cs="Arial" w:eastAsia="Arial" w:hAnsi="Arial"/>
          <w:sz w:val="16"/>
          <w:szCs w:val="16"/>
          <w:b w:val="1"/>
          <w:bCs w:val="1"/>
          <w:color w:val="1A3FD6"/>
        </w:rPr>
      </w:pPr>
    </w:p>
    <w:p>
      <w:pPr>
        <w:ind w:left="260" w:hanging="252"/>
        <w:spacing w:after="0"/>
        <w:tabs>
          <w:tab w:leader="none" w:pos="260" w:val="left"/>
        </w:tabs>
        <w:numPr>
          <w:ilvl w:val="0"/>
          <w:numId w:val="74"/>
        </w:numPr>
        <w:rPr>
          <w:rFonts w:ascii="Arial" w:cs="Arial" w:eastAsia="Arial" w:hAnsi="Arial"/>
          <w:sz w:val="16"/>
          <w:szCs w:val="16"/>
          <w:b w:val="1"/>
          <w:bCs w:val="1"/>
          <w:color w:val="1A3FD6"/>
        </w:rPr>
      </w:pPr>
      <w:r>
        <w:rPr>
          <w:rFonts w:ascii="Arial" w:cs="Arial" w:eastAsia="Arial" w:hAnsi="Arial"/>
          <w:sz w:val="16"/>
          <w:szCs w:val="16"/>
          <w:color w:val="auto"/>
        </w:rPr>
        <w:t>a long-term equity incentive component.</w:t>
      </w:r>
    </w:p>
    <w:p>
      <w:pPr>
        <w:spacing w:after="0" w:line="12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determining target cash and equity incentive compensation amounts for each NEO, the Compensation Committee takes into account a number of factors, including: the differences in relative responsibilities; experience and performance in role; the ability to impact overall Company performance; Company, product segment and individual performance; and historical compensation and peer group analyses (used as a reference without benchmarking to a specified target).</w:t>
      </w:r>
    </w:p>
    <w:p>
      <w:pPr>
        <w:spacing w:after="0" w:line="72"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There is no minimum amount of variable compensation payable to the NEOs. The Compensation Committee makes determinations, in its discretion, as to the amounts of variable compensation awarded based on program metrics and individual performance, subject to the terms of any applicable plan or arrangement.</w:t>
      </w:r>
    </w:p>
    <w:p>
      <w:pPr>
        <w:spacing w:after="0" w:line="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Annual Cash Incentives</w:t>
      </w:r>
    </w:p>
    <w:p>
      <w:pPr>
        <w:spacing w:after="0" w:line="101"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The Company awards annual cash incentives pursuant to the Company’s AIP, which closely aligns management’s interests with those of shareholders by employing a formulaic approach that considers specific financial metrics and individual goals when determining cash incentives. Under the AIP, each NEO is eligible to earn an annual target cash incentive and may receive between 0% and 150% of their target cash incentive opportunity based on attainment of the level of certain financial performance metrics (together, weighted at 70%), individual KPIs (weighted at 20%) and Sustainability Goals (weighted at 10%). The Compensation Committee believes that subjecting 70% of the target cash incentive to pre-established performance targets further promotes shareholder value creation by more directly aligning executive compensation with Company financial performance and strategic goal attainment.</w:t>
      </w:r>
    </w:p>
    <w:p>
      <w:pPr>
        <w:spacing w:after="0" w:line="80"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The following table sets forth the target cash incentive opportunity for each NEO in respect of 2024, as well as the financial, KPI and Sustainability Goals weightings under the AIP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71" w:name="page72"/>
    <w:bookmarkEnd w:id="71"/>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70</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2300"/>
        <w:spacing w:after="0"/>
        <w:rPr>
          <w:sz w:val="20"/>
          <w:szCs w:val="20"/>
          <w:color w:val="auto"/>
        </w:rPr>
      </w:pPr>
      <w:r>
        <w:rPr>
          <w:rFonts w:ascii="Arial" w:cs="Arial" w:eastAsia="Arial" w:hAnsi="Arial"/>
          <w:sz w:val="14"/>
          <w:szCs w:val="14"/>
          <w:b w:val="1"/>
          <w:bCs w:val="1"/>
          <w:color w:val="auto"/>
        </w:rPr>
        <w:t>Financial Component—Overall</w:t>
      </w:r>
    </w:p>
    <w:p>
      <w:pPr>
        <w:spacing w:after="0" w:line="29" w:lineRule="exact"/>
        <w:rPr>
          <w:sz w:val="20"/>
          <w:szCs w:val="20"/>
          <w:color w:val="auto"/>
        </w:rPr>
      </w:pPr>
    </w:p>
    <w:p>
      <w:pPr>
        <w:jc w:val="center"/>
        <w:ind w:left="2300"/>
        <w:spacing w:after="0"/>
        <w:rPr>
          <w:sz w:val="20"/>
          <w:szCs w:val="20"/>
          <w:color w:val="auto"/>
        </w:rPr>
      </w:pPr>
      <w:r>
        <w:rPr>
          <w:rFonts w:ascii="Arial" w:cs="Arial" w:eastAsia="Arial" w:hAnsi="Arial"/>
          <w:sz w:val="14"/>
          <w:szCs w:val="14"/>
          <w:b w:val="1"/>
          <w:bCs w:val="1"/>
          <w:color w:val="auto"/>
        </w:rPr>
        <w:t>Weighting of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23495</wp:posOffset>
            </wp:positionV>
            <wp:extent cx="264858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140" w:type="dxa"/>
            <w:vAlign w:val="bottom"/>
            <w:tcBorders>
              <w:bottom w:val="single" w:sz="8" w:color="1A3FD6"/>
            </w:tcBorders>
          </w:tcPr>
          <w:p>
            <w:pPr>
              <w:spacing w:after="0"/>
              <w:rPr>
                <w:sz w:val="17"/>
                <w:szCs w:val="17"/>
                <w:color w:val="auto"/>
              </w:rPr>
            </w:pPr>
          </w:p>
        </w:tc>
        <w:tc>
          <w:tcPr>
            <w:tcW w:w="2120" w:type="dxa"/>
            <w:vAlign w:val="bottom"/>
            <w:tcBorders>
              <w:bottom w:val="single" w:sz="8" w:color="1A3FD6"/>
            </w:tcBorders>
            <w:gridSpan w:val="2"/>
          </w:tcPr>
          <w:p>
            <w:pPr>
              <w:jc w:val="right"/>
              <w:ind w:right="642"/>
              <w:spacing w:after="0"/>
              <w:rPr>
                <w:sz w:val="20"/>
                <w:szCs w:val="20"/>
                <w:color w:val="auto"/>
              </w:rPr>
            </w:pPr>
            <w:r>
              <w:rPr>
                <w:rFonts w:ascii="Arial" w:cs="Arial" w:eastAsia="Arial" w:hAnsi="Arial"/>
                <w:sz w:val="14"/>
                <w:szCs w:val="14"/>
                <w:b w:val="1"/>
                <w:bCs w:val="1"/>
                <w:color w:val="auto"/>
              </w:rPr>
              <w:t>MSCI Metrics</w:t>
            </w:r>
          </w:p>
        </w:tc>
        <w:tc>
          <w:tcPr>
            <w:tcW w:w="900" w:type="dxa"/>
            <w:vAlign w:val="bottom"/>
            <w:tcBorders>
              <w:bottom w:val="single" w:sz="8" w:color="1A3FD6"/>
            </w:tcBorders>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3"/>
        </w:trPr>
        <w:tc>
          <w:tcPr>
            <w:tcW w:w="2560" w:type="dxa"/>
            <w:vAlign w:val="bottom"/>
          </w:tcPr>
          <w:p>
            <w:pPr>
              <w:spacing w:after="0"/>
              <w:rPr>
                <w:sz w:val="16"/>
                <w:szCs w:val="16"/>
                <w:color w:val="auto"/>
              </w:rPr>
            </w:pPr>
          </w:p>
        </w:tc>
        <w:tc>
          <w:tcPr>
            <w:tcW w:w="2140" w:type="dxa"/>
            <w:vAlign w:val="bottom"/>
          </w:tcPr>
          <w:p>
            <w:pPr>
              <w:jc w:val="right"/>
              <w:ind w:right="102"/>
              <w:spacing w:after="0"/>
              <w:rPr>
                <w:sz w:val="20"/>
                <w:szCs w:val="20"/>
                <w:color w:val="auto"/>
              </w:rPr>
            </w:pPr>
            <w:r>
              <w:rPr>
                <w:rFonts w:ascii="Arial" w:cs="Arial" w:eastAsia="Arial" w:hAnsi="Arial"/>
                <w:sz w:val="14"/>
                <w:szCs w:val="14"/>
                <w:b w:val="1"/>
                <w:bCs w:val="1"/>
                <w:color w:val="auto"/>
              </w:rPr>
              <w:t>2024 Target Cash</w:t>
            </w:r>
          </w:p>
        </w:tc>
        <w:tc>
          <w:tcPr>
            <w:tcW w:w="1140" w:type="dxa"/>
            <w:vAlign w:val="bottom"/>
          </w:tcPr>
          <w:p>
            <w:pPr>
              <w:spacing w:after="0"/>
              <w:rPr>
                <w:sz w:val="16"/>
                <w:szCs w:val="16"/>
                <w:color w:val="auto"/>
              </w:rPr>
            </w:pPr>
          </w:p>
        </w:tc>
        <w:tc>
          <w:tcPr>
            <w:tcW w:w="1060" w:type="dxa"/>
            <w:vAlign w:val="bottom"/>
          </w:tcPr>
          <w:p>
            <w:pPr>
              <w:jc w:val="right"/>
              <w:ind w:right="162"/>
              <w:spacing w:after="0"/>
              <w:rPr>
                <w:sz w:val="20"/>
                <w:szCs w:val="20"/>
                <w:color w:val="auto"/>
              </w:rPr>
            </w:pPr>
            <w:r>
              <w:rPr>
                <w:rFonts w:ascii="Arial" w:cs="Arial" w:eastAsia="Arial" w:hAnsi="Arial"/>
                <w:sz w:val="14"/>
                <w:szCs w:val="14"/>
                <w:b w:val="1"/>
                <w:bCs w:val="1"/>
                <w:color w:val="auto"/>
              </w:rPr>
              <w:t>Adjusted</w:t>
            </w:r>
          </w:p>
        </w:tc>
        <w:tc>
          <w:tcPr>
            <w:tcW w:w="1060" w:type="dxa"/>
            <w:vAlign w:val="bottom"/>
          </w:tcPr>
          <w:p>
            <w:pPr>
              <w:jc w:val="right"/>
              <w:ind w:right="122"/>
              <w:spacing w:after="0"/>
              <w:rPr>
                <w:sz w:val="20"/>
                <w:szCs w:val="20"/>
                <w:color w:val="auto"/>
              </w:rPr>
            </w:pPr>
            <w:r>
              <w:rPr>
                <w:rFonts w:ascii="Arial" w:cs="Arial" w:eastAsia="Arial" w:hAnsi="Arial"/>
                <w:sz w:val="14"/>
                <w:szCs w:val="14"/>
                <w:b w:val="1"/>
                <w:bCs w:val="1"/>
                <w:color w:val="auto"/>
              </w:rPr>
              <w:t>Total Net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Free Cash</w:t>
            </w:r>
          </w:p>
        </w:tc>
        <w:tc>
          <w:tcPr>
            <w:tcW w:w="1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Sustainability</w:t>
            </w:r>
          </w:p>
        </w:tc>
      </w:tr>
      <w:tr>
        <w:trPr>
          <w:trHeight w:val="205"/>
        </w:trPr>
        <w:tc>
          <w:tcPr>
            <w:tcW w:w="256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Name</w:t>
            </w:r>
          </w:p>
        </w:tc>
        <w:tc>
          <w:tcPr>
            <w:tcW w:w="2140" w:type="dxa"/>
            <w:vAlign w:val="bottom"/>
            <w:tcBorders>
              <w:bottom w:val="single" w:sz="8" w:color="1A3FD6"/>
            </w:tcBorders>
          </w:tcPr>
          <w:p>
            <w:pPr>
              <w:jc w:val="right"/>
              <w:ind w:right="102"/>
              <w:spacing w:after="0"/>
              <w:rPr>
                <w:sz w:val="20"/>
                <w:szCs w:val="20"/>
                <w:color w:val="auto"/>
              </w:rPr>
            </w:pPr>
            <w:r>
              <w:rPr>
                <w:rFonts w:ascii="Arial" w:cs="Arial" w:eastAsia="Arial" w:hAnsi="Arial"/>
                <w:sz w:val="14"/>
                <w:szCs w:val="14"/>
                <w:b w:val="1"/>
                <w:bCs w:val="1"/>
                <w:color w:val="auto"/>
              </w:rPr>
              <w:t>Incentive ($)</w:t>
            </w:r>
          </w:p>
        </w:tc>
        <w:tc>
          <w:tcPr>
            <w:tcW w:w="1140" w:type="dxa"/>
            <w:vAlign w:val="bottom"/>
            <w:tcBorders>
              <w:bottom w:val="single" w:sz="8" w:color="1A3FD6"/>
            </w:tcBorders>
          </w:tcPr>
          <w:p>
            <w:pPr>
              <w:jc w:val="right"/>
              <w:ind w:right="121"/>
              <w:spacing w:after="0"/>
              <w:rPr>
                <w:sz w:val="20"/>
                <w:szCs w:val="20"/>
                <w:color w:val="auto"/>
              </w:rPr>
            </w:pPr>
            <w:r>
              <w:rPr>
                <w:rFonts w:ascii="Arial" w:cs="Arial" w:eastAsia="Arial" w:hAnsi="Arial"/>
                <w:sz w:val="14"/>
                <w:szCs w:val="14"/>
                <w:b w:val="1"/>
                <w:bCs w:val="1"/>
                <w:color w:val="auto"/>
              </w:rPr>
              <w:t>Revenue</w:t>
            </w:r>
          </w:p>
        </w:tc>
        <w:tc>
          <w:tcPr>
            <w:tcW w:w="1060" w:type="dxa"/>
            <w:vAlign w:val="bottom"/>
            <w:tcBorders>
              <w:bottom w:val="single" w:sz="8" w:color="1A3FD6"/>
            </w:tcBorders>
          </w:tcPr>
          <w:p>
            <w:pPr>
              <w:jc w:val="right"/>
              <w:ind w:right="162"/>
              <w:spacing w:after="0"/>
              <w:rPr>
                <w:sz w:val="20"/>
                <w:szCs w:val="20"/>
                <w:color w:val="auto"/>
              </w:rPr>
            </w:pPr>
            <w:r>
              <w:rPr>
                <w:rFonts w:ascii="Arial" w:cs="Arial" w:eastAsia="Arial" w:hAnsi="Arial"/>
                <w:sz w:val="14"/>
                <w:szCs w:val="14"/>
                <w:b w:val="1"/>
                <w:bCs w:val="1"/>
                <w:color w:val="auto"/>
              </w:rPr>
              <w:t>EPS</w:t>
            </w:r>
          </w:p>
        </w:tc>
        <w:tc>
          <w:tcPr>
            <w:tcW w:w="1060" w:type="dxa"/>
            <w:vAlign w:val="bottom"/>
            <w:tcBorders>
              <w:bottom w:val="single" w:sz="8" w:color="1A3FD6"/>
            </w:tcBorders>
          </w:tcPr>
          <w:p>
            <w:pPr>
              <w:jc w:val="right"/>
              <w:ind w:right="122"/>
              <w:spacing w:after="0"/>
              <w:rPr>
                <w:sz w:val="20"/>
                <w:szCs w:val="20"/>
                <w:color w:val="auto"/>
              </w:rPr>
            </w:pPr>
            <w:r>
              <w:rPr>
                <w:rFonts w:ascii="Arial" w:cs="Arial" w:eastAsia="Arial" w:hAnsi="Arial"/>
                <w:sz w:val="14"/>
                <w:szCs w:val="14"/>
                <w:b w:val="1"/>
                <w:bCs w:val="1"/>
                <w:color w:val="auto"/>
              </w:rPr>
              <w:t>Sales</w:t>
            </w:r>
          </w:p>
        </w:tc>
        <w:tc>
          <w:tcPr>
            <w:tcW w:w="90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Flow</w:t>
            </w:r>
          </w:p>
        </w:tc>
        <w:tc>
          <w:tcPr>
            <w:tcW w:w="1160" w:type="dxa"/>
            <w:vAlign w:val="bottom"/>
            <w:tcBorders>
              <w:bottom w:val="single" w:sz="8" w:color="1A3FD6"/>
            </w:tcBorders>
          </w:tcPr>
          <w:p>
            <w:pPr>
              <w:jc w:val="right"/>
              <w:ind w:right="181"/>
              <w:spacing w:after="0"/>
              <w:rPr>
                <w:sz w:val="20"/>
                <w:szCs w:val="20"/>
                <w:color w:val="auto"/>
              </w:rPr>
            </w:pPr>
            <w:r>
              <w:rPr>
                <w:rFonts w:ascii="Arial" w:cs="Arial" w:eastAsia="Arial" w:hAnsi="Arial"/>
                <w:sz w:val="14"/>
                <w:szCs w:val="14"/>
                <w:b w:val="1"/>
                <w:bCs w:val="1"/>
                <w:color w:val="auto"/>
              </w:rPr>
              <w:t>KPIs</w:t>
            </w:r>
          </w:p>
        </w:tc>
        <w:tc>
          <w:tcPr>
            <w:tcW w:w="122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Goals</w:t>
            </w:r>
          </w:p>
        </w:tc>
      </w:tr>
      <w:tr>
        <w:trPr>
          <w:trHeight w:val="239"/>
        </w:trPr>
        <w:tc>
          <w:tcPr>
            <w:tcW w:w="2560" w:type="dxa"/>
            <w:vAlign w:val="bottom"/>
          </w:tcPr>
          <w:p>
            <w:pPr>
              <w:ind w:left="20"/>
              <w:spacing w:after="0"/>
              <w:rPr>
                <w:sz w:val="20"/>
                <w:szCs w:val="20"/>
                <w:color w:val="auto"/>
              </w:rPr>
            </w:pPr>
            <w:r>
              <w:rPr>
                <w:rFonts w:ascii="Arial" w:cs="Arial" w:eastAsia="Arial" w:hAnsi="Arial"/>
                <w:sz w:val="16"/>
                <w:szCs w:val="16"/>
                <w:b w:val="1"/>
                <w:bCs w:val="1"/>
                <w:color w:val="1A3FD6"/>
              </w:rPr>
              <w:t>Henry A. Fernandez</w:t>
            </w:r>
          </w:p>
        </w:tc>
        <w:tc>
          <w:tcPr>
            <w:tcW w:w="2140" w:type="dxa"/>
            <w:vAlign w:val="bottom"/>
          </w:tcPr>
          <w:p>
            <w:pPr>
              <w:jc w:val="right"/>
              <w:ind w:right="142"/>
              <w:spacing w:after="0"/>
              <w:rPr>
                <w:sz w:val="20"/>
                <w:szCs w:val="20"/>
                <w:color w:val="auto"/>
              </w:rPr>
            </w:pPr>
            <w:r>
              <w:rPr>
                <w:rFonts w:ascii="Arial" w:cs="Arial" w:eastAsia="Arial" w:hAnsi="Arial"/>
                <w:sz w:val="16"/>
                <w:szCs w:val="16"/>
                <w:color w:val="auto"/>
              </w:rPr>
              <w:t>1,400,000</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20.0 %</w:t>
            </w:r>
          </w:p>
        </w:tc>
        <w:tc>
          <w:tcPr>
            <w:tcW w:w="1060" w:type="dxa"/>
            <w:vAlign w:val="bottom"/>
          </w:tcPr>
          <w:p>
            <w:pPr>
              <w:jc w:val="right"/>
              <w:ind w:right="162"/>
              <w:spacing w:after="0"/>
              <w:rPr>
                <w:sz w:val="20"/>
                <w:szCs w:val="20"/>
                <w:color w:val="auto"/>
              </w:rPr>
            </w:pPr>
            <w:r>
              <w:rPr>
                <w:rFonts w:ascii="Arial" w:cs="Arial" w:eastAsia="Arial" w:hAnsi="Arial"/>
                <w:sz w:val="16"/>
                <w:szCs w:val="16"/>
                <w:color w:val="auto"/>
              </w:rPr>
              <w:t>30.0 %</w:t>
            </w: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40.0 %</w:t>
            </w:r>
          </w:p>
        </w:tc>
        <w:tc>
          <w:tcPr>
            <w:tcW w:w="900" w:type="dxa"/>
            <w:vAlign w:val="bottom"/>
          </w:tcPr>
          <w:p>
            <w:pPr>
              <w:jc w:val="right"/>
              <w:spacing w:after="0"/>
              <w:rPr>
                <w:sz w:val="20"/>
                <w:szCs w:val="20"/>
                <w:color w:val="auto"/>
              </w:rPr>
            </w:pPr>
            <w:r>
              <w:rPr>
                <w:rFonts w:ascii="Arial" w:cs="Arial" w:eastAsia="Arial" w:hAnsi="Arial"/>
                <w:sz w:val="16"/>
                <w:szCs w:val="16"/>
                <w:color w:val="auto"/>
              </w:rPr>
              <w:t>10.0 %</w:t>
            </w:r>
          </w:p>
        </w:tc>
        <w:tc>
          <w:tcPr>
            <w:tcW w:w="1160" w:type="dxa"/>
            <w:vAlign w:val="bottom"/>
          </w:tcPr>
          <w:p>
            <w:pPr>
              <w:jc w:val="right"/>
              <w:ind w:right="181"/>
              <w:spacing w:after="0"/>
              <w:rPr>
                <w:sz w:val="20"/>
                <w:szCs w:val="20"/>
                <w:color w:val="auto"/>
              </w:rPr>
            </w:pPr>
            <w:r>
              <w:rPr>
                <w:rFonts w:ascii="Arial" w:cs="Arial" w:eastAsia="Arial" w:hAnsi="Arial"/>
                <w:sz w:val="16"/>
                <w:szCs w:val="16"/>
                <w:color w:val="auto"/>
              </w:rPr>
              <w:t>20.0 %</w:t>
            </w:r>
          </w:p>
        </w:tc>
        <w:tc>
          <w:tcPr>
            <w:tcW w:w="1220" w:type="dxa"/>
            <w:vAlign w:val="bottom"/>
          </w:tcPr>
          <w:p>
            <w:pPr>
              <w:jc w:val="right"/>
              <w:spacing w:after="0"/>
              <w:rPr>
                <w:sz w:val="20"/>
                <w:szCs w:val="20"/>
                <w:color w:val="auto"/>
              </w:rPr>
            </w:pPr>
            <w:r>
              <w:rPr>
                <w:rFonts w:ascii="Arial" w:cs="Arial" w:eastAsia="Arial" w:hAnsi="Arial"/>
                <w:sz w:val="16"/>
                <w:szCs w:val="16"/>
                <w:color w:val="auto"/>
              </w:rPr>
              <w:t>10.0 %</w:t>
            </w:r>
          </w:p>
        </w:tc>
      </w:tr>
      <w:tr>
        <w:trPr>
          <w:trHeight w:val="247"/>
        </w:trPr>
        <w:tc>
          <w:tcPr>
            <w:tcW w:w="256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Andrew C. Wiechmann</w:t>
            </w:r>
          </w:p>
        </w:tc>
        <w:tc>
          <w:tcPr>
            <w:tcW w:w="2140" w:type="dxa"/>
            <w:vAlign w:val="bottom"/>
            <w:shd w:val="clear" w:color="auto" w:fill="EDF0FC"/>
          </w:tcPr>
          <w:p>
            <w:pPr>
              <w:jc w:val="right"/>
              <w:ind w:right="142"/>
              <w:spacing w:after="0"/>
              <w:rPr>
                <w:sz w:val="20"/>
                <w:szCs w:val="20"/>
                <w:color w:val="auto"/>
              </w:rPr>
            </w:pPr>
            <w:r>
              <w:rPr>
                <w:rFonts w:ascii="Arial" w:cs="Arial" w:eastAsia="Arial" w:hAnsi="Arial"/>
                <w:sz w:val="16"/>
                <w:szCs w:val="16"/>
                <w:color w:val="auto"/>
              </w:rPr>
              <w:t>750,000</w:t>
            </w:r>
          </w:p>
        </w:tc>
        <w:tc>
          <w:tcPr>
            <w:tcW w:w="1140" w:type="dxa"/>
            <w:vAlign w:val="bottom"/>
            <w:shd w:val="clear" w:color="auto" w:fill="EDF0FC"/>
          </w:tcPr>
          <w:p>
            <w:pPr>
              <w:jc w:val="right"/>
              <w:ind w:right="121"/>
              <w:spacing w:after="0"/>
              <w:rPr>
                <w:sz w:val="20"/>
                <w:szCs w:val="20"/>
                <w:color w:val="auto"/>
              </w:rPr>
            </w:pPr>
            <w:r>
              <w:rPr>
                <w:rFonts w:ascii="Arial" w:cs="Arial" w:eastAsia="Arial" w:hAnsi="Arial"/>
                <w:sz w:val="16"/>
                <w:szCs w:val="16"/>
                <w:color w:val="auto"/>
              </w:rPr>
              <w:t>20.0 %</w:t>
            </w:r>
          </w:p>
        </w:tc>
        <w:tc>
          <w:tcPr>
            <w:tcW w:w="1060" w:type="dxa"/>
            <w:vAlign w:val="bottom"/>
            <w:shd w:val="clear" w:color="auto" w:fill="EDF0FC"/>
          </w:tcPr>
          <w:p>
            <w:pPr>
              <w:jc w:val="right"/>
              <w:ind w:right="162"/>
              <w:spacing w:after="0"/>
              <w:rPr>
                <w:sz w:val="20"/>
                <w:szCs w:val="20"/>
                <w:color w:val="auto"/>
              </w:rPr>
            </w:pPr>
            <w:r>
              <w:rPr>
                <w:rFonts w:ascii="Arial" w:cs="Arial" w:eastAsia="Arial" w:hAnsi="Arial"/>
                <w:sz w:val="16"/>
                <w:szCs w:val="16"/>
                <w:color w:val="auto"/>
              </w:rPr>
              <w:t>30.0 %</w:t>
            </w:r>
          </w:p>
        </w:tc>
        <w:tc>
          <w:tcPr>
            <w:tcW w:w="1060" w:type="dxa"/>
            <w:vAlign w:val="bottom"/>
            <w:shd w:val="clear" w:color="auto" w:fill="EDF0FC"/>
          </w:tcPr>
          <w:p>
            <w:pPr>
              <w:jc w:val="right"/>
              <w:ind w:right="122"/>
              <w:spacing w:after="0"/>
              <w:rPr>
                <w:sz w:val="20"/>
                <w:szCs w:val="20"/>
                <w:color w:val="auto"/>
              </w:rPr>
            </w:pPr>
            <w:r>
              <w:rPr>
                <w:rFonts w:ascii="Arial" w:cs="Arial" w:eastAsia="Arial" w:hAnsi="Arial"/>
                <w:sz w:val="16"/>
                <w:szCs w:val="16"/>
                <w:color w:val="auto"/>
              </w:rPr>
              <w:t>40.0 %</w:t>
            </w:r>
          </w:p>
        </w:tc>
        <w:tc>
          <w:tcPr>
            <w:tcW w:w="900" w:type="dxa"/>
            <w:vAlign w:val="bottom"/>
            <w:shd w:val="clear" w:color="auto" w:fill="EDF0FC"/>
          </w:tcPr>
          <w:p>
            <w:pPr>
              <w:jc w:val="right"/>
              <w:spacing w:after="0"/>
              <w:rPr>
                <w:sz w:val="20"/>
                <w:szCs w:val="20"/>
                <w:color w:val="auto"/>
              </w:rPr>
            </w:pPr>
            <w:r>
              <w:rPr>
                <w:rFonts w:ascii="Arial" w:cs="Arial" w:eastAsia="Arial" w:hAnsi="Arial"/>
                <w:sz w:val="16"/>
                <w:szCs w:val="16"/>
                <w:color w:val="auto"/>
              </w:rPr>
              <w:t>10.0 %</w:t>
            </w:r>
          </w:p>
        </w:tc>
        <w:tc>
          <w:tcPr>
            <w:tcW w:w="1160" w:type="dxa"/>
            <w:vAlign w:val="bottom"/>
            <w:shd w:val="clear" w:color="auto" w:fill="EDF0FC"/>
          </w:tcPr>
          <w:p>
            <w:pPr>
              <w:jc w:val="right"/>
              <w:ind w:right="181"/>
              <w:spacing w:after="0"/>
              <w:rPr>
                <w:sz w:val="20"/>
                <w:szCs w:val="20"/>
                <w:color w:val="auto"/>
              </w:rPr>
            </w:pPr>
            <w:r>
              <w:rPr>
                <w:rFonts w:ascii="Arial" w:cs="Arial" w:eastAsia="Arial" w:hAnsi="Arial"/>
                <w:sz w:val="16"/>
                <w:szCs w:val="16"/>
                <w:color w:val="auto"/>
              </w:rPr>
              <w:t>20.0 %</w:t>
            </w:r>
          </w:p>
        </w:tc>
        <w:tc>
          <w:tcPr>
            <w:tcW w:w="1220" w:type="dxa"/>
            <w:vAlign w:val="bottom"/>
            <w:shd w:val="clear" w:color="auto" w:fill="EDF0FC"/>
          </w:tcPr>
          <w:p>
            <w:pPr>
              <w:jc w:val="right"/>
              <w:spacing w:after="0"/>
              <w:rPr>
                <w:sz w:val="20"/>
                <w:szCs w:val="20"/>
                <w:color w:val="auto"/>
              </w:rPr>
            </w:pPr>
            <w:r>
              <w:rPr>
                <w:rFonts w:ascii="Arial" w:cs="Arial" w:eastAsia="Arial" w:hAnsi="Arial"/>
                <w:sz w:val="16"/>
                <w:szCs w:val="16"/>
                <w:color w:val="auto"/>
              </w:rPr>
              <w:t>10.0 %</w:t>
            </w:r>
          </w:p>
        </w:tc>
      </w:tr>
      <w:tr>
        <w:trPr>
          <w:trHeight w:val="243"/>
        </w:trPr>
        <w:tc>
          <w:tcPr>
            <w:tcW w:w="2560" w:type="dxa"/>
            <w:vAlign w:val="bottom"/>
          </w:tcPr>
          <w:p>
            <w:pPr>
              <w:ind w:left="20"/>
              <w:spacing w:after="0"/>
              <w:rPr>
                <w:sz w:val="20"/>
                <w:szCs w:val="20"/>
                <w:color w:val="auto"/>
              </w:rPr>
            </w:pPr>
            <w:r>
              <w:rPr>
                <w:rFonts w:ascii="Arial" w:cs="Arial" w:eastAsia="Arial" w:hAnsi="Arial"/>
                <w:sz w:val="16"/>
                <w:szCs w:val="16"/>
                <w:b w:val="1"/>
                <w:bCs w:val="1"/>
                <w:color w:val="1A3FD6"/>
              </w:rPr>
              <w:t>C. D. Baer Pettit</w:t>
            </w:r>
            <w:r>
              <w:rPr>
                <w:rFonts w:ascii="Arial" w:cs="Arial" w:eastAsia="Arial" w:hAnsi="Arial"/>
                <w:sz w:val="21"/>
                <w:szCs w:val="21"/>
                <w:b w:val="1"/>
                <w:bCs w:val="1"/>
                <w:color w:val="1A3FD6"/>
                <w:vertAlign w:val="superscript"/>
              </w:rPr>
              <w:t>(1)</w:t>
            </w:r>
          </w:p>
        </w:tc>
        <w:tc>
          <w:tcPr>
            <w:tcW w:w="2140" w:type="dxa"/>
            <w:vAlign w:val="bottom"/>
          </w:tcPr>
          <w:p>
            <w:pPr>
              <w:jc w:val="right"/>
              <w:ind w:right="142"/>
              <w:spacing w:after="0"/>
              <w:rPr>
                <w:sz w:val="20"/>
                <w:szCs w:val="20"/>
                <w:color w:val="auto"/>
              </w:rPr>
            </w:pPr>
            <w:r>
              <w:rPr>
                <w:rFonts w:ascii="Arial" w:cs="Arial" w:eastAsia="Arial" w:hAnsi="Arial"/>
                <w:sz w:val="16"/>
                <w:szCs w:val="16"/>
                <w:color w:val="auto"/>
              </w:rPr>
              <w:t>1,150,190</w:t>
            </w:r>
          </w:p>
        </w:tc>
        <w:tc>
          <w:tcPr>
            <w:tcW w:w="1140" w:type="dxa"/>
            <w:vAlign w:val="bottom"/>
          </w:tcPr>
          <w:p>
            <w:pPr>
              <w:jc w:val="right"/>
              <w:ind w:right="121"/>
              <w:spacing w:after="0"/>
              <w:rPr>
                <w:sz w:val="20"/>
                <w:szCs w:val="20"/>
                <w:color w:val="auto"/>
              </w:rPr>
            </w:pPr>
            <w:r>
              <w:rPr>
                <w:rFonts w:ascii="Arial" w:cs="Arial" w:eastAsia="Arial" w:hAnsi="Arial"/>
                <w:sz w:val="16"/>
                <w:szCs w:val="16"/>
                <w:color w:val="auto"/>
              </w:rPr>
              <w:t>20.0 %</w:t>
            </w:r>
          </w:p>
        </w:tc>
        <w:tc>
          <w:tcPr>
            <w:tcW w:w="1060" w:type="dxa"/>
            <w:vAlign w:val="bottom"/>
          </w:tcPr>
          <w:p>
            <w:pPr>
              <w:jc w:val="right"/>
              <w:ind w:right="162"/>
              <w:spacing w:after="0"/>
              <w:rPr>
                <w:sz w:val="20"/>
                <w:szCs w:val="20"/>
                <w:color w:val="auto"/>
              </w:rPr>
            </w:pPr>
            <w:r>
              <w:rPr>
                <w:rFonts w:ascii="Arial" w:cs="Arial" w:eastAsia="Arial" w:hAnsi="Arial"/>
                <w:sz w:val="16"/>
                <w:szCs w:val="16"/>
                <w:color w:val="auto"/>
              </w:rPr>
              <w:t>30.0 %</w:t>
            </w: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40.0 %</w:t>
            </w:r>
          </w:p>
        </w:tc>
        <w:tc>
          <w:tcPr>
            <w:tcW w:w="900" w:type="dxa"/>
            <w:vAlign w:val="bottom"/>
          </w:tcPr>
          <w:p>
            <w:pPr>
              <w:jc w:val="right"/>
              <w:spacing w:after="0"/>
              <w:rPr>
                <w:sz w:val="20"/>
                <w:szCs w:val="20"/>
                <w:color w:val="auto"/>
              </w:rPr>
            </w:pPr>
            <w:r>
              <w:rPr>
                <w:rFonts w:ascii="Arial" w:cs="Arial" w:eastAsia="Arial" w:hAnsi="Arial"/>
                <w:sz w:val="16"/>
                <w:szCs w:val="16"/>
                <w:color w:val="auto"/>
              </w:rPr>
              <w:t>10.0 %</w:t>
            </w:r>
          </w:p>
        </w:tc>
        <w:tc>
          <w:tcPr>
            <w:tcW w:w="1160" w:type="dxa"/>
            <w:vAlign w:val="bottom"/>
          </w:tcPr>
          <w:p>
            <w:pPr>
              <w:jc w:val="right"/>
              <w:ind w:right="181"/>
              <w:spacing w:after="0"/>
              <w:rPr>
                <w:sz w:val="20"/>
                <w:szCs w:val="20"/>
                <w:color w:val="auto"/>
              </w:rPr>
            </w:pPr>
            <w:r>
              <w:rPr>
                <w:rFonts w:ascii="Arial" w:cs="Arial" w:eastAsia="Arial" w:hAnsi="Arial"/>
                <w:sz w:val="16"/>
                <w:szCs w:val="16"/>
                <w:color w:val="auto"/>
              </w:rPr>
              <w:t>20.0 %</w:t>
            </w:r>
          </w:p>
        </w:tc>
        <w:tc>
          <w:tcPr>
            <w:tcW w:w="1220" w:type="dxa"/>
            <w:vAlign w:val="bottom"/>
          </w:tcPr>
          <w:p>
            <w:pPr>
              <w:jc w:val="right"/>
              <w:spacing w:after="0"/>
              <w:rPr>
                <w:sz w:val="20"/>
                <w:szCs w:val="20"/>
                <w:color w:val="auto"/>
              </w:rPr>
            </w:pPr>
            <w:r>
              <w:rPr>
                <w:rFonts w:ascii="Arial" w:cs="Arial" w:eastAsia="Arial" w:hAnsi="Arial"/>
                <w:sz w:val="16"/>
                <w:szCs w:val="16"/>
                <w:color w:val="auto"/>
              </w:rPr>
              <w:t>10.0 %</w:t>
            </w:r>
          </w:p>
        </w:tc>
      </w:tr>
      <w:tr>
        <w:trPr>
          <w:trHeight w:val="243"/>
        </w:trPr>
        <w:tc>
          <w:tcPr>
            <w:tcW w:w="256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Scott A. Crum</w:t>
            </w:r>
          </w:p>
        </w:tc>
        <w:tc>
          <w:tcPr>
            <w:tcW w:w="2140" w:type="dxa"/>
            <w:vAlign w:val="bottom"/>
            <w:shd w:val="clear" w:color="auto" w:fill="EDF0FC"/>
          </w:tcPr>
          <w:p>
            <w:pPr>
              <w:jc w:val="right"/>
              <w:ind w:right="142"/>
              <w:spacing w:after="0"/>
              <w:rPr>
                <w:sz w:val="20"/>
                <w:szCs w:val="20"/>
                <w:color w:val="auto"/>
              </w:rPr>
            </w:pPr>
            <w:r>
              <w:rPr>
                <w:rFonts w:ascii="Arial" w:cs="Arial" w:eastAsia="Arial" w:hAnsi="Arial"/>
                <w:sz w:val="16"/>
                <w:szCs w:val="16"/>
                <w:color w:val="auto"/>
              </w:rPr>
              <w:t>700,000</w:t>
            </w:r>
          </w:p>
        </w:tc>
        <w:tc>
          <w:tcPr>
            <w:tcW w:w="1140" w:type="dxa"/>
            <w:vAlign w:val="bottom"/>
            <w:shd w:val="clear" w:color="auto" w:fill="EDF0FC"/>
          </w:tcPr>
          <w:p>
            <w:pPr>
              <w:jc w:val="right"/>
              <w:ind w:right="121"/>
              <w:spacing w:after="0"/>
              <w:rPr>
                <w:sz w:val="20"/>
                <w:szCs w:val="20"/>
                <w:color w:val="auto"/>
              </w:rPr>
            </w:pPr>
            <w:r>
              <w:rPr>
                <w:rFonts w:ascii="Arial" w:cs="Arial" w:eastAsia="Arial" w:hAnsi="Arial"/>
                <w:sz w:val="16"/>
                <w:szCs w:val="16"/>
                <w:color w:val="auto"/>
              </w:rPr>
              <w:t>20.0 %</w:t>
            </w:r>
          </w:p>
        </w:tc>
        <w:tc>
          <w:tcPr>
            <w:tcW w:w="1060" w:type="dxa"/>
            <w:vAlign w:val="bottom"/>
            <w:shd w:val="clear" w:color="auto" w:fill="EDF0FC"/>
          </w:tcPr>
          <w:p>
            <w:pPr>
              <w:jc w:val="right"/>
              <w:ind w:right="162"/>
              <w:spacing w:after="0"/>
              <w:rPr>
                <w:sz w:val="20"/>
                <w:szCs w:val="20"/>
                <w:color w:val="auto"/>
              </w:rPr>
            </w:pPr>
            <w:r>
              <w:rPr>
                <w:rFonts w:ascii="Arial" w:cs="Arial" w:eastAsia="Arial" w:hAnsi="Arial"/>
                <w:sz w:val="16"/>
                <w:szCs w:val="16"/>
                <w:color w:val="auto"/>
              </w:rPr>
              <w:t>30.0 %</w:t>
            </w:r>
          </w:p>
        </w:tc>
        <w:tc>
          <w:tcPr>
            <w:tcW w:w="1060" w:type="dxa"/>
            <w:vAlign w:val="bottom"/>
            <w:shd w:val="clear" w:color="auto" w:fill="EDF0FC"/>
          </w:tcPr>
          <w:p>
            <w:pPr>
              <w:jc w:val="right"/>
              <w:ind w:right="122"/>
              <w:spacing w:after="0"/>
              <w:rPr>
                <w:sz w:val="20"/>
                <w:szCs w:val="20"/>
                <w:color w:val="auto"/>
              </w:rPr>
            </w:pPr>
            <w:r>
              <w:rPr>
                <w:rFonts w:ascii="Arial" w:cs="Arial" w:eastAsia="Arial" w:hAnsi="Arial"/>
                <w:sz w:val="16"/>
                <w:szCs w:val="16"/>
                <w:color w:val="auto"/>
              </w:rPr>
              <w:t>40.0 %</w:t>
            </w:r>
          </w:p>
        </w:tc>
        <w:tc>
          <w:tcPr>
            <w:tcW w:w="900" w:type="dxa"/>
            <w:vAlign w:val="bottom"/>
            <w:shd w:val="clear" w:color="auto" w:fill="EDF0FC"/>
          </w:tcPr>
          <w:p>
            <w:pPr>
              <w:jc w:val="right"/>
              <w:spacing w:after="0"/>
              <w:rPr>
                <w:sz w:val="20"/>
                <w:szCs w:val="20"/>
                <w:color w:val="auto"/>
              </w:rPr>
            </w:pPr>
            <w:r>
              <w:rPr>
                <w:rFonts w:ascii="Arial" w:cs="Arial" w:eastAsia="Arial" w:hAnsi="Arial"/>
                <w:sz w:val="16"/>
                <w:szCs w:val="16"/>
                <w:color w:val="auto"/>
              </w:rPr>
              <w:t>10.0 %</w:t>
            </w:r>
          </w:p>
        </w:tc>
        <w:tc>
          <w:tcPr>
            <w:tcW w:w="1160" w:type="dxa"/>
            <w:vAlign w:val="bottom"/>
            <w:shd w:val="clear" w:color="auto" w:fill="EDF0FC"/>
          </w:tcPr>
          <w:p>
            <w:pPr>
              <w:jc w:val="right"/>
              <w:ind w:right="181"/>
              <w:spacing w:after="0"/>
              <w:rPr>
                <w:sz w:val="20"/>
                <w:szCs w:val="20"/>
                <w:color w:val="auto"/>
              </w:rPr>
            </w:pPr>
            <w:r>
              <w:rPr>
                <w:rFonts w:ascii="Arial" w:cs="Arial" w:eastAsia="Arial" w:hAnsi="Arial"/>
                <w:sz w:val="16"/>
                <w:szCs w:val="16"/>
                <w:color w:val="auto"/>
              </w:rPr>
              <w:t>20.0 %</w:t>
            </w:r>
          </w:p>
        </w:tc>
        <w:tc>
          <w:tcPr>
            <w:tcW w:w="1220" w:type="dxa"/>
            <w:vAlign w:val="bottom"/>
            <w:shd w:val="clear" w:color="auto" w:fill="EDF0FC"/>
          </w:tcPr>
          <w:p>
            <w:pPr>
              <w:jc w:val="right"/>
              <w:spacing w:after="0"/>
              <w:rPr>
                <w:sz w:val="20"/>
                <w:szCs w:val="20"/>
                <w:color w:val="auto"/>
              </w:rPr>
            </w:pPr>
            <w:r>
              <w:rPr>
                <w:rFonts w:ascii="Arial" w:cs="Arial" w:eastAsia="Arial" w:hAnsi="Arial"/>
                <w:sz w:val="16"/>
                <w:szCs w:val="16"/>
                <w:color w:val="auto"/>
              </w:rPr>
              <w:t>10.0 %</w:t>
            </w:r>
          </w:p>
        </w:tc>
      </w:tr>
      <w:tr>
        <w:trPr>
          <w:trHeight w:val="239"/>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1A3FD6"/>
              </w:rPr>
              <w:t>Robert J. Gutowski</w:t>
            </w:r>
          </w:p>
        </w:tc>
        <w:tc>
          <w:tcPr>
            <w:tcW w:w="21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650,000</w:t>
            </w: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20.0 %</w:t>
            </w:r>
          </w:p>
        </w:tc>
        <w:tc>
          <w:tcPr>
            <w:tcW w:w="10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30.0 %</w:t>
            </w: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40.0 %</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1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20.0 %</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r>
    </w:tbl>
    <w:p>
      <w:pPr>
        <w:spacing w:after="0" w:line="193" w:lineRule="exact"/>
        <w:rPr>
          <w:sz w:val="20"/>
          <w:szCs w:val="20"/>
          <w:color w:val="auto"/>
        </w:rPr>
      </w:pPr>
    </w:p>
    <w:p>
      <w:pPr>
        <w:ind w:left="200" w:right="280" w:hanging="192"/>
        <w:spacing w:after="0" w:line="239" w:lineRule="auto"/>
        <w:tabs>
          <w:tab w:leader="none" w:pos="187" w:val="left"/>
        </w:tabs>
        <w:numPr>
          <w:ilvl w:val="0"/>
          <w:numId w:val="75"/>
        </w:numPr>
        <w:rPr>
          <w:rFonts w:ascii="Arial" w:cs="Arial" w:eastAsia="Arial" w:hAnsi="Arial"/>
          <w:sz w:val="19"/>
          <w:szCs w:val="19"/>
          <w:color w:val="auto"/>
          <w:vertAlign w:val="superscript"/>
        </w:rPr>
      </w:pPr>
      <w:r>
        <w:rPr>
          <w:rFonts w:ascii="Arial" w:cs="Arial" w:eastAsia="Arial" w:hAnsi="Arial"/>
          <w:sz w:val="14"/>
          <w:szCs w:val="14"/>
          <w:color w:val="auto"/>
        </w:rPr>
        <w:t>The 2024 target annual cash incentive opportunity reflected in the table above for Mr. Pettit was converted from British pounds sterling to U.S. dollars using the fiscal year average of daily spot rates of £1 to $1.278 for fiscal 2024. Mr. Pettit’s actual 2024 target cash incentive amount was £900,000.</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 2025, the Compensation Committee did not make any changes to annual target cash incentive compensation for our NEOs compared to 2024.</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1A3FD6"/>
        </w:rPr>
        <w:t>Financial Component</w:t>
      </w:r>
    </w:p>
    <w:p>
      <w:pPr>
        <w:spacing w:after="0" w:line="85"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The threshold, target and maximum for each financial component making up the AIP, as well as the actual results attained for 2024, are included in the table set forth below. The combined actual performance achievement for all metrics under the financial component of the AIP for 2024 was 94.3% of target.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140" w:type="dxa"/>
            <w:vAlign w:val="bottom"/>
            <w:tcBorders>
              <w:bottom w:val="single" w:sz="8" w:color="1A3FD6"/>
            </w:tcBorders>
            <w:gridSpan w:val="2"/>
          </w:tcPr>
          <w:p>
            <w:pPr>
              <w:jc w:val="right"/>
              <w:ind w:right="642"/>
              <w:spacing w:after="0"/>
              <w:rPr>
                <w:sz w:val="20"/>
                <w:szCs w:val="20"/>
                <w:color w:val="auto"/>
              </w:rPr>
            </w:pPr>
            <w:r>
              <w:rPr>
                <w:rFonts w:ascii="Arial" w:cs="Arial" w:eastAsia="Arial" w:hAnsi="Arial"/>
                <w:sz w:val="14"/>
                <w:szCs w:val="14"/>
                <w:b w:val="1"/>
                <w:bCs w:val="1"/>
                <w:color w:val="auto"/>
              </w:rPr>
              <w:t>Threshold</w:t>
            </w:r>
          </w:p>
        </w:tc>
        <w:tc>
          <w:tcPr>
            <w:tcW w:w="80" w:type="dxa"/>
            <w:vAlign w:val="bottom"/>
          </w:tcPr>
          <w:p>
            <w:pPr>
              <w:spacing w:after="0"/>
              <w:rPr>
                <w:sz w:val="17"/>
                <w:szCs w:val="17"/>
                <w:color w:val="auto"/>
              </w:rPr>
            </w:pPr>
          </w:p>
        </w:tc>
        <w:tc>
          <w:tcPr>
            <w:tcW w:w="780" w:type="dxa"/>
            <w:vAlign w:val="bottom"/>
            <w:tcBorders>
              <w:bottom w:val="single" w:sz="8" w:color="1A3FD6"/>
            </w:tcBorders>
          </w:tcPr>
          <w:p>
            <w:pPr>
              <w:spacing w:after="0"/>
              <w:rPr>
                <w:sz w:val="17"/>
                <w:szCs w:val="17"/>
                <w:color w:val="auto"/>
              </w:rPr>
            </w:pPr>
          </w:p>
        </w:tc>
        <w:tc>
          <w:tcPr>
            <w:tcW w:w="1280" w:type="dxa"/>
            <w:vAlign w:val="bottom"/>
            <w:tcBorders>
              <w:bottom w:val="single" w:sz="8" w:color="1A3FD6"/>
            </w:tcBorders>
          </w:tcPr>
          <w:p>
            <w:pPr>
              <w:jc w:val="right"/>
              <w:ind w:right="743"/>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7"/>
                <w:szCs w:val="17"/>
                <w:color w:val="auto"/>
              </w:rPr>
            </w:pPr>
          </w:p>
        </w:tc>
        <w:tc>
          <w:tcPr>
            <w:tcW w:w="2040" w:type="dxa"/>
            <w:vAlign w:val="bottom"/>
            <w:tcBorders>
              <w:bottom w:val="single" w:sz="8" w:color="1A3FD6"/>
            </w:tcBorders>
            <w:gridSpan w:val="2"/>
          </w:tcPr>
          <w:p>
            <w:pPr>
              <w:jc w:val="right"/>
              <w:ind w:right="602"/>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7"/>
                <w:szCs w:val="17"/>
                <w:color w:val="auto"/>
              </w:rPr>
            </w:pPr>
          </w:p>
        </w:tc>
        <w:tc>
          <w:tcPr>
            <w:tcW w:w="860" w:type="dxa"/>
            <w:vAlign w:val="bottom"/>
            <w:tcBorders>
              <w:bottom w:val="single" w:sz="8" w:color="1A3FD6"/>
            </w:tcBorders>
          </w:tcPr>
          <w:p>
            <w:pPr>
              <w:spacing w:after="0"/>
              <w:rPr>
                <w:sz w:val="17"/>
                <w:szCs w:val="17"/>
                <w:color w:val="auto"/>
              </w:rPr>
            </w:pPr>
          </w:p>
        </w:tc>
        <w:tc>
          <w:tcPr>
            <w:tcW w:w="1300" w:type="dxa"/>
            <w:vAlign w:val="bottom"/>
            <w:tcBorders>
              <w:bottom w:val="single" w:sz="8" w:color="1A3FD6"/>
            </w:tcBorders>
          </w:tcPr>
          <w:p>
            <w:pPr>
              <w:jc w:val="right"/>
              <w:ind w:right="783"/>
              <w:spacing w:after="0"/>
              <w:rPr>
                <w:sz w:val="20"/>
                <w:szCs w:val="20"/>
                <w:color w:val="auto"/>
              </w:rPr>
            </w:pPr>
            <w:r>
              <w:rPr>
                <w:rFonts w:ascii="Arial" w:cs="Arial" w:eastAsia="Arial" w:hAnsi="Arial"/>
                <w:sz w:val="14"/>
                <w:szCs w:val="14"/>
                <w:b w:val="1"/>
                <w:bCs w:val="1"/>
                <w:color w:val="auto"/>
                <w:w w:val="98"/>
              </w:rPr>
              <w:t>Actual</w:t>
            </w:r>
          </w:p>
        </w:tc>
      </w:tr>
      <w:tr>
        <w:trPr>
          <w:trHeight w:val="191"/>
        </w:trPr>
        <w:tc>
          <w:tcPr>
            <w:tcW w:w="1700" w:type="dxa"/>
            <w:vAlign w:val="bottom"/>
          </w:tcPr>
          <w:p>
            <w:pPr>
              <w:spacing w:after="0"/>
              <w:rPr>
                <w:sz w:val="16"/>
                <w:szCs w:val="16"/>
                <w:color w:val="auto"/>
              </w:rPr>
            </w:pPr>
          </w:p>
        </w:tc>
        <w:tc>
          <w:tcPr>
            <w:tcW w:w="860" w:type="dxa"/>
            <w:vAlign w:val="bottom"/>
          </w:tcPr>
          <w:p>
            <w:pPr>
              <w:jc w:val="right"/>
              <w:ind w:right="42"/>
              <w:spacing w:after="0"/>
              <w:rPr>
                <w:sz w:val="20"/>
                <w:szCs w:val="20"/>
                <w:color w:val="auto"/>
              </w:rPr>
            </w:pPr>
            <w:r>
              <w:rPr>
                <w:rFonts w:ascii="Arial" w:cs="Arial" w:eastAsia="Arial" w:hAnsi="Arial"/>
                <w:sz w:val="14"/>
                <w:szCs w:val="14"/>
                <w:b w:val="1"/>
                <w:bCs w:val="1"/>
                <w:color w:val="auto"/>
              </w:rPr>
              <w:t>Target</w:t>
            </w:r>
          </w:p>
        </w:tc>
        <w:tc>
          <w:tcPr>
            <w:tcW w:w="1020" w:type="dxa"/>
            <w:vAlign w:val="bottom"/>
          </w:tcPr>
          <w:p>
            <w:pPr>
              <w:jc w:val="right"/>
              <w:ind w:right="123"/>
              <w:spacing w:after="0"/>
              <w:rPr>
                <w:sz w:val="20"/>
                <w:szCs w:val="20"/>
                <w:color w:val="auto"/>
              </w:rPr>
            </w:pPr>
            <w:r>
              <w:rPr>
                <w:rFonts w:ascii="Arial" w:cs="Arial" w:eastAsia="Arial" w:hAnsi="Arial"/>
                <w:sz w:val="14"/>
                <w:szCs w:val="14"/>
                <w:b w:val="1"/>
                <w:bCs w:val="1"/>
                <w:color w:val="auto"/>
              </w:rPr>
              <w:t>% Of</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Payout (% Of</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 Of</w:t>
            </w:r>
          </w:p>
        </w:tc>
        <w:tc>
          <w:tcPr>
            <w:tcW w:w="13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Payout (% Of</w:t>
            </w:r>
          </w:p>
        </w:tc>
        <w:tc>
          <w:tcPr>
            <w:tcW w:w="940" w:type="dxa"/>
            <w:vAlign w:val="bottom"/>
          </w:tcPr>
          <w:p>
            <w:pPr>
              <w:jc w:val="right"/>
              <w:ind w:right="123"/>
              <w:spacing w:after="0"/>
              <w:rPr>
                <w:sz w:val="20"/>
                <w:szCs w:val="20"/>
                <w:color w:val="auto"/>
              </w:rPr>
            </w:pPr>
            <w:r>
              <w:rPr>
                <w:rFonts w:ascii="Arial" w:cs="Arial" w:eastAsia="Arial" w:hAnsi="Arial"/>
                <w:sz w:val="14"/>
                <w:szCs w:val="14"/>
                <w:b w:val="1"/>
                <w:bCs w:val="1"/>
                <w:color w:val="auto"/>
              </w:rPr>
              <w:t>% Of</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Payout (% Of</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 Of</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Payout (% Of</w:t>
            </w:r>
          </w:p>
        </w:tc>
      </w:tr>
      <w:tr>
        <w:trPr>
          <w:trHeight w:val="214"/>
        </w:trPr>
        <w:tc>
          <w:tcPr>
            <w:tcW w:w="170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Metrics</w:t>
            </w:r>
          </w:p>
        </w:tc>
        <w:tc>
          <w:tcPr>
            <w:tcW w:w="860" w:type="dxa"/>
            <w:vAlign w:val="bottom"/>
            <w:tcBorders>
              <w:bottom w:val="single" w:sz="8" w:color="1A3FD6"/>
            </w:tcBorders>
          </w:tcPr>
          <w:p>
            <w:pPr>
              <w:jc w:val="right"/>
              <w:ind w:right="42"/>
              <w:spacing w:after="0"/>
              <w:rPr>
                <w:sz w:val="20"/>
                <w:szCs w:val="20"/>
                <w:color w:val="auto"/>
              </w:rPr>
            </w:pPr>
            <w:r>
              <w:rPr>
                <w:rFonts w:ascii="Arial" w:cs="Arial" w:eastAsia="Arial" w:hAnsi="Arial"/>
                <w:sz w:val="14"/>
                <w:szCs w:val="14"/>
                <w:b w:val="1"/>
                <w:bCs w:val="1"/>
                <w:color w:val="auto"/>
              </w:rPr>
              <w:t>$mm</w:t>
            </w:r>
            <w:r>
              <w:rPr>
                <w:rFonts w:ascii="Arial" w:cs="Arial" w:eastAsia="Arial" w:hAnsi="Arial"/>
                <w:sz w:val="18"/>
                <w:szCs w:val="18"/>
                <w:b w:val="1"/>
                <w:bCs w:val="1"/>
                <w:color w:val="auto"/>
                <w:vertAlign w:val="superscript"/>
              </w:rPr>
              <w:t>(1)</w:t>
            </w:r>
          </w:p>
        </w:tc>
        <w:tc>
          <w:tcPr>
            <w:tcW w:w="1020" w:type="dxa"/>
            <w:vAlign w:val="bottom"/>
            <w:tcBorders>
              <w:bottom w:val="single" w:sz="8" w:color="1A3FD6"/>
            </w:tcBorders>
          </w:tcPr>
          <w:p>
            <w:pPr>
              <w:jc w:val="right"/>
              <w:ind w:right="123"/>
              <w:spacing w:after="0"/>
              <w:rPr>
                <w:sz w:val="20"/>
                <w:szCs w:val="20"/>
                <w:color w:val="auto"/>
              </w:rPr>
            </w:pPr>
            <w:r>
              <w:rPr>
                <w:rFonts w:ascii="Arial" w:cs="Arial" w:eastAsia="Arial" w:hAnsi="Arial"/>
                <w:sz w:val="14"/>
                <w:szCs w:val="14"/>
                <w:b w:val="1"/>
                <w:bCs w:val="1"/>
                <w:color w:val="auto"/>
              </w:rPr>
              <w:t>Target</w:t>
            </w:r>
          </w:p>
        </w:tc>
        <w:tc>
          <w:tcPr>
            <w:tcW w:w="1200" w:type="dxa"/>
            <w:vAlign w:val="bottom"/>
            <w:tcBorders>
              <w:bottom w:val="single" w:sz="8" w:color="1A3FD6"/>
            </w:tcBorders>
            <w:gridSpan w:val="2"/>
          </w:tcPr>
          <w:p>
            <w:pPr>
              <w:jc w:val="right"/>
              <w:ind w:right="100"/>
              <w:spacing w:after="0"/>
              <w:rPr>
                <w:sz w:val="20"/>
                <w:szCs w:val="20"/>
                <w:color w:val="auto"/>
              </w:rPr>
            </w:pPr>
            <w:r>
              <w:rPr>
                <w:rFonts w:ascii="Arial" w:cs="Arial" w:eastAsia="Arial" w:hAnsi="Arial"/>
                <w:sz w:val="14"/>
                <w:szCs w:val="14"/>
                <w:b w:val="1"/>
                <w:bCs w:val="1"/>
                <w:color w:val="auto"/>
              </w:rPr>
              <w:t>Opportunity)</w:t>
            </w:r>
          </w:p>
        </w:tc>
        <w:tc>
          <w:tcPr>
            <w:tcW w:w="78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Target</w:t>
            </w:r>
          </w:p>
        </w:tc>
        <w:tc>
          <w:tcPr>
            <w:tcW w:w="1380" w:type="dxa"/>
            <w:vAlign w:val="bottom"/>
            <w:tcBorders>
              <w:bottom w:val="single" w:sz="8" w:color="1A3FD6"/>
            </w:tcBorders>
            <w:gridSpan w:val="2"/>
          </w:tcPr>
          <w:p>
            <w:pPr>
              <w:jc w:val="right"/>
              <w:ind w:right="120"/>
              <w:spacing w:after="0"/>
              <w:rPr>
                <w:sz w:val="20"/>
                <w:szCs w:val="20"/>
                <w:color w:val="auto"/>
              </w:rPr>
            </w:pPr>
            <w:r>
              <w:rPr>
                <w:rFonts w:ascii="Arial" w:cs="Arial" w:eastAsia="Arial" w:hAnsi="Arial"/>
                <w:sz w:val="14"/>
                <w:szCs w:val="14"/>
                <w:b w:val="1"/>
                <w:bCs w:val="1"/>
                <w:color w:val="auto"/>
              </w:rPr>
              <w:t>Opportunity)</w:t>
            </w:r>
          </w:p>
        </w:tc>
        <w:tc>
          <w:tcPr>
            <w:tcW w:w="940" w:type="dxa"/>
            <w:vAlign w:val="bottom"/>
            <w:tcBorders>
              <w:bottom w:val="single" w:sz="8" w:color="1A3FD6"/>
            </w:tcBorders>
          </w:tcPr>
          <w:p>
            <w:pPr>
              <w:jc w:val="right"/>
              <w:ind w:right="123"/>
              <w:spacing w:after="0"/>
              <w:rPr>
                <w:sz w:val="20"/>
                <w:szCs w:val="20"/>
                <w:color w:val="auto"/>
              </w:rPr>
            </w:pPr>
            <w:r>
              <w:rPr>
                <w:rFonts w:ascii="Arial" w:cs="Arial" w:eastAsia="Arial" w:hAnsi="Arial"/>
                <w:sz w:val="14"/>
                <w:szCs w:val="14"/>
                <w:b w:val="1"/>
                <w:bCs w:val="1"/>
                <w:color w:val="auto"/>
              </w:rPr>
              <w:t>Target</w:t>
            </w:r>
          </w:p>
        </w:tc>
        <w:tc>
          <w:tcPr>
            <w:tcW w:w="1200" w:type="dxa"/>
            <w:vAlign w:val="bottom"/>
            <w:tcBorders>
              <w:bottom w:val="single" w:sz="8" w:color="1A3FD6"/>
            </w:tcBorders>
            <w:gridSpan w:val="2"/>
          </w:tcPr>
          <w:p>
            <w:pPr>
              <w:jc w:val="right"/>
              <w:ind w:right="120"/>
              <w:spacing w:after="0"/>
              <w:rPr>
                <w:sz w:val="20"/>
                <w:szCs w:val="20"/>
                <w:color w:val="auto"/>
              </w:rPr>
            </w:pPr>
            <w:r>
              <w:rPr>
                <w:rFonts w:ascii="Arial" w:cs="Arial" w:eastAsia="Arial" w:hAnsi="Arial"/>
                <w:sz w:val="14"/>
                <w:szCs w:val="14"/>
                <w:b w:val="1"/>
                <w:bCs w:val="1"/>
                <w:color w:val="auto"/>
              </w:rPr>
              <w:t>Opportunity)</w:t>
            </w:r>
          </w:p>
        </w:tc>
        <w:tc>
          <w:tcPr>
            <w:tcW w:w="86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Target</w:t>
            </w:r>
          </w:p>
        </w:tc>
        <w:tc>
          <w:tcPr>
            <w:tcW w:w="130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Opportunity)</w:t>
            </w:r>
          </w:p>
        </w:tc>
      </w:tr>
      <w:tr>
        <w:trPr>
          <w:trHeight w:val="229"/>
        </w:trPr>
        <w:tc>
          <w:tcPr>
            <w:tcW w:w="1700" w:type="dxa"/>
            <w:vAlign w:val="bottom"/>
          </w:tcPr>
          <w:p>
            <w:pPr>
              <w:ind w:left="20"/>
              <w:spacing w:after="0"/>
              <w:rPr>
                <w:sz w:val="20"/>
                <w:szCs w:val="20"/>
                <w:color w:val="auto"/>
              </w:rPr>
            </w:pPr>
            <w:r>
              <w:rPr>
                <w:rFonts w:ascii="Arial" w:cs="Arial" w:eastAsia="Arial" w:hAnsi="Arial"/>
                <w:sz w:val="16"/>
                <w:szCs w:val="16"/>
                <w:color w:val="auto"/>
              </w:rPr>
              <w:t>MSCI Revenue</w:t>
            </w:r>
          </w:p>
        </w:tc>
        <w:tc>
          <w:tcPr>
            <w:tcW w:w="860" w:type="dxa"/>
            <w:vAlign w:val="bottom"/>
          </w:tcPr>
          <w:p>
            <w:pPr>
              <w:jc w:val="right"/>
              <w:ind w:right="82"/>
              <w:spacing w:after="0"/>
              <w:rPr>
                <w:sz w:val="20"/>
                <w:szCs w:val="20"/>
                <w:color w:val="auto"/>
              </w:rPr>
            </w:pPr>
            <w:r>
              <w:rPr>
                <w:rFonts w:ascii="Arial" w:cs="Arial" w:eastAsia="Arial" w:hAnsi="Arial"/>
                <w:sz w:val="16"/>
                <w:szCs w:val="16"/>
                <w:color w:val="auto"/>
              </w:rPr>
              <w:t>2,834.6</w:t>
            </w:r>
          </w:p>
        </w:tc>
        <w:tc>
          <w:tcPr>
            <w:tcW w:w="1020" w:type="dxa"/>
            <w:vAlign w:val="bottom"/>
          </w:tcPr>
          <w:p>
            <w:pPr>
              <w:jc w:val="right"/>
              <w:ind w:right="123"/>
              <w:spacing w:after="0"/>
              <w:rPr>
                <w:sz w:val="20"/>
                <w:szCs w:val="20"/>
                <w:color w:val="auto"/>
              </w:rPr>
            </w:pPr>
            <w:r>
              <w:rPr>
                <w:rFonts w:ascii="Arial" w:cs="Arial" w:eastAsia="Arial" w:hAnsi="Arial"/>
                <w:sz w:val="16"/>
                <w:szCs w:val="16"/>
                <w:color w:val="auto"/>
              </w:rPr>
              <w:t>95 %</w:t>
            </w:r>
          </w:p>
        </w:tc>
        <w:tc>
          <w:tcPr>
            <w:tcW w:w="1120" w:type="dxa"/>
            <w:vAlign w:val="bottom"/>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100 %</w:t>
            </w:r>
          </w:p>
        </w:tc>
        <w:tc>
          <w:tcPr>
            <w:tcW w:w="128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9"/>
                <w:szCs w:val="19"/>
                <w:color w:val="auto"/>
              </w:rPr>
            </w:pPr>
          </w:p>
        </w:tc>
        <w:tc>
          <w:tcPr>
            <w:tcW w:w="940" w:type="dxa"/>
            <w:vAlign w:val="bottom"/>
          </w:tcPr>
          <w:p>
            <w:pPr>
              <w:jc w:val="right"/>
              <w:ind w:right="123"/>
              <w:spacing w:after="0"/>
              <w:rPr>
                <w:sz w:val="20"/>
                <w:szCs w:val="20"/>
                <w:color w:val="auto"/>
              </w:rPr>
            </w:pPr>
            <w:r>
              <w:rPr>
                <w:rFonts w:ascii="Arial" w:cs="Arial" w:eastAsia="Arial" w:hAnsi="Arial"/>
                <w:sz w:val="16"/>
                <w:szCs w:val="16"/>
                <w:color w:val="auto"/>
              </w:rPr>
              <w:t>105 %</w:t>
            </w:r>
          </w:p>
        </w:tc>
        <w:tc>
          <w:tcPr>
            <w:tcW w:w="1100" w:type="dxa"/>
            <w:vAlign w:val="bottom"/>
          </w:tcPr>
          <w:p>
            <w:pPr>
              <w:jc w:val="right"/>
              <w:spacing w:after="0"/>
              <w:rPr>
                <w:sz w:val="20"/>
                <w:szCs w:val="20"/>
                <w:color w:val="auto"/>
              </w:rPr>
            </w:pPr>
            <w:r>
              <w:rPr>
                <w:rFonts w:ascii="Arial" w:cs="Arial" w:eastAsia="Arial" w:hAnsi="Arial"/>
                <w:sz w:val="16"/>
                <w:szCs w:val="16"/>
                <w:color w:val="auto"/>
              </w:rPr>
              <w:t>150 %</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100.8 %</w:t>
            </w:r>
          </w:p>
        </w:tc>
        <w:tc>
          <w:tcPr>
            <w:tcW w:w="1300" w:type="dxa"/>
            <w:vAlign w:val="bottom"/>
          </w:tcPr>
          <w:p>
            <w:pPr>
              <w:jc w:val="right"/>
              <w:spacing w:after="0"/>
              <w:rPr>
                <w:sz w:val="20"/>
                <w:szCs w:val="20"/>
                <w:color w:val="auto"/>
              </w:rPr>
            </w:pPr>
            <w:r>
              <w:rPr>
                <w:rFonts w:ascii="Arial" w:cs="Arial" w:eastAsia="Arial" w:hAnsi="Arial"/>
                <w:sz w:val="16"/>
                <w:szCs w:val="16"/>
                <w:color w:val="auto"/>
              </w:rPr>
              <w:t>107.6 %</w:t>
            </w:r>
          </w:p>
        </w:tc>
      </w:tr>
      <w:tr>
        <w:trPr>
          <w:trHeight w:val="251"/>
        </w:trPr>
        <w:tc>
          <w:tcPr>
            <w:tcW w:w="1700" w:type="dxa"/>
            <w:vAlign w:val="bottom"/>
            <w:shd w:val="clear" w:color="auto" w:fill="EDF0FC"/>
          </w:tcPr>
          <w:p>
            <w:pPr>
              <w:ind w:left="20"/>
              <w:spacing w:after="0"/>
              <w:rPr>
                <w:sz w:val="20"/>
                <w:szCs w:val="20"/>
                <w:color w:val="auto"/>
              </w:rPr>
            </w:pPr>
            <w:r>
              <w:rPr>
                <w:rFonts w:ascii="Arial" w:cs="Arial" w:eastAsia="Arial" w:hAnsi="Arial"/>
                <w:sz w:val="16"/>
                <w:szCs w:val="16"/>
                <w:color w:val="auto"/>
              </w:rPr>
              <w:t>MSCI Adjusted EPS</w:t>
            </w:r>
          </w:p>
        </w:tc>
        <w:tc>
          <w:tcPr>
            <w:tcW w:w="860" w:type="dxa"/>
            <w:vAlign w:val="bottom"/>
            <w:shd w:val="clear" w:color="auto" w:fill="EDF0FC"/>
          </w:tcPr>
          <w:p>
            <w:pPr>
              <w:jc w:val="right"/>
              <w:ind w:right="82"/>
              <w:spacing w:after="0"/>
              <w:rPr>
                <w:sz w:val="20"/>
                <w:szCs w:val="20"/>
                <w:color w:val="auto"/>
              </w:rPr>
            </w:pPr>
            <w:r>
              <w:rPr>
                <w:rFonts w:ascii="Arial" w:cs="Arial" w:eastAsia="Arial" w:hAnsi="Arial"/>
                <w:sz w:val="16"/>
                <w:szCs w:val="16"/>
                <w:color w:val="auto"/>
              </w:rPr>
              <w:t>14.39</w:t>
            </w:r>
          </w:p>
        </w:tc>
        <w:tc>
          <w:tcPr>
            <w:tcW w:w="1020" w:type="dxa"/>
            <w:vAlign w:val="bottom"/>
            <w:shd w:val="clear" w:color="auto" w:fill="EDF0FC"/>
          </w:tcPr>
          <w:p>
            <w:pPr>
              <w:jc w:val="right"/>
              <w:ind w:right="123"/>
              <w:spacing w:after="0"/>
              <w:rPr>
                <w:sz w:val="20"/>
                <w:szCs w:val="20"/>
                <w:color w:val="auto"/>
              </w:rPr>
            </w:pPr>
            <w:r>
              <w:rPr>
                <w:rFonts w:ascii="Arial" w:cs="Arial" w:eastAsia="Arial" w:hAnsi="Arial"/>
                <w:sz w:val="16"/>
                <w:szCs w:val="16"/>
                <w:color w:val="auto"/>
              </w:rPr>
              <w:t>90 %</w:t>
            </w:r>
          </w:p>
        </w:tc>
        <w:tc>
          <w:tcPr>
            <w:tcW w:w="1120" w:type="dxa"/>
            <w:vAlign w:val="bottom"/>
            <w:shd w:val="clear" w:color="auto" w:fill="EDF0FC"/>
          </w:tcPr>
          <w:p>
            <w:pPr>
              <w:jc w:val="right"/>
              <w:spacing w:after="0"/>
              <w:rPr>
                <w:sz w:val="20"/>
                <w:szCs w:val="20"/>
                <w:color w:val="auto"/>
              </w:rPr>
            </w:pPr>
            <w:r>
              <w:rPr>
                <w:rFonts w:ascii="Arial" w:cs="Arial" w:eastAsia="Arial" w:hAnsi="Arial"/>
                <w:sz w:val="16"/>
                <w:szCs w:val="16"/>
                <w:color w:val="auto"/>
              </w:rPr>
              <w:t>50 %</w:t>
            </w:r>
          </w:p>
        </w:tc>
        <w:tc>
          <w:tcPr>
            <w:tcW w:w="80" w:type="dxa"/>
            <w:vAlign w:val="bottom"/>
            <w:shd w:val="clear" w:color="auto" w:fill="EDF0FC"/>
          </w:tcPr>
          <w:p>
            <w:pPr>
              <w:spacing w:after="0"/>
              <w:rPr>
                <w:sz w:val="21"/>
                <w:szCs w:val="21"/>
                <w:color w:val="auto"/>
              </w:rPr>
            </w:pPr>
          </w:p>
        </w:tc>
        <w:tc>
          <w:tcPr>
            <w:tcW w:w="780" w:type="dxa"/>
            <w:vAlign w:val="bottom"/>
            <w:shd w:val="clear" w:color="auto" w:fill="EDF0FC"/>
          </w:tcPr>
          <w:p>
            <w:pPr>
              <w:jc w:val="right"/>
              <w:spacing w:after="0"/>
              <w:rPr>
                <w:sz w:val="20"/>
                <w:szCs w:val="20"/>
                <w:color w:val="auto"/>
              </w:rPr>
            </w:pPr>
            <w:r>
              <w:rPr>
                <w:rFonts w:ascii="Arial" w:cs="Arial" w:eastAsia="Arial" w:hAnsi="Arial"/>
                <w:sz w:val="16"/>
                <w:szCs w:val="16"/>
                <w:color w:val="auto"/>
              </w:rPr>
              <w:t>100 %</w:t>
            </w:r>
          </w:p>
        </w:tc>
        <w:tc>
          <w:tcPr>
            <w:tcW w:w="1280" w:type="dxa"/>
            <w:vAlign w:val="bottom"/>
            <w:shd w:val="clear" w:color="auto" w:fill="EDF0FC"/>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EDF0FC"/>
          </w:tcPr>
          <w:p>
            <w:pPr>
              <w:spacing w:after="0"/>
              <w:rPr>
                <w:sz w:val="21"/>
                <w:szCs w:val="21"/>
                <w:color w:val="auto"/>
              </w:rPr>
            </w:pPr>
          </w:p>
        </w:tc>
        <w:tc>
          <w:tcPr>
            <w:tcW w:w="940" w:type="dxa"/>
            <w:vAlign w:val="bottom"/>
            <w:shd w:val="clear" w:color="auto" w:fill="EDF0FC"/>
          </w:tcPr>
          <w:p>
            <w:pPr>
              <w:jc w:val="right"/>
              <w:ind w:right="123"/>
              <w:spacing w:after="0"/>
              <w:rPr>
                <w:sz w:val="20"/>
                <w:szCs w:val="20"/>
                <w:color w:val="auto"/>
              </w:rPr>
            </w:pPr>
            <w:r>
              <w:rPr>
                <w:rFonts w:ascii="Arial" w:cs="Arial" w:eastAsia="Arial" w:hAnsi="Arial"/>
                <w:sz w:val="16"/>
                <w:szCs w:val="16"/>
                <w:color w:val="auto"/>
              </w:rPr>
              <w:t>110 %</w:t>
            </w:r>
          </w:p>
        </w:tc>
        <w:tc>
          <w:tcPr>
            <w:tcW w:w="1100" w:type="dxa"/>
            <w:vAlign w:val="bottom"/>
            <w:shd w:val="clear" w:color="auto" w:fill="EDF0FC"/>
          </w:tcPr>
          <w:p>
            <w:pPr>
              <w:jc w:val="right"/>
              <w:spacing w:after="0"/>
              <w:rPr>
                <w:sz w:val="20"/>
                <w:szCs w:val="20"/>
                <w:color w:val="auto"/>
              </w:rPr>
            </w:pPr>
            <w:r>
              <w:rPr>
                <w:rFonts w:ascii="Arial" w:cs="Arial" w:eastAsia="Arial" w:hAnsi="Arial"/>
                <w:sz w:val="16"/>
                <w:szCs w:val="16"/>
                <w:color w:val="auto"/>
              </w:rPr>
              <w:t>150 %</w:t>
            </w:r>
          </w:p>
        </w:tc>
        <w:tc>
          <w:tcPr>
            <w:tcW w:w="100" w:type="dxa"/>
            <w:vAlign w:val="bottom"/>
            <w:shd w:val="clear" w:color="auto" w:fill="EDF0FC"/>
          </w:tcPr>
          <w:p>
            <w:pPr>
              <w:spacing w:after="0"/>
              <w:rPr>
                <w:sz w:val="21"/>
                <w:szCs w:val="21"/>
                <w:color w:val="auto"/>
              </w:rPr>
            </w:pPr>
          </w:p>
        </w:tc>
        <w:tc>
          <w:tcPr>
            <w:tcW w:w="860" w:type="dxa"/>
            <w:vAlign w:val="bottom"/>
            <w:shd w:val="clear" w:color="auto" w:fill="EDF0FC"/>
          </w:tcPr>
          <w:p>
            <w:pPr>
              <w:jc w:val="right"/>
              <w:spacing w:after="0"/>
              <w:rPr>
                <w:sz w:val="20"/>
                <w:szCs w:val="20"/>
                <w:color w:val="auto"/>
              </w:rPr>
            </w:pPr>
            <w:r>
              <w:rPr>
                <w:rFonts w:ascii="Arial" w:cs="Arial" w:eastAsia="Arial" w:hAnsi="Arial"/>
                <w:sz w:val="16"/>
                <w:szCs w:val="16"/>
                <w:color w:val="auto"/>
              </w:rPr>
              <w:t>105.6 %</w:t>
            </w:r>
          </w:p>
        </w:tc>
        <w:tc>
          <w:tcPr>
            <w:tcW w:w="1300" w:type="dxa"/>
            <w:vAlign w:val="bottom"/>
            <w:shd w:val="clear" w:color="auto" w:fill="EDF0FC"/>
          </w:tcPr>
          <w:p>
            <w:pPr>
              <w:jc w:val="right"/>
              <w:spacing w:after="0"/>
              <w:rPr>
                <w:sz w:val="20"/>
                <w:szCs w:val="20"/>
                <w:color w:val="auto"/>
              </w:rPr>
            </w:pPr>
            <w:r>
              <w:rPr>
                <w:rFonts w:ascii="Arial" w:cs="Arial" w:eastAsia="Arial" w:hAnsi="Arial"/>
                <w:sz w:val="16"/>
                <w:szCs w:val="16"/>
                <w:color w:val="auto"/>
              </w:rPr>
              <w:t>128.1 %</w:t>
            </w:r>
          </w:p>
        </w:tc>
      </w:tr>
      <w:tr>
        <w:trPr>
          <w:trHeight w:val="235"/>
        </w:trPr>
        <w:tc>
          <w:tcPr>
            <w:tcW w:w="1700" w:type="dxa"/>
            <w:vAlign w:val="bottom"/>
          </w:tcPr>
          <w:p>
            <w:pPr>
              <w:ind w:left="20"/>
              <w:spacing w:after="0"/>
              <w:rPr>
                <w:sz w:val="20"/>
                <w:szCs w:val="20"/>
                <w:color w:val="auto"/>
              </w:rPr>
            </w:pPr>
            <w:r>
              <w:rPr>
                <w:rFonts w:ascii="Arial" w:cs="Arial" w:eastAsia="Arial" w:hAnsi="Arial"/>
                <w:sz w:val="16"/>
                <w:szCs w:val="16"/>
                <w:color w:val="auto"/>
              </w:rPr>
              <w:t>MSCI Total Net Sales</w:t>
            </w:r>
          </w:p>
        </w:tc>
        <w:tc>
          <w:tcPr>
            <w:tcW w:w="860" w:type="dxa"/>
            <w:vAlign w:val="bottom"/>
          </w:tcPr>
          <w:p>
            <w:pPr>
              <w:jc w:val="right"/>
              <w:ind w:right="82"/>
              <w:spacing w:after="0"/>
              <w:rPr>
                <w:sz w:val="20"/>
                <w:szCs w:val="20"/>
                <w:color w:val="auto"/>
              </w:rPr>
            </w:pPr>
            <w:r>
              <w:rPr>
                <w:rFonts w:ascii="Arial" w:cs="Arial" w:eastAsia="Arial" w:hAnsi="Arial"/>
                <w:sz w:val="16"/>
                <w:szCs w:val="16"/>
                <w:color w:val="auto"/>
              </w:rPr>
              <w:t>328.6</w:t>
            </w:r>
          </w:p>
        </w:tc>
        <w:tc>
          <w:tcPr>
            <w:tcW w:w="1020" w:type="dxa"/>
            <w:vAlign w:val="bottom"/>
          </w:tcPr>
          <w:p>
            <w:pPr>
              <w:jc w:val="right"/>
              <w:ind w:right="123"/>
              <w:spacing w:after="0"/>
              <w:rPr>
                <w:sz w:val="20"/>
                <w:szCs w:val="20"/>
                <w:color w:val="auto"/>
              </w:rPr>
            </w:pPr>
            <w:r>
              <w:rPr>
                <w:rFonts w:ascii="Arial" w:cs="Arial" w:eastAsia="Arial" w:hAnsi="Arial"/>
                <w:sz w:val="16"/>
                <w:szCs w:val="16"/>
                <w:color w:val="auto"/>
              </w:rPr>
              <w:t>70 %</w:t>
            </w:r>
          </w:p>
        </w:tc>
        <w:tc>
          <w:tcPr>
            <w:tcW w:w="1120" w:type="dxa"/>
            <w:vAlign w:val="bottom"/>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100 %</w:t>
            </w:r>
          </w:p>
        </w:tc>
        <w:tc>
          <w:tcPr>
            <w:tcW w:w="128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20"/>
                <w:szCs w:val="20"/>
                <w:color w:val="auto"/>
              </w:rPr>
            </w:pPr>
          </w:p>
        </w:tc>
        <w:tc>
          <w:tcPr>
            <w:tcW w:w="940" w:type="dxa"/>
            <w:vAlign w:val="bottom"/>
          </w:tcPr>
          <w:p>
            <w:pPr>
              <w:jc w:val="right"/>
              <w:ind w:right="123"/>
              <w:spacing w:after="0"/>
              <w:rPr>
                <w:sz w:val="20"/>
                <w:szCs w:val="20"/>
                <w:color w:val="auto"/>
              </w:rPr>
            </w:pPr>
            <w:r>
              <w:rPr>
                <w:rFonts w:ascii="Arial" w:cs="Arial" w:eastAsia="Arial" w:hAnsi="Arial"/>
                <w:sz w:val="16"/>
                <w:szCs w:val="16"/>
                <w:color w:val="auto"/>
              </w:rPr>
              <w:t>130 %</w:t>
            </w:r>
          </w:p>
        </w:tc>
        <w:tc>
          <w:tcPr>
            <w:tcW w:w="1100" w:type="dxa"/>
            <w:vAlign w:val="bottom"/>
          </w:tcPr>
          <w:p>
            <w:pPr>
              <w:jc w:val="right"/>
              <w:spacing w:after="0"/>
              <w:rPr>
                <w:sz w:val="20"/>
                <w:szCs w:val="20"/>
                <w:color w:val="auto"/>
              </w:rPr>
            </w:pPr>
            <w:r>
              <w:rPr>
                <w:rFonts w:ascii="Arial" w:cs="Arial" w:eastAsia="Arial" w:hAnsi="Arial"/>
                <w:sz w:val="16"/>
                <w:szCs w:val="16"/>
                <w:color w:val="auto"/>
              </w:rPr>
              <w:t>150 %</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71.3 %</w:t>
            </w:r>
          </w:p>
        </w:tc>
        <w:tc>
          <w:tcPr>
            <w:tcW w:w="1300" w:type="dxa"/>
            <w:vAlign w:val="bottom"/>
          </w:tcPr>
          <w:p>
            <w:pPr>
              <w:jc w:val="right"/>
              <w:spacing w:after="0"/>
              <w:rPr>
                <w:sz w:val="20"/>
                <w:szCs w:val="20"/>
                <w:color w:val="auto"/>
              </w:rPr>
            </w:pPr>
            <w:r>
              <w:rPr>
                <w:rFonts w:ascii="Arial" w:cs="Arial" w:eastAsia="Arial" w:hAnsi="Arial"/>
                <w:sz w:val="16"/>
                <w:szCs w:val="16"/>
                <w:color w:val="auto"/>
              </w:rPr>
              <w:t>52.2 %</w:t>
            </w:r>
          </w:p>
        </w:tc>
      </w:tr>
      <w:tr>
        <w:trPr>
          <w:trHeight w:val="244"/>
        </w:trPr>
        <w:tc>
          <w:tcPr>
            <w:tcW w:w="1700" w:type="dxa"/>
            <w:vAlign w:val="bottom"/>
            <w:tcBorders>
              <w:bottom w:val="single" w:sz="8" w:color="auto"/>
            </w:tcBorders>
            <w:shd w:val="clear" w:color="auto" w:fill="EDF0FC"/>
          </w:tcPr>
          <w:p>
            <w:pPr>
              <w:ind w:left="20"/>
              <w:spacing w:after="0"/>
              <w:rPr>
                <w:sz w:val="20"/>
                <w:szCs w:val="20"/>
                <w:color w:val="auto"/>
              </w:rPr>
            </w:pPr>
            <w:r>
              <w:rPr>
                <w:rFonts w:ascii="Arial" w:cs="Arial" w:eastAsia="Arial" w:hAnsi="Arial"/>
                <w:sz w:val="16"/>
                <w:szCs w:val="16"/>
                <w:color w:val="auto"/>
              </w:rPr>
              <w:t>Free Cash Flow</w:t>
            </w:r>
          </w:p>
        </w:tc>
        <w:tc>
          <w:tcPr>
            <w:tcW w:w="860" w:type="dxa"/>
            <w:vAlign w:val="bottom"/>
            <w:tcBorders>
              <w:bottom w:val="single" w:sz="8" w:color="auto"/>
            </w:tcBorders>
            <w:shd w:val="clear" w:color="auto" w:fill="EDF0FC"/>
          </w:tcPr>
          <w:p>
            <w:pPr>
              <w:jc w:val="right"/>
              <w:ind w:right="82"/>
              <w:spacing w:after="0"/>
              <w:rPr>
                <w:sz w:val="20"/>
                <w:szCs w:val="20"/>
                <w:color w:val="auto"/>
              </w:rPr>
            </w:pPr>
            <w:r>
              <w:rPr>
                <w:rFonts w:ascii="Arial" w:cs="Arial" w:eastAsia="Arial" w:hAnsi="Arial"/>
                <w:sz w:val="16"/>
                <w:szCs w:val="16"/>
                <w:color w:val="auto"/>
              </w:rPr>
              <w:t>1,257.3</w:t>
            </w:r>
          </w:p>
        </w:tc>
        <w:tc>
          <w:tcPr>
            <w:tcW w:w="1020" w:type="dxa"/>
            <w:vAlign w:val="bottom"/>
            <w:tcBorders>
              <w:bottom w:val="single" w:sz="8" w:color="auto"/>
            </w:tcBorders>
            <w:shd w:val="clear" w:color="auto" w:fill="EDF0FC"/>
          </w:tcPr>
          <w:p>
            <w:pPr>
              <w:jc w:val="right"/>
              <w:ind w:right="123"/>
              <w:spacing w:after="0"/>
              <w:rPr>
                <w:sz w:val="20"/>
                <w:szCs w:val="20"/>
                <w:color w:val="auto"/>
              </w:rPr>
            </w:pPr>
            <w:r>
              <w:rPr>
                <w:rFonts w:ascii="Arial" w:cs="Arial" w:eastAsia="Arial" w:hAnsi="Arial"/>
                <w:sz w:val="16"/>
                <w:szCs w:val="16"/>
                <w:color w:val="auto"/>
              </w:rPr>
              <w:t>85 %</w:t>
            </w:r>
          </w:p>
        </w:tc>
        <w:tc>
          <w:tcPr>
            <w:tcW w:w="1120" w:type="dxa"/>
            <w:vAlign w:val="bottom"/>
            <w:tcBorders>
              <w:bottom w:val="single" w:sz="8" w:color="auto"/>
            </w:tcBorders>
            <w:shd w:val="clear" w:color="auto" w:fill="EDF0FC"/>
          </w:tcPr>
          <w:p>
            <w:pPr>
              <w:jc w:val="right"/>
              <w:spacing w:after="0"/>
              <w:rPr>
                <w:sz w:val="20"/>
                <w:szCs w:val="20"/>
                <w:color w:val="auto"/>
              </w:rPr>
            </w:pPr>
            <w:r>
              <w:rPr>
                <w:rFonts w:ascii="Arial" w:cs="Arial" w:eastAsia="Arial" w:hAnsi="Arial"/>
                <w:sz w:val="16"/>
                <w:szCs w:val="16"/>
                <w:color w:val="auto"/>
              </w:rPr>
              <w:t>50 %</w:t>
            </w:r>
          </w:p>
        </w:tc>
        <w:tc>
          <w:tcPr>
            <w:tcW w:w="80" w:type="dxa"/>
            <w:vAlign w:val="bottom"/>
            <w:tcBorders>
              <w:bottom w:val="single" w:sz="8" w:color="auto"/>
            </w:tcBorders>
            <w:shd w:val="clear" w:color="auto" w:fill="EDF0FC"/>
          </w:tcPr>
          <w:p>
            <w:pPr>
              <w:spacing w:after="0"/>
              <w:rPr>
                <w:sz w:val="21"/>
                <w:szCs w:val="21"/>
                <w:color w:val="auto"/>
              </w:rPr>
            </w:pPr>
          </w:p>
        </w:tc>
        <w:tc>
          <w:tcPr>
            <w:tcW w:w="780" w:type="dxa"/>
            <w:vAlign w:val="bottom"/>
            <w:tcBorders>
              <w:bottom w:val="single" w:sz="8" w:color="auto"/>
            </w:tcBorders>
            <w:shd w:val="clear" w:color="auto" w:fill="EDF0FC"/>
          </w:tcPr>
          <w:p>
            <w:pPr>
              <w:jc w:val="right"/>
              <w:spacing w:after="0"/>
              <w:rPr>
                <w:sz w:val="20"/>
                <w:szCs w:val="20"/>
                <w:color w:val="auto"/>
              </w:rPr>
            </w:pPr>
            <w:r>
              <w:rPr>
                <w:rFonts w:ascii="Arial" w:cs="Arial" w:eastAsia="Arial" w:hAnsi="Arial"/>
                <w:sz w:val="16"/>
                <w:szCs w:val="16"/>
                <w:color w:val="auto"/>
              </w:rPr>
              <w:t>100 %</w:t>
            </w:r>
          </w:p>
        </w:tc>
        <w:tc>
          <w:tcPr>
            <w:tcW w:w="1280" w:type="dxa"/>
            <w:vAlign w:val="bottom"/>
            <w:tcBorders>
              <w:bottom w:val="single" w:sz="8" w:color="auto"/>
            </w:tcBorders>
            <w:shd w:val="clear" w:color="auto" w:fill="EDF0FC"/>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auto"/>
            </w:tcBorders>
            <w:shd w:val="clear" w:color="auto" w:fill="EDF0FC"/>
          </w:tcPr>
          <w:p>
            <w:pPr>
              <w:spacing w:after="0"/>
              <w:rPr>
                <w:sz w:val="21"/>
                <w:szCs w:val="21"/>
                <w:color w:val="auto"/>
              </w:rPr>
            </w:pPr>
          </w:p>
        </w:tc>
        <w:tc>
          <w:tcPr>
            <w:tcW w:w="940" w:type="dxa"/>
            <w:vAlign w:val="bottom"/>
            <w:tcBorders>
              <w:bottom w:val="single" w:sz="8" w:color="auto"/>
            </w:tcBorders>
            <w:shd w:val="clear" w:color="auto" w:fill="EDF0FC"/>
          </w:tcPr>
          <w:p>
            <w:pPr>
              <w:jc w:val="right"/>
              <w:ind w:right="123"/>
              <w:spacing w:after="0"/>
              <w:rPr>
                <w:sz w:val="20"/>
                <w:szCs w:val="20"/>
                <w:color w:val="auto"/>
              </w:rPr>
            </w:pPr>
            <w:r>
              <w:rPr>
                <w:rFonts w:ascii="Arial" w:cs="Arial" w:eastAsia="Arial" w:hAnsi="Arial"/>
                <w:sz w:val="16"/>
                <w:szCs w:val="16"/>
                <w:color w:val="auto"/>
              </w:rPr>
              <w:t>115 %</w:t>
            </w:r>
          </w:p>
        </w:tc>
        <w:tc>
          <w:tcPr>
            <w:tcW w:w="1100" w:type="dxa"/>
            <w:vAlign w:val="bottom"/>
            <w:tcBorders>
              <w:bottom w:val="single" w:sz="8" w:color="auto"/>
            </w:tcBorders>
            <w:shd w:val="clear" w:color="auto" w:fill="EDF0FC"/>
          </w:tcPr>
          <w:p>
            <w:pPr>
              <w:jc w:val="right"/>
              <w:spacing w:after="0"/>
              <w:rPr>
                <w:sz w:val="20"/>
                <w:szCs w:val="20"/>
                <w:color w:val="auto"/>
              </w:rPr>
            </w:pPr>
            <w:r>
              <w:rPr>
                <w:rFonts w:ascii="Arial" w:cs="Arial" w:eastAsia="Arial" w:hAnsi="Arial"/>
                <w:sz w:val="16"/>
                <w:szCs w:val="16"/>
                <w:color w:val="auto"/>
              </w:rPr>
              <w:t>150 %</w:t>
            </w:r>
          </w:p>
        </w:tc>
        <w:tc>
          <w:tcPr>
            <w:tcW w:w="100" w:type="dxa"/>
            <w:vAlign w:val="bottom"/>
            <w:tcBorders>
              <w:bottom w:val="single" w:sz="8" w:color="auto"/>
            </w:tcBorders>
            <w:shd w:val="clear" w:color="auto" w:fill="EDF0FC"/>
          </w:tcPr>
          <w:p>
            <w:pPr>
              <w:spacing w:after="0"/>
              <w:rPr>
                <w:sz w:val="21"/>
                <w:szCs w:val="21"/>
                <w:color w:val="auto"/>
              </w:rPr>
            </w:pPr>
          </w:p>
        </w:tc>
        <w:tc>
          <w:tcPr>
            <w:tcW w:w="860" w:type="dxa"/>
            <w:vAlign w:val="bottom"/>
            <w:tcBorders>
              <w:bottom w:val="single" w:sz="8" w:color="auto"/>
            </w:tcBorders>
            <w:shd w:val="clear" w:color="auto" w:fill="EDF0FC"/>
          </w:tcPr>
          <w:p>
            <w:pPr>
              <w:jc w:val="right"/>
              <w:spacing w:after="0"/>
              <w:rPr>
                <w:sz w:val="20"/>
                <w:szCs w:val="20"/>
                <w:color w:val="auto"/>
              </w:rPr>
            </w:pPr>
            <w:r>
              <w:rPr>
                <w:rFonts w:ascii="Arial" w:cs="Arial" w:eastAsia="Arial" w:hAnsi="Arial"/>
                <w:sz w:val="16"/>
                <w:szCs w:val="16"/>
                <w:color w:val="auto"/>
              </w:rPr>
              <w:t>110.3 %</w:t>
            </w:r>
          </w:p>
        </w:tc>
        <w:tc>
          <w:tcPr>
            <w:tcW w:w="1300" w:type="dxa"/>
            <w:vAlign w:val="bottom"/>
            <w:tcBorders>
              <w:bottom w:val="single" w:sz="8" w:color="auto"/>
            </w:tcBorders>
            <w:shd w:val="clear" w:color="auto" w:fill="EDF0FC"/>
          </w:tcPr>
          <w:p>
            <w:pPr>
              <w:jc w:val="right"/>
              <w:spacing w:after="0"/>
              <w:rPr>
                <w:sz w:val="20"/>
                <w:szCs w:val="20"/>
                <w:color w:val="auto"/>
              </w:rPr>
            </w:pPr>
            <w:r>
              <w:rPr>
                <w:rFonts w:ascii="Arial" w:cs="Arial" w:eastAsia="Arial" w:hAnsi="Arial"/>
                <w:sz w:val="16"/>
                <w:szCs w:val="16"/>
                <w:color w:val="auto"/>
              </w:rPr>
              <w:t>134.3 %</w:t>
            </w:r>
          </w:p>
        </w:tc>
      </w:tr>
    </w:tbl>
    <w:p>
      <w:pPr>
        <w:spacing w:after="0" w:line="165" w:lineRule="exact"/>
        <w:rPr>
          <w:sz w:val="20"/>
          <w:szCs w:val="20"/>
          <w:color w:val="auto"/>
        </w:rPr>
      </w:pPr>
    </w:p>
    <w:p>
      <w:pPr>
        <w:ind w:left="180" w:hanging="172"/>
        <w:spacing w:after="0"/>
        <w:tabs>
          <w:tab w:leader="none" w:pos="180" w:val="left"/>
        </w:tabs>
        <w:numPr>
          <w:ilvl w:val="0"/>
          <w:numId w:val="76"/>
        </w:numPr>
        <w:rPr>
          <w:rFonts w:ascii="Arial" w:cs="Arial" w:eastAsia="Arial" w:hAnsi="Arial"/>
          <w:sz w:val="19"/>
          <w:szCs w:val="19"/>
          <w:color w:val="auto"/>
          <w:vertAlign w:val="superscript"/>
        </w:rPr>
      </w:pPr>
      <w:r>
        <w:rPr>
          <w:rFonts w:ascii="Arial" w:cs="Arial" w:eastAsia="Arial" w:hAnsi="Arial"/>
          <w:sz w:val="14"/>
          <w:szCs w:val="14"/>
          <w:color w:val="auto"/>
        </w:rPr>
        <w:t>Except adjusted EPS, which is not stated in millions.</w:t>
      </w:r>
    </w:p>
    <w:p>
      <w:pPr>
        <w:spacing w:after="0" w:line="102"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In accordance with its authority under the AIP, the Compensation Committee has a regular practice of reviewing financial and operating targets and making equitable adjustments if necessary to account for the impact of acquisitions or as equitable to avoid undue harm. When such an adjustment is made, the impact of the adjustment is the same for all similarly situated participants, including our NEOs. In determining the 2024 actual cash incentive amounts, the Compensation Committee made certain adjustments to the target financial metrics under, and in accordance with the terms of, the AIP, which permits the Compensation Committee to make equitable adjustments, in whole or in part, to any performance measures for certain events specified in the AIP, including the effect of any acquisition.</w:t>
      </w:r>
    </w:p>
    <w:p>
      <w:pPr>
        <w:spacing w:after="0" w:line="6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Accordingly, the Compensation Committee made adjustments to the metrics listed below to take into account the impact resulting from the acquisition of Foxberry Ltd., which was completed on April 16, 2024. The Compensation Committee believes that these acquisition-related adjustments are consistent with our compensation philosophy and compensation practices and were appropriate to account for an unusual event that was not initially included in the Company’s operating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8420"/>
              <w:spacing w:after="0"/>
              <w:rPr>
                <w:sz w:val="20"/>
                <w:szCs w:val="20"/>
                <w:color w:val="auto"/>
              </w:rPr>
            </w:pPr>
            <w:r>
              <w:rPr>
                <w:rFonts w:ascii="Arial" w:cs="Arial" w:eastAsia="Arial" w:hAnsi="Arial"/>
                <w:sz w:val="14"/>
                <w:szCs w:val="14"/>
                <w:b w:val="1"/>
                <w:bCs w:val="1"/>
                <w:color w:val="1A3FD6"/>
              </w:rPr>
              <w:t>Compensation Matters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71</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4000" w:type="dxa"/>
            <w:vAlign w:val="bottom"/>
          </w:tcPr>
          <w:p>
            <w:pPr>
              <w:jc w:val="right"/>
              <w:ind w:right="387"/>
              <w:spacing w:after="0"/>
              <w:rPr>
                <w:sz w:val="20"/>
                <w:szCs w:val="20"/>
                <w:color w:val="auto"/>
              </w:rPr>
            </w:pPr>
            <w:r>
              <w:rPr>
                <w:rFonts w:ascii="Arial" w:cs="Arial" w:eastAsia="Arial" w:hAnsi="Arial"/>
                <w:sz w:val="14"/>
                <w:szCs w:val="14"/>
                <w:b w:val="1"/>
                <w:bCs w:val="1"/>
                <w:color w:val="auto"/>
              </w:rPr>
              <w:t>Original Target</w:t>
            </w:r>
          </w:p>
        </w:tc>
        <w:tc>
          <w:tcPr>
            <w:tcW w:w="1660" w:type="dxa"/>
            <w:vAlign w:val="bottom"/>
          </w:tcPr>
          <w:p>
            <w:pPr>
              <w:jc w:val="right"/>
              <w:ind w:right="267"/>
              <w:spacing w:after="0"/>
              <w:rPr>
                <w:sz w:val="20"/>
                <w:szCs w:val="20"/>
                <w:color w:val="auto"/>
              </w:rPr>
            </w:pPr>
            <w:r>
              <w:rPr>
                <w:rFonts w:ascii="Arial" w:cs="Arial" w:eastAsia="Arial" w:hAnsi="Arial"/>
                <w:sz w:val="14"/>
                <w:szCs w:val="14"/>
                <w:b w:val="1"/>
                <w:bCs w:val="1"/>
                <w:color w:val="auto"/>
              </w:rPr>
              <w:t>Adjustments</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Adjusted Target</w:t>
            </w:r>
          </w:p>
        </w:tc>
      </w:tr>
      <w:tr>
        <w:trPr>
          <w:trHeight w:val="214"/>
        </w:trPr>
        <w:tc>
          <w:tcPr>
            <w:tcW w:w="414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Metrics</w:t>
            </w:r>
          </w:p>
        </w:tc>
        <w:tc>
          <w:tcPr>
            <w:tcW w:w="4000" w:type="dxa"/>
            <w:vAlign w:val="bottom"/>
            <w:tcBorders>
              <w:bottom w:val="single" w:sz="8" w:color="1A3FD6"/>
            </w:tcBorders>
          </w:tcPr>
          <w:p>
            <w:pPr>
              <w:jc w:val="right"/>
              <w:ind w:right="387"/>
              <w:spacing w:after="0" w:line="214" w:lineRule="exact"/>
              <w:rPr>
                <w:sz w:val="20"/>
                <w:szCs w:val="20"/>
                <w:color w:val="auto"/>
              </w:rPr>
            </w:pPr>
            <w:r>
              <w:rPr>
                <w:rFonts w:ascii="Arial" w:cs="Arial" w:eastAsia="Arial" w:hAnsi="Arial"/>
                <w:sz w:val="24"/>
                <w:szCs w:val="24"/>
                <w:b w:val="1"/>
                <w:bCs w:val="1"/>
                <w:color w:val="auto"/>
                <w:vertAlign w:val="subscript"/>
              </w:rPr>
              <w:t>$mm</w:t>
            </w:r>
            <w:r>
              <w:rPr>
                <w:rFonts w:ascii="Arial" w:cs="Arial" w:eastAsia="Arial" w:hAnsi="Arial"/>
                <w:sz w:val="9"/>
                <w:szCs w:val="9"/>
                <w:b w:val="1"/>
                <w:bCs w:val="1"/>
                <w:color w:val="auto"/>
              </w:rPr>
              <w:t>(1)</w:t>
            </w:r>
          </w:p>
        </w:tc>
        <w:tc>
          <w:tcPr>
            <w:tcW w:w="1660" w:type="dxa"/>
            <w:vAlign w:val="bottom"/>
            <w:tcBorders>
              <w:bottom w:val="single" w:sz="8" w:color="1A3FD6"/>
            </w:tcBorders>
          </w:tcPr>
          <w:p>
            <w:pPr>
              <w:jc w:val="right"/>
              <w:ind w:right="267"/>
              <w:spacing w:after="0" w:line="214" w:lineRule="exact"/>
              <w:rPr>
                <w:sz w:val="20"/>
                <w:szCs w:val="20"/>
                <w:color w:val="auto"/>
              </w:rPr>
            </w:pPr>
            <w:r>
              <w:rPr>
                <w:rFonts w:ascii="Arial" w:cs="Arial" w:eastAsia="Arial" w:hAnsi="Arial"/>
                <w:sz w:val="24"/>
                <w:szCs w:val="24"/>
                <w:b w:val="1"/>
                <w:bCs w:val="1"/>
                <w:color w:val="auto"/>
                <w:vertAlign w:val="subscript"/>
              </w:rPr>
              <w:t>$mm</w:t>
            </w:r>
            <w:r>
              <w:rPr>
                <w:rFonts w:ascii="Arial" w:cs="Arial" w:eastAsia="Arial" w:hAnsi="Arial"/>
                <w:sz w:val="9"/>
                <w:szCs w:val="9"/>
                <w:b w:val="1"/>
                <w:bCs w:val="1"/>
                <w:color w:val="auto"/>
              </w:rPr>
              <w:t>(1)</w:t>
            </w:r>
          </w:p>
        </w:tc>
        <w:tc>
          <w:tcPr>
            <w:tcW w:w="1440" w:type="dxa"/>
            <w:vAlign w:val="bottom"/>
            <w:tcBorders>
              <w:bottom w:val="single" w:sz="8" w:color="1A3FD6"/>
            </w:tcBorders>
          </w:tcPr>
          <w:p>
            <w:pPr>
              <w:jc w:val="right"/>
              <w:spacing w:after="0" w:line="214" w:lineRule="exact"/>
              <w:rPr>
                <w:sz w:val="20"/>
                <w:szCs w:val="20"/>
                <w:color w:val="auto"/>
              </w:rPr>
            </w:pPr>
            <w:r>
              <w:rPr>
                <w:rFonts w:ascii="Arial" w:cs="Arial" w:eastAsia="Arial" w:hAnsi="Arial"/>
                <w:sz w:val="24"/>
                <w:szCs w:val="24"/>
                <w:b w:val="1"/>
                <w:bCs w:val="1"/>
                <w:color w:val="auto"/>
                <w:vertAlign w:val="subscript"/>
              </w:rPr>
              <w:t>$mm</w:t>
            </w:r>
            <w:r>
              <w:rPr>
                <w:rFonts w:ascii="Arial" w:cs="Arial" w:eastAsia="Arial" w:hAnsi="Arial"/>
                <w:sz w:val="9"/>
                <w:szCs w:val="9"/>
                <w:b w:val="1"/>
                <w:bCs w:val="1"/>
                <w:color w:val="auto"/>
              </w:rPr>
              <w:t>(1)</w:t>
            </w:r>
          </w:p>
        </w:tc>
      </w:tr>
      <w:tr>
        <w:trPr>
          <w:trHeight w:val="229"/>
        </w:trPr>
        <w:tc>
          <w:tcPr>
            <w:tcW w:w="4140" w:type="dxa"/>
            <w:vAlign w:val="bottom"/>
          </w:tcPr>
          <w:p>
            <w:pPr>
              <w:ind w:left="20"/>
              <w:spacing w:after="0"/>
              <w:rPr>
                <w:sz w:val="20"/>
                <w:szCs w:val="20"/>
                <w:color w:val="auto"/>
              </w:rPr>
            </w:pPr>
            <w:r>
              <w:rPr>
                <w:rFonts w:ascii="Arial" w:cs="Arial" w:eastAsia="Arial" w:hAnsi="Arial"/>
                <w:sz w:val="16"/>
                <w:szCs w:val="16"/>
                <w:color w:val="auto"/>
              </w:rPr>
              <w:t>MSCI Revenue</w:t>
            </w:r>
          </w:p>
        </w:tc>
        <w:tc>
          <w:tcPr>
            <w:tcW w:w="4000" w:type="dxa"/>
            <w:vAlign w:val="bottom"/>
          </w:tcPr>
          <w:p>
            <w:pPr>
              <w:jc w:val="right"/>
              <w:ind w:right="427"/>
              <w:spacing w:after="0"/>
              <w:rPr>
                <w:sz w:val="20"/>
                <w:szCs w:val="20"/>
                <w:color w:val="auto"/>
              </w:rPr>
            </w:pPr>
            <w:r>
              <w:rPr>
                <w:rFonts w:ascii="Arial" w:cs="Arial" w:eastAsia="Arial" w:hAnsi="Arial"/>
                <w:sz w:val="16"/>
                <w:szCs w:val="16"/>
                <w:color w:val="auto"/>
              </w:rPr>
              <w:t>2,831.2</w:t>
            </w:r>
          </w:p>
        </w:tc>
        <w:tc>
          <w:tcPr>
            <w:tcW w:w="1660" w:type="dxa"/>
            <w:vAlign w:val="bottom"/>
          </w:tcPr>
          <w:p>
            <w:pPr>
              <w:jc w:val="right"/>
              <w:ind w:right="327"/>
              <w:spacing w:after="0"/>
              <w:rPr>
                <w:sz w:val="20"/>
                <w:szCs w:val="20"/>
                <w:color w:val="auto"/>
              </w:rPr>
            </w:pPr>
            <w:r>
              <w:rPr>
                <w:rFonts w:ascii="Arial" w:cs="Arial" w:eastAsia="Arial" w:hAnsi="Arial"/>
                <w:sz w:val="16"/>
                <w:szCs w:val="16"/>
                <w:color w:val="auto"/>
              </w:rPr>
              <w:t>3.4</w:t>
            </w:r>
          </w:p>
        </w:tc>
        <w:tc>
          <w:tcPr>
            <w:tcW w:w="1440" w:type="dxa"/>
            <w:vAlign w:val="bottom"/>
          </w:tcPr>
          <w:p>
            <w:pPr>
              <w:jc w:val="right"/>
              <w:ind w:right="7"/>
              <w:spacing w:after="0"/>
              <w:rPr>
                <w:sz w:val="20"/>
                <w:szCs w:val="20"/>
                <w:color w:val="auto"/>
              </w:rPr>
            </w:pPr>
            <w:r>
              <w:rPr>
                <w:rFonts w:ascii="Arial" w:cs="Arial" w:eastAsia="Arial" w:hAnsi="Arial"/>
                <w:sz w:val="16"/>
                <w:szCs w:val="16"/>
                <w:color w:val="auto"/>
              </w:rPr>
              <w:t>2,834.6</w:t>
            </w:r>
          </w:p>
        </w:tc>
      </w:tr>
      <w:tr>
        <w:trPr>
          <w:trHeight w:val="251"/>
        </w:trPr>
        <w:tc>
          <w:tcPr>
            <w:tcW w:w="4140" w:type="dxa"/>
            <w:vAlign w:val="bottom"/>
            <w:shd w:val="clear" w:color="auto" w:fill="EDF0FC"/>
          </w:tcPr>
          <w:p>
            <w:pPr>
              <w:ind w:left="20"/>
              <w:spacing w:after="0"/>
              <w:rPr>
                <w:sz w:val="20"/>
                <w:szCs w:val="20"/>
                <w:color w:val="auto"/>
              </w:rPr>
            </w:pPr>
            <w:r>
              <w:rPr>
                <w:rFonts w:ascii="Arial" w:cs="Arial" w:eastAsia="Arial" w:hAnsi="Arial"/>
                <w:sz w:val="16"/>
                <w:szCs w:val="16"/>
                <w:color w:val="auto"/>
              </w:rPr>
              <w:t>MSCI Adjusted EPS</w:t>
            </w:r>
          </w:p>
        </w:tc>
        <w:tc>
          <w:tcPr>
            <w:tcW w:w="4000" w:type="dxa"/>
            <w:vAlign w:val="bottom"/>
            <w:shd w:val="clear" w:color="auto" w:fill="EDF0FC"/>
          </w:tcPr>
          <w:p>
            <w:pPr>
              <w:jc w:val="right"/>
              <w:ind w:right="427"/>
              <w:spacing w:after="0"/>
              <w:rPr>
                <w:sz w:val="20"/>
                <w:szCs w:val="20"/>
                <w:color w:val="auto"/>
              </w:rPr>
            </w:pPr>
            <w:r>
              <w:rPr>
                <w:rFonts w:ascii="Arial" w:cs="Arial" w:eastAsia="Arial" w:hAnsi="Arial"/>
                <w:sz w:val="16"/>
                <w:szCs w:val="16"/>
                <w:color w:val="auto"/>
              </w:rPr>
              <w:t>14.46</w:t>
            </w:r>
          </w:p>
        </w:tc>
        <w:tc>
          <w:tcPr>
            <w:tcW w:w="1660" w:type="dxa"/>
            <w:vAlign w:val="bottom"/>
            <w:shd w:val="clear" w:color="auto" w:fill="EDF0FC"/>
          </w:tcPr>
          <w:p>
            <w:pPr>
              <w:jc w:val="right"/>
              <w:ind w:right="327"/>
              <w:spacing w:after="0"/>
              <w:rPr>
                <w:sz w:val="20"/>
                <w:szCs w:val="20"/>
                <w:color w:val="auto"/>
              </w:rPr>
            </w:pPr>
            <w:r>
              <w:rPr>
                <w:rFonts w:ascii="Arial" w:cs="Arial" w:eastAsia="Arial" w:hAnsi="Arial"/>
                <w:sz w:val="16"/>
                <w:szCs w:val="16"/>
                <w:color w:val="auto"/>
              </w:rPr>
              <w:t>-0.07</w:t>
            </w:r>
          </w:p>
        </w:tc>
        <w:tc>
          <w:tcPr>
            <w:tcW w:w="1440" w:type="dxa"/>
            <w:vAlign w:val="bottom"/>
            <w:shd w:val="clear" w:color="auto" w:fill="EDF0FC"/>
          </w:tcPr>
          <w:p>
            <w:pPr>
              <w:jc w:val="right"/>
              <w:ind w:right="7"/>
              <w:spacing w:after="0"/>
              <w:rPr>
                <w:sz w:val="20"/>
                <w:szCs w:val="20"/>
                <w:color w:val="auto"/>
              </w:rPr>
            </w:pPr>
            <w:r>
              <w:rPr>
                <w:rFonts w:ascii="Arial" w:cs="Arial" w:eastAsia="Arial" w:hAnsi="Arial"/>
                <w:sz w:val="16"/>
                <w:szCs w:val="16"/>
                <w:color w:val="auto"/>
              </w:rPr>
              <w:t>14.39</w:t>
            </w:r>
          </w:p>
        </w:tc>
      </w:tr>
      <w:tr>
        <w:trPr>
          <w:trHeight w:val="235"/>
        </w:trPr>
        <w:tc>
          <w:tcPr>
            <w:tcW w:w="4140" w:type="dxa"/>
            <w:vAlign w:val="bottom"/>
          </w:tcPr>
          <w:p>
            <w:pPr>
              <w:ind w:left="20"/>
              <w:spacing w:after="0"/>
              <w:rPr>
                <w:sz w:val="20"/>
                <w:szCs w:val="20"/>
                <w:color w:val="auto"/>
              </w:rPr>
            </w:pPr>
            <w:r>
              <w:rPr>
                <w:rFonts w:ascii="Arial" w:cs="Arial" w:eastAsia="Arial" w:hAnsi="Arial"/>
                <w:sz w:val="16"/>
                <w:szCs w:val="16"/>
                <w:color w:val="auto"/>
              </w:rPr>
              <w:t>MSCI Total Net Sales</w:t>
            </w:r>
          </w:p>
        </w:tc>
        <w:tc>
          <w:tcPr>
            <w:tcW w:w="4000" w:type="dxa"/>
            <w:vAlign w:val="bottom"/>
          </w:tcPr>
          <w:p>
            <w:pPr>
              <w:jc w:val="right"/>
              <w:ind w:right="427"/>
              <w:spacing w:after="0"/>
              <w:rPr>
                <w:sz w:val="20"/>
                <w:szCs w:val="20"/>
                <w:color w:val="auto"/>
              </w:rPr>
            </w:pPr>
            <w:r>
              <w:rPr>
                <w:rFonts w:ascii="Arial" w:cs="Arial" w:eastAsia="Arial" w:hAnsi="Arial"/>
                <w:sz w:val="16"/>
                <w:szCs w:val="16"/>
                <w:color w:val="auto"/>
              </w:rPr>
              <w:t>321.7</w:t>
            </w:r>
          </w:p>
        </w:tc>
        <w:tc>
          <w:tcPr>
            <w:tcW w:w="1660" w:type="dxa"/>
            <w:vAlign w:val="bottom"/>
          </w:tcPr>
          <w:p>
            <w:pPr>
              <w:jc w:val="right"/>
              <w:ind w:right="327"/>
              <w:spacing w:after="0"/>
              <w:rPr>
                <w:sz w:val="20"/>
                <w:szCs w:val="20"/>
                <w:color w:val="auto"/>
              </w:rPr>
            </w:pPr>
            <w:r>
              <w:rPr>
                <w:rFonts w:ascii="Arial" w:cs="Arial" w:eastAsia="Arial" w:hAnsi="Arial"/>
                <w:sz w:val="16"/>
                <w:szCs w:val="16"/>
                <w:color w:val="auto"/>
              </w:rPr>
              <w:t>6.9</w:t>
            </w:r>
          </w:p>
        </w:tc>
        <w:tc>
          <w:tcPr>
            <w:tcW w:w="1440" w:type="dxa"/>
            <w:vAlign w:val="bottom"/>
          </w:tcPr>
          <w:p>
            <w:pPr>
              <w:jc w:val="right"/>
              <w:ind w:right="7"/>
              <w:spacing w:after="0"/>
              <w:rPr>
                <w:sz w:val="20"/>
                <w:szCs w:val="20"/>
                <w:color w:val="auto"/>
              </w:rPr>
            </w:pPr>
            <w:r>
              <w:rPr>
                <w:rFonts w:ascii="Arial" w:cs="Arial" w:eastAsia="Arial" w:hAnsi="Arial"/>
                <w:sz w:val="16"/>
                <w:szCs w:val="16"/>
                <w:color w:val="auto"/>
              </w:rPr>
              <w:t>328.6</w:t>
            </w:r>
          </w:p>
        </w:tc>
      </w:tr>
      <w:tr>
        <w:trPr>
          <w:trHeight w:val="244"/>
        </w:trPr>
        <w:tc>
          <w:tcPr>
            <w:tcW w:w="4140" w:type="dxa"/>
            <w:vAlign w:val="bottom"/>
            <w:tcBorders>
              <w:bottom w:val="single" w:sz="8" w:color="auto"/>
            </w:tcBorders>
            <w:shd w:val="clear" w:color="auto" w:fill="EDF0FC"/>
          </w:tcPr>
          <w:p>
            <w:pPr>
              <w:ind w:left="20"/>
              <w:spacing w:after="0"/>
              <w:rPr>
                <w:sz w:val="20"/>
                <w:szCs w:val="20"/>
                <w:color w:val="auto"/>
              </w:rPr>
            </w:pPr>
            <w:r>
              <w:rPr>
                <w:rFonts w:ascii="Arial" w:cs="Arial" w:eastAsia="Arial" w:hAnsi="Arial"/>
                <w:sz w:val="16"/>
                <w:szCs w:val="16"/>
                <w:color w:val="auto"/>
              </w:rPr>
              <w:t>MSCI Free Cash Flow</w:t>
            </w:r>
          </w:p>
        </w:tc>
        <w:tc>
          <w:tcPr>
            <w:tcW w:w="4000" w:type="dxa"/>
            <w:vAlign w:val="bottom"/>
            <w:tcBorders>
              <w:bottom w:val="single" w:sz="8" w:color="auto"/>
            </w:tcBorders>
            <w:shd w:val="clear" w:color="auto" w:fill="EDF0FC"/>
          </w:tcPr>
          <w:p>
            <w:pPr>
              <w:jc w:val="right"/>
              <w:ind w:right="427"/>
              <w:spacing w:after="0"/>
              <w:rPr>
                <w:sz w:val="20"/>
                <w:szCs w:val="20"/>
                <w:color w:val="auto"/>
              </w:rPr>
            </w:pPr>
            <w:r>
              <w:rPr>
                <w:rFonts w:ascii="Arial" w:cs="Arial" w:eastAsia="Arial" w:hAnsi="Arial"/>
                <w:sz w:val="16"/>
                <w:szCs w:val="16"/>
                <w:color w:val="auto"/>
              </w:rPr>
              <w:t>1,257.3</w:t>
            </w:r>
          </w:p>
        </w:tc>
        <w:tc>
          <w:tcPr>
            <w:tcW w:w="1660" w:type="dxa"/>
            <w:vAlign w:val="bottom"/>
            <w:tcBorders>
              <w:bottom w:val="single" w:sz="8" w:color="auto"/>
            </w:tcBorders>
            <w:shd w:val="clear" w:color="auto" w:fill="EDF0FC"/>
          </w:tcPr>
          <w:p>
            <w:pPr>
              <w:jc w:val="right"/>
              <w:ind w:right="327"/>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EDF0FC"/>
          </w:tcPr>
          <w:p>
            <w:pPr>
              <w:jc w:val="right"/>
              <w:ind w:right="7"/>
              <w:spacing w:after="0"/>
              <w:rPr>
                <w:sz w:val="20"/>
                <w:szCs w:val="20"/>
                <w:color w:val="auto"/>
              </w:rPr>
            </w:pPr>
            <w:r>
              <w:rPr>
                <w:rFonts w:ascii="Arial" w:cs="Arial" w:eastAsia="Arial" w:hAnsi="Arial"/>
                <w:sz w:val="16"/>
                <w:szCs w:val="16"/>
                <w:color w:val="auto"/>
              </w:rPr>
              <w:t>1,257.3</w:t>
            </w:r>
          </w:p>
        </w:tc>
      </w:tr>
    </w:tbl>
    <w:p>
      <w:pPr>
        <w:spacing w:after="0" w:line="165" w:lineRule="exact"/>
        <w:rPr>
          <w:sz w:val="20"/>
          <w:szCs w:val="20"/>
          <w:color w:val="auto"/>
        </w:rPr>
      </w:pPr>
    </w:p>
    <w:p>
      <w:pPr>
        <w:ind w:left="180" w:hanging="172"/>
        <w:spacing w:after="0"/>
        <w:tabs>
          <w:tab w:leader="none" w:pos="180" w:val="left"/>
        </w:tabs>
        <w:numPr>
          <w:ilvl w:val="0"/>
          <w:numId w:val="77"/>
        </w:numPr>
        <w:rPr>
          <w:rFonts w:ascii="Arial" w:cs="Arial" w:eastAsia="Arial" w:hAnsi="Arial"/>
          <w:sz w:val="19"/>
          <w:szCs w:val="19"/>
          <w:color w:val="auto"/>
          <w:vertAlign w:val="superscript"/>
        </w:rPr>
      </w:pPr>
      <w:r>
        <w:rPr>
          <w:rFonts w:ascii="Arial" w:cs="Arial" w:eastAsia="Arial" w:hAnsi="Arial"/>
          <w:sz w:val="14"/>
          <w:szCs w:val="14"/>
          <w:color w:val="auto"/>
        </w:rPr>
        <w:t>Except adjusted EPS, which is not stated in millions.</w:t>
      </w:r>
    </w:p>
    <w:p>
      <w:pPr>
        <w:spacing w:after="0" w:line="102"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Prior to the adjustments described above, the combined performance achievement for all metrics under the financial component of the AIP for 2024 was 94.8% of target. The adjustments resulted in an impact of -0.5% on the combined performance achievement largely due to eliminating the impact of additional revenue and net sales resulting from the acquisition. As a result, the adjustments lowered the combined performance achievement for all metrics under the financial component of the AIP for 2024 to 94.3% of target for relevant participants, including our NEOs.</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1A3FD6"/>
        </w:rPr>
        <w:t>Individual Goals Component</w:t>
      </w:r>
    </w:p>
    <w:p>
      <w:pPr>
        <w:spacing w:after="0" w:line="85" w:lineRule="exact"/>
        <w:rPr>
          <w:sz w:val="20"/>
          <w:szCs w:val="20"/>
          <w:color w:val="auto"/>
        </w:rPr>
      </w:pPr>
    </w:p>
    <w:p>
      <w:pPr>
        <w:jc w:val="both"/>
        <w:ind w:right="220"/>
        <w:spacing w:after="0" w:line="292" w:lineRule="auto"/>
        <w:rPr>
          <w:sz w:val="20"/>
          <w:szCs w:val="20"/>
          <w:color w:val="auto"/>
        </w:rPr>
      </w:pPr>
      <w:r>
        <w:rPr>
          <w:rFonts w:ascii="Arial" w:cs="Arial" w:eastAsia="Arial" w:hAnsi="Arial"/>
          <w:sz w:val="16"/>
          <w:szCs w:val="16"/>
          <w:color w:val="auto"/>
        </w:rPr>
        <w:t>The Compensation Committee believes that including individual goals in the AIP provides an opportunity to assess individual performance against specific objectives as well as progress against multi-year efforts. The Compensation Committee regularly assesses the individual, non-financial components of the AIP, their weighting and relevant shareholder feedback.</w:t>
      </w:r>
    </w:p>
    <w:p>
      <w:pPr>
        <w:spacing w:after="0" w:line="71"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In 2024, the individual goals components for members of the Management Committee, including our NEOs, consisted of key performance indicators (KPIs) at 20% and Sustainability Goals at 10%, supporting the evaluation of both business-driven and sustainability priorities. The Sustainability Goals linked a portion of AIP target compensation to sustainability efforts aligned with our long-term strategy and objectives.</w:t>
      </w:r>
    </w:p>
    <w:p>
      <w:pPr>
        <w:spacing w:after="0" w:line="71"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Our Executive Accountability Framework established the philosophy and process for assessing individual sustainability performance, evaluating senior leaders, including our NEOs, on a range of factors, such as corporate culture, talent development and retention, and leadership effectiveness, all of which were reviewed by the Compensation Committee to ensure alignment with our broader corporate strategy.</w:t>
      </w:r>
    </w:p>
    <w:p>
      <w:pPr>
        <w:spacing w:after="0" w:line="57" w:lineRule="exact"/>
        <w:rPr>
          <w:sz w:val="20"/>
          <w:szCs w:val="20"/>
          <w:color w:val="auto"/>
        </w:rPr>
      </w:pPr>
    </w:p>
    <w:p>
      <w:pPr>
        <w:ind w:right="560"/>
        <w:spacing w:after="0" w:line="321" w:lineRule="auto"/>
        <w:rPr>
          <w:sz w:val="20"/>
          <w:szCs w:val="20"/>
          <w:color w:val="auto"/>
        </w:rPr>
      </w:pPr>
      <w:r>
        <w:rPr>
          <w:rFonts w:ascii="Arial" w:cs="Arial" w:eastAsia="Arial" w:hAnsi="Arial"/>
          <w:sz w:val="16"/>
          <w:szCs w:val="16"/>
          <w:color w:val="auto"/>
        </w:rPr>
        <w:t>In 2024, the Compensation Committee based its assessment of each of our NEOs on its evaluation of the Company’s performance and the individual performance of each NEO. See page 60 for information on the Company’s financial performance.</w:t>
      </w:r>
    </w:p>
    <w:p>
      <w:pPr>
        <w:spacing w:after="0" w:line="48"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For 2025, the Compensation Committee is evaluating refinements to the individual goals components of the AIP for Managing Directors, including our NEOs, with the purpose of strengthening accountability, further aligning incentives with MSCI’s long-term business objectives and ensuring a more structured, measurable approach to individual goal assessment. Any changes will be designed to reinforce MSCI’s pay-for-performance culture while maintaining flexibility to adapt to evolving business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73" w:name="page74"/>
    <w:bookmarkEnd w:id="73"/>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72</w:t>
      </w:r>
      <w:r>
        <w:rPr>
          <w:sz w:val="20"/>
          <w:szCs w:val="20"/>
          <w:color w:val="auto"/>
        </w:rPr>
        <w:tab/>
      </w:r>
      <w:r>
        <w:rPr>
          <w:rFonts w:ascii="Arial" w:cs="Arial" w:eastAsia="Arial" w:hAnsi="Arial"/>
          <w:sz w:val="14"/>
          <w:szCs w:val="14"/>
          <w:b w:val="1"/>
          <w:bCs w:val="1"/>
          <w:color w:val="1A3FD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3086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HENRY A. FERNANDEZ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3086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8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Chairman and Chief Executive Officer</w:t>
      </w:r>
    </w:p>
    <w:p>
      <w:pPr>
        <w:spacing w:after="0" w:line="397" w:lineRule="exact"/>
        <w:rPr>
          <w:sz w:val="20"/>
          <w:szCs w:val="20"/>
          <w:color w:val="auto"/>
        </w:rPr>
      </w:pPr>
    </w:p>
    <w:p>
      <w:pPr>
        <w:ind w:left="100" w:right="120"/>
        <w:spacing w:after="0" w:line="310" w:lineRule="auto"/>
        <w:rPr>
          <w:sz w:val="20"/>
          <w:szCs w:val="20"/>
          <w:color w:val="auto"/>
        </w:rPr>
      </w:pPr>
      <w:r>
        <w:rPr>
          <w:rFonts w:ascii="Arial" w:cs="Arial" w:eastAsia="Arial" w:hAnsi="Arial"/>
          <w:sz w:val="16"/>
          <w:szCs w:val="16"/>
          <w:color w:val="auto"/>
        </w:rPr>
        <w:t>The Compensation Committee recognized Mr. Fernandez for his exceptional leadership in 2024, a year in which MSCI achieved milestones across financial performance, strategic acquisitions, AI innovation and cultural processes, which have positioned MSCI for long-term value creation and sustained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58375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58375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2120"/>
        <w:spacing w:after="0"/>
        <w:tabs>
          <w:tab w:leader="none" w:pos="2280" w:val="left"/>
        </w:tabs>
        <w:rPr>
          <w:sz w:val="20"/>
          <w:szCs w:val="20"/>
          <w:color w:val="auto"/>
        </w:rPr>
      </w:pPr>
      <w:r>
        <w:rPr>
          <w:rFonts w:ascii="Arial" w:cs="Arial" w:eastAsia="Arial" w:hAnsi="Arial"/>
          <w:sz w:val="16"/>
          <w:szCs w:val="16"/>
          <w:color w:val="1A3FD6"/>
        </w:rPr>
        <w:t>•</w:t>
      </w:r>
      <w:r>
        <w:rPr>
          <w:rFonts w:ascii="Arial" w:cs="Arial" w:eastAsia="Arial" w:hAnsi="Arial"/>
          <w:sz w:val="16"/>
          <w:szCs w:val="16"/>
          <w:color w:val="auto"/>
        </w:rPr>
        <w:tab/>
        <w:t>Delivered strong financial results, including:</w:t>
      </w:r>
    </w:p>
    <w:p>
      <w:pPr>
        <w:spacing w:after="0" w:line="40" w:lineRule="exact"/>
        <w:rPr>
          <w:sz w:val="20"/>
          <w:szCs w:val="20"/>
          <w:color w:val="auto"/>
        </w:rPr>
      </w:pPr>
    </w:p>
    <w:p>
      <w:pPr>
        <w:ind w:left="2300"/>
        <w:spacing w:after="0"/>
        <w:tabs>
          <w:tab w:leader="none" w:pos="2480" w:val="left"/>
        </w:tabs>
        <w:rPr>
          <w:sz w:val="20"/>
          <w:szCs w:val="20"/>
          <w:color w:val="auto"/>
        </w:rPr>
      </w:pPr>
      <w:r>
        <w:rPr>
          <w:rFonts w:ascii="Arial" w:cs="Arial" w:eastAsia="Arial" w:hAnsi="Arial"/>
          <w:sz w:val="16"/>
          <w:szCs w:val="16"/>
          <w:color w:val="1A3FD6"/>
        </w:rPr>
        <w:t>•</w:t>
      </w:r>
      <w:r>
        <w:rPr>
          <w:rFonts w:ascii="Arial" w:cs="Arial" w:eastAsia="Arial" w:hAnsi="Arial"/>
          <w:sz w:val="16"/>
          <w:szCs w:val="16"/>
          <w:color w:val="auto"/>
        </w:rPr>
        <w:tab/>
        <w:t>Full-year operating revenues of $2.9 billion, up 13% year-over-year</w:t>
      </w:r>
    </w:p>
    <w:tbl>
      <w:tblPr>
        <w:tblLayout w:type="fixed"/>
        <w:tblInd w:w="0" w:type="dxa"/>
        <w:tblCellMar>
          <w:top w:w="0" w:type="dxa"/>
          <w:left w:w="0" w:type="dxa"/>
          <w:bottom w:w="0" w:type="dxa"/>
          <w:right w:w="0" w:type="dxa"/>
        </w:tblCellMar>
      </w:tblPr>
      <w:tr>
        <w:trPr>
          <w:trHeight w:val="187"/>
        </w:trPr>
        <w:tc>
          <w:tcPr>
            <w:tcW w:w="2000" w:type="dxa"/>
            <w:vAlign w:val="bottom"/>
          </w:tcPr>
          <w:p>
            <w:pPr>
              <w:ind w:left="100"/>
              <w:spacing w:after="0"/>
              <w:rPr>
                <w:sz w:val="20"/>
                <w:szCs w:val="20"/>
                <w:color w:val="auto"/>
              </w:rPr>
            </w:pPr>
            <w:r>
              <w:rPr>
                <w:rFonts w:ascii="Arial" w:cs="Arial" w:eastAsia="Arial" w:hAnsi="Arial"/>
                <w:sz w:val="16"/>
                <w:szCs w:val="16"/>
                <w:b w:val="1"/>
                <w:bCs w:val="1"/>
                <w:color w:val="auto"/>
              </w:rPr>
              <w:t>Financial</w:t>
            </w:r>
          </w:p>
        </w:tc>
        <w:tc>
          <w:tcPr>
            <w:tcW w:w="9240" w:type="dxa"/>
            <w:vAlign w:val="bottom"/>
            <w:vMerge w:val="restart"/>
          </w:tcPr>
          <w:p>
            <w:pPr>
              <w:ind w:left="30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Revenues from record AUM levels of ETFs and non-ETFs tracking MSCI indexes</w:t>
            </w:r>
          </w:p>
        </w:tc>
        <w:tc>
          <w:tcPr>
            <w:tcW w:w="0" w:type="dxa"/>
            <w:vAlign w:val="bottom"/>
          </w:tcPr>
          <w:p>
            <w:pPr>
              <w:spacing w:after="0"/>
              <w:rPr>
                <w:sz w:val="1"/>
                <w:szCs w:val="1"/>
                <w:color w:val="auto"/>
              </w:rPr>
            </w:pPr>
          </w:p>
        </w:tc>
      </w:tr>
      <w:tr>
        <w:trPr>
          <w:trHeight w:val="93"/>
        </w:trPr>
        <w:tc>
          <w:tcPr>
            <w:tcW w:w="20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Performance and Value</w:t>
            </w:r>
          </w:p>
        </w:tc>
        <w:tc>
          <w:tcPr>
            <w:tcW w:w="9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00" w:type="dxa"/>
            <w:vAlign w:val="bottom"/>
            <w:vMerge w:val="continue"/>
          </w:tcPr>
          <w:p>
            <w:pPr>
              <w:spacing w:after="0"/>
              <w:rPr>
                <w:sz w:val="10"/>
                <w:szCs w:val="10"/>
                <w:color w:val="auto"/>
              </w:rPr>
            </w:pPr>
          </w:p>
        </w:tc>
        <w:tc>
          <w:tcPr>
            <w:tcW w:w="9240" w:type="dxa"/>
            <w:vAlign w:val="bottom"/>
            <w:vMerge w:val="restart"/>
          </w:tcPr>
          <w:p>
            <w:pPr>
              <w:ind w:left="30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Record levels of recurring sales, driving total net sales of $257.4 million</w:t>
            </w:r>
          </w:p>
        </w:tc>
        <w:tc>
          <w:tcPr>
            <w:tcW w:w="0" w:type="dxa"/>
            <w:vAlign w:val="bottom"/>
          </w:tcPr>
          <w:p>
            <w:pPr>
              <w:spacing w:after="0"/>
              <w:rPr>
                <w:sz w:val="1"/>
                <w:szCs w:val="1"/>
                <w:color w:val="auto"/>
              </w:rPr>
            </w:pPr>
          </w:p>
        </w:tc>
      </w:tr>
      <w:tr>
        <w:trPr>
          <w:trHeight w:val="120"/>
        </w:trPr>
        <w:tc>
          <w:tcPr>
            <w:tcW w:w="20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Creation</w:t>
            </w: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00" w:type="dxa"/>
            <w:vAlign w:val="bottom"/>
            <w:vMerge w:val="continue"/>
          </w:tcPr>
          <w:p>
            <w:pPr>
              <w:spacing w:after="0"/>
              <w:rPr>
                <w:sz w:val="8"/>
                <w:szCs w:val="8"/>
                <w:color w:val="auto"/>
              </w:rPr>
            </w:pPr>
          </w:p>
        </w:tc>
        <w:tc>
          <w:tcPr>
            <w:tcW w:w="9240" w:type="dxa"/>
            <w:vAlign w:val="bottom"/>
            <w:vMerge w:val="restart"/>
          </w:tcPr>
          <w:p>
            <w:pPr>
              <w:ind w:left="30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Adjusted EPS</w:t>
            </w:r>
            <w:r>
              <w:rPr>
                <w:rFonts w:ascii="Arial" w:cs="Arial" w:eastAsia="Arial" w:hAnsi="Arial"/>
                <w:sz w:val="21"/>
                <w:szCs w:val="21"/>
                <w:color w:val="000000"/>
                <w:vertAlign w:val="superscript"/>
              </w:rPr>
              <w:t>(1)</w:t>
            </w:r>
            <w:r>
              <w:rPr>
                <w:rFonts w:ascii="Arial" w:cs="Arial" w:eastAsia="Arial" w:hAnsi="Arial"/>
                <w:sz w:val="16"/>
                <w:szCs w:val="16"/>
                <w:color w:val="1A3FD6"/>
              </w:rPr>
              <w:t xml:space="preserve"> </w:t>
            </w:r>
            <w:r>
              <w:rPr>
                <w:rFonts w:ascii="Arial" w:cs="Arial" w:eastAsia="Arial" w:hAnsi="Arial"/>
                <w:sz w:val="16"/>
                <w:szCs w:val="16"/>
                <w:color w:val="000000"/>
              </w:rPr>
              <w:t>growth of 12% and free cash flow</w:t>
            </w:r>
            <w:r>
              <w:rPr>
                <w:rFonts w:ascii="Arial" w:cs="Arial" w:eastAsia="Arial" w:hAnsi="Arial"/>
                <w:sz w:val="21"/>
                <w:szCs w:val="21"/>
                <w:color w:val="000000"/>
                <w:vertAlign w:val="superscript"/>
              </w:rPr>
              <w:t>(1)</w:t>
            </w:r>
            <w:r>
              <w:rPr>
                <w:rFonts w:ascii="Arial" w:cs="Arial" w:eastAsia="Arial" w:hAnsi="Arial"/>
                <w:sz w:val="16"/>
                <w:szCs w:val="16"/>
                <w:color w:val="1A3FD6"/>
              </w:rPr>
              <w:t xml:space="preserve"> </w:t>
            </w:r>
            <w:r>
              <w:rPr>
                <w:rFonts w:ascii="Arial" w:cs="Arial" w:eastAsia="Arial" w:hAnsi="Arial"/>
                <w:sz w:val="16"/>
                <w:szCs w:val="16"/>
                <w:color w:val="000000"/>
              </w:rPr>
              <w:t>growth of 21%</w:t>
            </w:r>
          </w:p>
        </w:tc>
        <w:tc>
          <w:tcPr>
            <w:tcW w:w="0" w:type="dxa"/>
            <w:vAlign w:val="bottom"/>
          </w:tcPr>
          <w:p>
            <w:pPr>
              <w:spacing w:after="0"/>
              <w:rPr>
                <w:sz w:val="1"/>
                <w:szCs w:val="1"/>
                <w:color w:val="auto"/>
              </w:rPr>
            </w:pPr>
          </w:p>
        </w:tc>
      </w:tr>
      <w:tr>
        <w:trPr>
          <w:trHeight w:val="198"/>
        </w:trPr>
        <w:tc>
          <w:tcPr>
            <w:tcW w:w="2000" w:type="dxa"/>
            <w:vAlign w:val="bottom"/>
          </w:tcPr>
          <w:p>
            <w:pPr>
              <w:spacing w:after="0"/>
              <w:rPr>
                <w:sz w:val="17"/>
                <w:szCs w:val="17"/>
                <w:color w:val="auto"/>
              </w:rPr>
            </w:pPr>
          </w:p>
        </w:tc>
        <w:tc>
          <w:tcPr>
            <w:tcW w:w="9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2000" w:type="dxa"/>
            <w:vAlign w:val="bottom"/>
            <w:tcBorders>
              <w:bottom w:val="single" w:sz="8" w:color="1A3FD6"/>
            </w:tcBorders>
          </w:tcPr>
          <w:p>
            <w:pPr>
              <w:spacing w:after="0"/>
              <w:rPr>
                <w:sz w:val="4"/>
                <w:szCs w:val="4"/>
                <w:color w:val="auto"/>
              </w:rPr>
            </w:pPr>
          </w:p>
        </w:tc>
        <w:tc>
          <w:tcPr>
            <w:tcW w:w="9240" w:type="dxa"/>
            <w:vAlign w:val="bottom"/>
            <w:tcBorders>
              <w:bottom w:val="single" w:sz="8" w:color="1A3FD6"/>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00" w:type="dxa"/>
            <w:vAlign w:val="bottom"/>
          </w:tcPr>
          <w:p>
            <w:pPr>
              <w:spacing w:after="0"/>
              <w:rPr>
                <w:sz w:val="22"/>
                <w:szCs w:val="22"/>
                <w:color w:val="auto"/>
              </w:rPr>
            </w:pPr>
          </w:p>
        </w:tc>
        <w:tc>
          <w:tcPr>
            <w:tcW w:w="9240" w:type="dxa"/>
            <w:vAlign w:val="bottom"/>
          </w:tcPr>
          <w:p>
            <w:pPr>
              <w:ind w:left="12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Strengthened MSCI’s leadership position through:</w:t>
            </w:r>
          </w:p>
        </w:tc>
        <w:tc>
          <w:tcPr>
            <w:tcW w:w="0" w:type="dxa"/>
            <w:vAlign w:val="bottom"/>
          </w:tcPr>
          <w:p>
            <w:pPr>
              <w:spacing w:after="0"/>
              <w:rPr>
                <w:sz w:val="1"/>
                <w:szCs w:val="1"/>
                <w:color w:val="auto"/>
              </w:rPr>
            </w:pPr>
          </w:p>
        </w:tc>
      </w:tr>
      <w:tr>
        <w:trPr>
          <w:trHeight w:val="231"/>
        </w:trPr>
        <w:tc>
          <w:tcPr>
            <w:tcW w:w="200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Strategic Growth</w:t>
            </w:r>
          </w:p>
        </w:tc>
        <w:tc>
          <w:tcPr>
            <w:tcW w:w="9240" w:type="dxa"/>
            <w:vAlign w:val="bottom"/>
          </w:tcPr>
          <w:p>
            <w:pPr>
              <w:ind w:left="30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Led MSCI’s expansion in private assets, including the integration of Burgiss and the launch of MSCI Private Capital</w:t>
            </w:r>
          </w:p>
        </w:tc>
        <w:tc>
          <w:tcPr>
            <w:tcW w:w="0" w:type="dxa"/>
            <w:vAlign w:val="bottom"/>
          </w:tcPr>
          <w:p>
            <w:pPr>
              <w:spacing w:after="0"/>
              <w:rPr>
                <w:sz w:val="1"/>
                <w:szCs w:val="1"/>
                <w:color w:val="auto"/>
              </w:rPr>
            </w:pPr>
          </w:p>
        </w:tc>
      </w:tr>
      <w:tr>
        <w:trPr>
          <w:trHeight w:val="189"/>
        </w:trPr>
        <w:tc>
          <w:tcPr>
            <w:tcW w:w="2000" w:type="dxa"/>
            <w:vAlign w:val="bottom"/>
            <w:vMerge w:val="continue"/>
          </w:tcPr>
          <w:p>
            <w:pPr>
              <w:spacing w:after="0"/>
              <w:rPr>
                <w:sz w:val="16"/>
                <w:szCs w:val="16"/>
                <w:color w:val="auto"/>
              </w:rPr>
            </w:pPr>
          </w:p>
        </w:tc>
        <w:tc>
          <w:tcPr>
            <w:tcW w:w="9240" w:type="dxa"/>
            <w:vAlign w:val="bottom"/>
          </w:tcPr>
          <w:p>
            <w:pPr>
              <w:ind w:left="500"/>
              <w:spacing w:after="0"/>
              <w:rPr>
                <w:sz w:val="20"/>
                <w:szCs w:val="20"/>
                <w:color w:val="auto"/>
              </w:rPr>
            </w:pPr>
            <w:r>
              <w:rPr>
                <w:rFonts w:ascii="Arial" w:cs="Arial" w:eastAsia="Arial" w:hAnsi="Arial"/>
                <w:sz w:val="16"/>
                <w:szCs w:val="16"/>
                <w:color w:val="auto"/>
              </w:rPr>
              <w:t>Indexes</w:t>
            </w:r>
          </w:p>
        </w:tc>
        <w:tc>
          <w:tcPr>
            <w:tcW w:w="0" w:type="dxa"/>
            <w:vAlign w:val="bottom"/>
          </w:tcPr>
          <w:p>
            <w:pPr>
              <w:spacing w:after="0"/>
              <w:rPr>
                <w:sz w:val="1"/>
                <w:szCs w:val="1"/>
                <w:color w:val="auto"/>
              </w:rPr>
            </w:pPr>
          </w:p>
        </w:tc>
      </w:tr>
      <w:tr>
        <w:trPr>
          <w:trHeight w:val="243"/>
        </w:trPr>
        <w:tc>
          <w:tcPr>
            <w:tcW w:w="2000" w:type="dxa"/>
            <w:vAlign w:val="bottom"/>
          </w:tcPr>
          <w:p>
            <w:pPr>
              <w:ind w:left="100"/>
              <w:spacing w:after="0"/>
              <w:rPr>
                <w:sz w:val="20"/>
                <w:szCs w:val="20"/>
                <w:color w:val="auto"/>
              </w:rPr>
            </w:pPr>
            <w:r>
              <w:rPr>
                <w:rFonts w:ascii="Arial" w:cs="Arial" w:eastAsia="Arial" w:hAnsi="Arial"/>
                <w:sz w:val="16"/>
                <w:szCs w:val="16"/>
                <w:b w:val="1"/>
                <w:bCs w:val="1"/>
                <w:color w:val="auto"/>
              </w:rPr>
              <w:t>Initiatives</w:t>
            </w:r>
          </w:p>
        </w:tc>
        <w:tc>
          <w:tcPr>
            <w:tcW w:w="9240" w:type="dxa"/>
            <w:vAlign w:val="bottom"/>
          </w:tcPr>
          <w:p>
            <w:pPr>
              <w:ind w:left="30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Spearheaded the acquisition of Fabric to enhance MSCI’s wealth management solutions and establish MSCI Wealth as a</w:t>
            </w:r>
          </w:p>
        </w:tc>
        <w:tc>
          <w:tcPr>
            <w:tcW w:w="0" w:type="dxa"/>
            <w:vAlign w:val="bottom"/>
          </w:tcPr>
          <w:p>
            <w:pPr>
              <w:spacing w:after="0"/>
              <w:rPr>
                <w:sz w:val="1"/>
                <w:szCs w:val="1"/>
                <w:color w:val="auto"/>
              </w:rPr>
            </w:pPr>
          </w:p>
        </w:tc>
      </w:tr>
      <w:tr>
        <w:trPr>
          <w:trHeight w:val="215"/>
        </w:trPr>
        <w:tc>
          <w:tcPr>
            <w:tcW w:w="2000" w:type="dxa"/>
            <w:vAlign w:val="bottom"/>
          </w:tcPr>
          <w:p>
            <w:pPr>
              <w:spacing w:after="0"/>
              <w:rPr>
                <w:sz w:val="18"/>
                <w:szCs w:val="18"/>
                <w:color w:val="auto"/>
              </w:rPr>
            </w:pPr>
          </w:p>
        </w:tc>
        <w:tc>
          <w:tcPr>
            <w:tcW w:w="9240" w:type="dxa"/>
            <w:vAlign w:val="bottom"/>
          </w:tcPr>
          <w:p>
            <w:pPr>
              <w:ind w:left="500"/>
              <w:spacing w:after="0"/>
              <w:rPr>
                <w:sz w:val="20"/>
                <w:szCs w:val="20"/>
                <w:color w:val="auto"/>
              </w:rPr>
            </w:pPr>
            <w:r>
              <w:rPr>
                <w:rFonts w:ascii="Arial" w:cs="Arial" w:eastAsia="Arial" w:hAnsi="Arial"/>
                <w:sz w:val="16"/>
                <w:szCs w:val="16"/>
                <w:color w:val="auto"/>
              </w:rPr>
              <w:t>key growth driver</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2500" w:hanging="193"/>
        <w:spacing w:after="0"/>
        <w:tabs>
          <w:tab w:leader="none" w:pos="2500" w:val="left"/>
        </w:tabs>
        <w:numPr>
          <w:ilvl w:val="1"/>
          <w:numId w:val="78"/>
        </w:numPr>
        <w:rPr>
          <w:rFonts w:ascii="Arial" w:cs="Arial" w:eastAsia="Arial" w:hAnsi="Arial"/>
          <w:sz w:val="16"/>
          <w:szCs w:val="16"/>
          <w:color w:val="1A3FD6"/>
        </w:rPr>
      </w:pPr>
      <w:r>
        <w:rPr>
          <w:rFonts w:ascii="Arial" w:cs="Arial" w:eastAsia="Arial" w:hAnsi="Arial"/>
          <w:sz w:val="16"/>
          <w:szCs w:val="16"/>
          <w:color w:val="auto"/>
        </w:rPr>
        <w:t>The expansion of custom index capabilities through the acquisition of Foxberry</w:t>
      </w:r>
    </w:p>
    <w:p>
      <w:pPr>
        <w:spacing w:after="0" w:line="221" w:lineRule="exact"/>
        <w:rPr>
          <w:rFonts w:ascii="Arial" w:cs="Arial" w:eastAsia="Arial" w:hAnsi="Arial"/>
          <w:sz w:val="16"/>
          <w:szCs w:val="16"/>
          <w:color w:val="1A3FD6"/>
        </w:rPr>
      </w:pPr>
    </w:p>
    <w:p>
      <w:pPr>
        <w:ind w:left="2300" w:hanging="187"/>
        <w:spacing w:after="0"/>
        <w:tabs>
          <w:tab w:leader="none" w:pos="2300" w:val="left"/>
        </w:tabs>
        <w:numPr>
          <w:ilvl w:val="0"/>
          <w:numId w:val="78"/>
        </w:numPr>
        <w:rPr>
          <w:rFonts w:ascii="Arial" w:cs="Arial" w:eastAsia="Arial" w:hAnsi="Arial"/>
          <w:sz w:val="16"/>
          <w:szCs w:val="16"/>
          <w:color w:val="1A3FD6"/>
        </w:rPr>
      </w:pPr>
      <w:r>
        <w:rPr>
          <w:rFonts w:ascii="Arial" w:cs="Arial" w:eastAsia="Arial" w:hAnsi="Arial"/>
          <w:sz w:val="16"/>
          <w:szCs w:val="16"/>
          <w:color w:val="auto"/>
        </w:rPr>
        <w:t>Deepened relationships with clients and expanded market presence by:</w:t>
      </w:r>
    </w:p>
    <w:p>
      <w:pPr>
        <w:spacing w:after="0" w:line="53" w:lineRule="exact"/>
        <w:rPr>
          <w:rFonts w:ascii="Arial" w:cs="Arial" w:eastAsia="Arial" w:hAnsi="Arial"/>
          <w:sz w:val="16"/>
          <w:szCs w:val="16"/>
          <w:color w:val="1A3FD6"/>
        </w:rPr>
      </w:pPr>
    </w:p>
    <w:p>
      <w:pPr>
        <w:ind w:left="2500" w:hanging="193"/>
        <w:spacing w:after="0"/>
        <w:tabs>
          <w:tab w:leader="none" w:pos="2500" w:val="left"/>
        </w:tabs>
        <w:numPr>
          <w:ilvl w:val="1"/>
          <w:numId w:val="78"/>
        </w:numPr>
        <w:rPr>
          <w:rFonts w:ascii="Arial" w:cs="Arial" w:eastAsia="Arial" w:hAnsi="Arial"/>
          <w:sz w:val="16"/>
          <w:szCs w:val="16"/>
          <w:color w:val="1A3FD6"/>
        </w:rPr>
      </w:pPr>
      <w:r>
        <w:rPr>
          <w:rFonts w:ascii="Arial" w:cs="Arial" w:eastAsia="Arial" w:hAnsi="Arial"/>
          <w:sz w:val="16"/>
          <w:szCs w:val="16"/>
          <w:color w:val="auto"/>
        </w:rPr>
        <w:t>Engaging directly with MSCI’s top 10 clients, representing over $700 million in Run Rate as of December 31, 2024</w:t>
      </w:r>
    </w:p>
    <w:tbl>
      <w:tblPr>
        <w:tblLayout w:type="fixed"/>
        <w:tblInd w:w="100" w:type="dxa"/>
        <w:tblCellMar>
          <w:top w:w="0" w:type="dxa"/>
          <w:left w:w="0" w:type="dxa"/>
          <w:bottom w:w="0" w:type="dxa"/>
          <w:right w:w="0" w:type="dxa"/>
        </w:tblCellMar>
      </w:tblPr>
      <w:tr>
        <w:trPr>
          <w:trHeight w:val="187"/>
        </w:trPr>
        <w:tc>
          <w:tcPr>
            <w:tcW w:w="2000" w:type="dxa"/>
            <w:vAlign w:val="bottom"/>
          </w:tcPr>
          <w:p>
            <w:pPr>
              <w:spacing w:after="0"/>
              <w:rPr>
                <w:sz w:val="20"/>
                <w:szCs w:val="20"/>
                <w:color w:val="auto"/>
              </w:rPr>
            </w:pPr>
            <w:r>
              <w:rPr>
                <w:rFonts w:ascii="Arial" w:cs="Arial" w:eastAsia="Arial" w:hAnsi="Arial"/>
                <w:sz w:val="16"/>
                <w:szCs w:val="16"/>
                <w:b w:val="1"/>
                <w:bCs w:val="1"/>
                <w:color w:val="auto"/>
              </w:rPr>
              <w:t>Client Engagement</w:t>
            </w:r>
          </w:p>
        </w:tc>
        <w:tc>
          <w:tcPr>
            <w:tcW w:w="7780" w:type="dxa"/>
            <w:vAlign w:val="bottom"/>
            <w:vMerge w:val="restart"/>
          </w:tcPr>
          <w:p>
            <w:pPr>
              <w:ind w:left="20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Cultivating C-suite relationships, securing key business wins in private assets, wealth and sustainability</w:t>
            </w:r>
          </w:p>
        </w:tc>
        <w:tc>
          <w:tcPr>
            <w:tcW w:w="0" w:type="dxa"/>
            <w:vAlign w:val="bottom"/>
          </w:tcPr>
          <w:p>
            <w:pPr>
              <w:spacing w:after="0"/>
              <w:rPr>
                <w:sz w:val="1"/>
                <w:szCs w:val="1"/>
                <w:color w:val="auto"/>
              </w:rPr>
            </w:pPr>
          </w:p>
        </w:tc>
      </w:tr>
      <w:tr>
        <w:trPr>
          <w:trHeight w:val="80"/>
        </w:trPr>
        <w:tc>
          <w:tcPr>
            <w:tcW w:w="2000" w:type="dxa"/>
            <w:vAlign w:val="bottom"/>
            <w:vMerge w:val="restart"/>
          </w:tcPr>
          <w:p>
            <w:pPr>
              <w:spacing w:after="0"/>
              <w:rPr>
                <w:sz w:val="20"/>
                <w:szCs w:val="20"/>
                <w:color w:val="auto"/>
              </w:rPr>
            </w:pPr>
            <w:r>
              <w:rPr>
                <w:rFonts w:ascii="Arial" w:cs="Arial" w:eastAsia="Arial" w:hAnsi="Arial"/>
                <w:sz w:val="16"/>
                <w:szCs w:val="16"/>
                <w:b w:val="1"/>
                <w:bCs w:val="1"/>
                <w:color w:val="auto"/>
              </w:rPr>
              <w:t>and Market Penetration</w:t>
            </w:r>
          </w:p>
        </w:tc>
        <w:tc>
          <w:tcPr>
            <w:tcW w:w="7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000" w:type="dxa"/>
            <w:vAlign w:val="bottom"/>
            <w:vMerge w:val="continue"/>
          </w:tcPr>
          <w:p>
            <w:pPr>
              <w:spacing w:after="0"/>
              <w:rPr>
                <w:sz w:val="12"/>
                <w:szCs w:val="12"/>
                <w:color w:val="auto"/>
              </w:rPr>
            </w:pPr>
          </w:p>
        </w:tc>
        <w:tc>
          <w:tcPr>
            <w:tcW w:w="7780" w:type="dxa"/>
            <w:vAlign w:val="bottom"/>
            <w:vMerge w:val="restart"/>
          </w:tcPr>
          <w:p>
            <w:pPr>
              <w:ind w:left="20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Expanding MSCI’s presence among banks, insurance companies and corporates</w:t>
            </w:r>
          </w:p>
        </w:tc>
        <w:tc>
          <w:tcPr>
            <w:tcW w:w="0" w:type="dxa"/>
            <w:vAlign w:val="bottom"/>
          </w:tcPr>
          <w:p>
            <w:pPr>
              <w:spacing w:after="0"/>
              <w:rPr>
                <w:sz w:val="1"/>
                <w:szCs w:val="1"/>
                <w:color w:val="auto"/>
              </w:rPr>
            </w:pPr>
          </w:p>
        </w:tc>
      </w:tr>
      <w:tr>
        <w:trPr>
          <w:trHeight w:val="100"/>
        </w:trPr>
        <w:tc>
          <w:tcPr>
            <w:tcW w:w="2000" w:type="dxa"/>
            <w:vAlign w:val="bottom"/>
          </w:tcPr>
          <w:p>
            <w:pPr>
              <w:spacing w:after="0"/>
              <w:rPr>
                <w:sz w:val="8"/>
                <w:szCs w:val="8"/>
                <w:color w:val="auto"/>
              </w:rPr>
            </w:pPr>
          </w:p>
        </w:tc>
        <w:tc>
          <w:tcPr>
            <w:tcW w:w="7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100"/>
        <w:spacing w:after="0" w:line="314" w:lineRule="auto"/>
        <w:rPr>
          <w:sz w:val="20"/>
          <w:szCs w:val="20"/>
          <w:color w:val="auto"/>
        </w:rPr>
      </w:pPr>
      <w:r>
        <w:rPr>
          <w:rFonts w:ascii="Arial" w:cs="Arial" w:eastAsia="Arial" w:hAnsi="Arial"/>
          <w:sz w:val="16"/>
          <w:szCs w:val="16"/>
          <w:b w:val="1"/>
          <w:bCs w:val="1"/>
          <w:color w:val="auto"/>
        </w:rPr>
        <w:t>Capital Allocation and Strategic Investments</w:t>
      </w:r>
    </w:p>
    <w:p>
      <w:pPr>
        <w:spacing w:after="0" w:line="20" w:lineRule="exact"/>
        <w:rPr>
          <w:sz w:val="20"/>
          <w:szCs w:val="20"/>
          <w:color w:val="auto"/>
        </w:rPr>
      </w:pPr>
      <w:r>
        <w:rPr>
          <w:sz w:val="20"/>
          <w:szCs w:val="20"/>
          <w:color w:val="auto"/>
        </w:rPr>
        <w:br w:type="column"/>
      </w:r>
    </w:p>
    <w:p>
      <w:pPr>
        <w:ind w:left="187" w:hanging="187"/>
        <w:spacing w:after="0"/>
        <w:tabs>
          <w:tab w:leader="none" w:pos="187" w:val="left"/>
        </w:tabs>
        <w:numPr>
          <w:ilvl w:val="0"/>
          <w:numId w:val="79"/>
        </w:numPr>
        <w:rPr>
          <w:rFonts w:ascii="Arial" w:cs="Arial" w:eastAsia="Arial" w:hAnsi="Arial"/>
          <w:sz w:val="16"/>
          <w:szCs w:val="16"/>
          <w:color w:val="1A3FD6"/>
        </w:rPr>
      </w:pPr>
      <w:r>
        <w:rPr>
          <w:rFonts w:ascii="Arial" w:cs="Arial" w:eastAsia="Arial" w:hAnsi="Arial"/>
          <w:sz w:val="16"/>
          <w:szCs w:val="16"/>
          <w:color w:val="auto"/>
        </w:rPr>
        <w:t>Led disciplined capital allocation and investment decisions, including:</w:t>
      </w:r>
    </w:p>
    <w:p>
      <w:pPr>
        <w:spacing w:after="0" w:line="59" w:lineRule="exact"/>
        <w:rPr>
          <w:rFonts w:ascii="Arial" w:cs="Arial" w:eastAsia="Arial" w:hAnsi="Arial"/>
          <w:sz w:val="16"/>
          <w:szCs w:val="16"/>
          <w:color w:val="1A3FD6"/>
        </w:rPr>
      </w:pPr>
    </w:p>
    <w:p>
      <w:pPr>
        <w:ind w:left="387" w:hanging="193"/>
        <w:spacing w:after="0"/>
        <w:tabs>
          <w:tab w:leader="none" w:pos="387" w:val="left"/>
        </w:tabs>
        <w:numPr>
          <w:ilvl w:val="1"/>
          <w:numId w:val="79"/>
        </w:numPr>
        <w:rPr>
          <w:rFonts w:ascii="Arial" w:cs="Arial" w:eastAsia="Arial" w:hAnsi="Arial"/>
          <w:sz w:val="16"/>
          <w:szCs w:val="16"/>
          <w:color w:val="1A3FD6"/>
        </w:rPr>
      </w:pPr>
      <w:r>
        <w:rPr>
          <w:rFonts w:ascii="Arial" w:cs="Arial" w:eastAsia="Arial" w:hAnsi="Arial"/>
          <w:sz w:val="16"/>
          <w:szCs w:val="16"/>
          <w:color w:val="auto"/>
        </w:rPr>
        <w:t>Enhancing capital structure, earning a third investment-grade credit rating</w:t>
      </w:r>
    </w:p>
    <w:p>
      <w:pPr>
        <w:spacing w:after="0" w:line="72" w:lineRule="exact"/>
        <w:rPr>
          <w:rFonts w:ascii="Arial" w:cs="Arial" w:eastAsia="Arial" w:hAnsi="Arial"/>
          <w:sz w:val="16"/>
          <w:szCs w:val="16"/>
          <w:color w:val="1A3FD6"/>
        </w:rPr>
      </w:pPr>
    </w:p>
    <w:p>
      <w:pPr>
        <w:ind w:left="387" w:hanging="193"/>
        <w:spacing w:after="0"/>
        <w:tabs>
          <w:tab w:leader="none" w:pos="387" w:val="left"/>
        </w:tabs>
        <w:numPr>
          <w:ilvl w:val="1"/>
          <w:numId w:val="79"/>
        </w:numPr>
        <w:rPr>
          <w:rFonts w:ascii="Arial" w:cs="Arial" w:eastAsia="Arial" w:hAnsi="Arial"/>
          <w:sz w:val="16"/>
          <w:szCs w:val="16"/>
          <w:color w:val="1A3FD6"/>
        </w:rPr>
      </w:pPr>
      <w:r>
        <w:rPr>
          <w:rFonts w:ascii="Arial" w:cs="Arial" w:eastAsia="Arial" w:hAnsi="Arial"/>
          <w:sz w:val="16"/>
          <w:szCs w:val="16"/>
          <w:color w:val="auto"/>
        </w:rPr>
        <w:t>Opportunistically repurchasing 1.5 million shares of our common stock in 2024 at an average price of $537.72 per share</w:t>
      </w:r>
    </w:p>
    <w:p>
      <w:pPr>
        <w:spacing w:after="0" w:line="72" w:lineRule="exact"/>
        <w:rPr>
          <w:rFonts w:ascii="Arial" w:cs="Arial" w:eastAsia="Arial" w:hAnsi="Arial"/>
          <w:sz w:val="16"/>
          <w:szCs w:val="16"/>
          <w:color w:val="1A3FD6"/>
        </w:rPr>
      </w:pPr>
    </w:p>
    <w:p>
      <w:pPr>
        <w:ind w:left="387" w:hanging="193"/>
        <w:spacing w:after="0"/>
        <w:tabs>
          <w:tab w:leader="none" w:pos="387" w:val="left"/>
        </w:tabs>
        <w:numPr>
          <w:ilvl w:val="1"/>
          <w:numId w:val="79"/>
        </w:numPr>
        <w:rPr>
          <w:rFonts w:ascii="Arial" w:cs="Arial" w:eastAsia="Arial" w:hAnsi="Arial"/>
          <w:sz w:val="16"/>
          <w:szCs w:val="16"/>
          <w:color w:val="1A3FD6"/>
        </w:rPr>
      </w:pPr>
      <w:r>
        <w:rPr>
          <w:rFonts w:ascii="Arial" w:cs="Arial" w:eastAsia="Arial" w:hAnsi="Arial"/>
          <w:sz w:val="16"/>
          <w:szCs w:val="16"/>
          <w:color w:val="auto"/>
        </w:rPr>
        <w:t>Increasing quarterly dividend by 15.9%</w:t>
      </w:r>
    </w:p>
    <w:p>
      <w:pPr>
        <w:spacing w:after="0" w:line="200" w:lineRule="exact"/>
        <w:rPr>
          <w:sz w:val="20"/>
          <w:szCs w:val="20"/>
          <w:color w:val="auto"/>
        </w:rPr>
      </w:pPr>
    </w:p>
    <w:p>
      <w:pPr>
        <w:sectPr>
          <w:pgSz w:w="11900" w:h="16838" w:orient="portrait"/>
          <w:cols w:equalWidth="0" w:num="2">
            <w:col w:w="1800" w:space="313"/>
            <w:col w:w="9127"/>
          </w:cols>
          <w:pgMar w:left="320" w:top="292" w:right="33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20" w:type="dxa"/>
            <w:vAlign w:val="bottom"/>
          </w:tcPr>
          <w:p>
            <w:pPr>
              <w:spacing w:after="0"/>
              <w:rPr>
                <w:sz w:val="18"/>
                <w:szCs w:val="18"/>
                <w:color w:val="auto"/>
              </w:rPr>
            </w:pPr>
          </w:p>
        </w:tc>
        <w:tc>
          <w:tcPr>
            <w:tcW w:w="9620" w:type="dxa"/>
            <w:vAlign w:val="bottom"/>
          </w:tcPr>
          <w:p>
            <w:pPr>
              <w:ind w:left="50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Advanced MSCI’s sustainability offerings by:</w:t>
            </w:r>
          </w:p>
        </w:tc>
        <w:tc>
          <w:tcPr>
            <w:tcW w:w="0" w:type="dxa"/>
            <w:vAlign w:val="bottom"/>
          </w:tcPr>
          <w:p>
            <w:pPr>
              <w:spacing w:after="0"/>
              <w:rPr>
                <w:sz w:val="1"/>
                <w:szCs w:val="1"/>
                <w:color w:val="auto"/>
              </w:rPr>
            </w:pPr>
          </w:p>
        </w:tc>
      </w:tr>
      <w:tr>
        <w:trPr>
          <w:trHeight w:val="231"/>
        </w:trPr>
        <w:tc>
          <w:tcPr>
            <w:tcW w:w="1620" w:type="dxa"/>
            <w:vAlign w:val="bottom"/>
          </w:tcPr>
          <w:p>
            <w:pPr>
              <w:spacing w:after="0"/>
              <w:rPr>
                <w:sz w:val="20"/>
                <w:szCs w:val="20"/>
                <w:color w:val="auto"/>
              </w:rPr>
            </w:pPr>
          </w:p>
        </w:tc>
        <w:tc>
          <w:tcPr>
            <w:tcW w:w="9620" w:type="dxa"/>
            <w:vAlign w:val="bottom"/>
          </w:tcPr>
          <w:p>
            <w:pPr>
              <w:ind w:left="68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Driving the adoption of MSCI Climate Indexes, with over $100 billion in net new assets linked to these indexes from global</w:t>
            </w:r>
          </w:p>
        </w:tc>
        <w:tc>
          <w:tcPr>
            <w:tcW w:w="0" w:type="dxa"/>
            <w:vAlign w:val="bottom"/>
          </w:tcPr>
          <w:p>
            <w:pPr>
              <w:spacing w:after="0"/>
              <w:rPr>
                <w:sz w:val="1"/>
                <w:szCs w:val="1"/>
                <w:color w:val="auto"/>
              </w:rPr>
            </w:pPr>
          </w:p>
        </w:tc>
      </w:tr>
      <w:tr>
        <w:trPr>
          <w:trHeight w:val="215"/>
        </w:trPr>
        <w:tc>
          <w:tcPr>
            <w:tcW w:w="162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Sustainability</w:t>
            </w:r>
          </w:p>
        </w:tc>
        <w:tc>
          <w:tcPr>
            <w:tcW w:w="9620" w:type="dxa"/>
            <w:vAlign w:val="bottom"/>
          </w:tcPr>
          <w:p>
            <w:pPr>
              <w:ind w:left="880"/>
              <w:spacing w:after="0"/>
              <w:rPr>
                <w:sz w:val="20"/>
                <w:szCs w:val="20"/>
                <w:color w:val="auto"/>
              </w:rPr>
            </w:pPr>
            <w:r>
              <w:rPr>
                <w:rFonts w:ascii="Arial" w:cs="Arial" w:eastAsia="Arial" w:hAnsi="Arial"/>
                <w:sz w:val="16"/>
                <w:szCs w:val="16"/>
                <w:color w:val="auto"/>
              </w:rPr>
              <w:t>asset owners</w:t>
            </w:r>
          </w:p>
        </w:tc>
        <w:tc>
          <w:tcPr>
            <w:tcW w:w="0" w:type="dxa"/>
            <w:vAlign w:val="bottom"/>
          </w:tcPr>
          <w:p>
            <w:pPr>
              <w:spacing w:after="0"/>
              <w:rPr>
                <w:sz w:val="1"/>
                <w:szCs w:val="1"/>
                <w:color w:val="auto"/>
              </w:rPr>
            </w:pPr>
          </w:p>
        </w:tc>
      </w:tr>
      <w:tr>
        <w:trPr>
          <w:trHeight w:val="42"/>
        </w:trPr>
        <w:tc>
          <w:tcPr>
            <w:tcW w:w="1620" w:type="dxa"/>
            <w:vAlign w:val="bottom"/>
            <w:vMerge w:val="continue"/>
          </w:tcPr>
          <w:p>
            <w:pPr>
              <w:spacing w:after="0"/>
              <w:rPr>
                <w:sz w:val="3"/>
                <w:szCs w:val="3"/>
                <w:color w:val="auto"/>
              </w:rPr>
            </w:pPr>
          </w:p>
        </w:tc>
        <w:tc>
          <w:tcPr>
            <w:tcW w:w="9620" w:type="dxa"/>
            <w:vAlign w:val="bottom"/>
            <w:vMerge w:val="restart"/>
          </w:tcPr>
          <w:p>
            <w:pPr>
              <w:ind w:left="68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Successfully integrating Trove Research and launching MSCI Carbon Project Ratings</w:t>
            </w:r>
          </w:p>
        </w:tc>
        <w:tc>
          <w:tcPr>
            <w:tcW w:w="0" w:type="dxa"/>
            <w:vAlign w:val="bottom"/>
          </w:tcPr>
          <w:p>
            <w:pPr>
              <w:spacing w:after="0"/>
              <w:rPr>
                <w:sz w:val="1"/>
                <w:szCs w:val="1"/>
                <w:color w:val="auto"/>
              </w:rPr>
            </w:pPr>
          </w:p>
        </w:tc>
      </w:tr>
      <w:tr>
        <w:trPr>
          <w:trHeight w:val="216"/>
        </w:trPr>
        <w:tc>
          <w:tcPr>
            <w:tcW w:w="1620" w:type="dxa"/>
            <w:vAlign w:val="bottom"/>
          </w:tcPr>
          <w:p>
            <w:pPr>
              <w:ind w:left="100"/>
              <w:spacing w:after="0"/>
              <w:rPr>
                <w:sz w:val="20"/>
                <w:szCs w:val="20"/>
                <w:color w:val="auto"/>
              </w:rPr>
            </w:pPr>
            <w:r>
              <w:rPr>
                <w:rFonts w:ascii="Arial" w:cs="Arial" w:eastAsia="Arial" w:hAnsi="Arial"/>
                <w:sz w:val="16"/>
                <w:szCs w:val="16"/>
                <w:b w:val="1"/>
                <w:bCs w:val="1"/>
                <w:color w:val="auto"/>
              </w:rPr>
              <w:t>Leadership</w:t>
            </w:r>
          </w:p>
        </w:tc>
        <w:tc>
          <w:tcPr>
            <w:tcW w:w="9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9620" w:type="dxa"/>
            <w:vAlign w:val="bottom"/>
          </w:tcPr>
          <w:p>
            <w:pPr>
              <w:ind w:left="68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Overseeing strategic partnership with Moody’s Analytics, expanding MSCI’s sustainability content across banks, insurers</w:t>
            </w:r>
          </w:p>
        </w:tc>
        <w:tc>
          <w:tcPr>
            <w:tcW w:w="0" w:type="dxa"/>
            <w:vAlign w:val="bottom"/>
          </w:tcPr>
          <w:p>
            <w:pPr>
              <w:spacing w:after="0"/>
              <w:rPr>
                <w:sz w:val="1"/>
                <w:szCs w:val="1"/>
                <w:color w:val="auto"/>
              </w:rPr>
            </w:pPr>
          </w:p>
        </w:tc>
      </w:tr>
      <w:tr>
        <w:trPr>
          <w:trHeight w:val="215"/>
        </w:trPr>
        <w:tc>
          <w:tcPr>
            <w:tcW w:w="1620" w:type="dxa"/>
            <w:vAlign w:val="bottom"/>
          </w:tcPr>
          <w:p>
            <w:pPr>
              <w:spacing w:after="0"/>
              <w:rPr>
                <w:sz w:val="18"/>
                <w:szCs w:val="18"/>
                <w:color w:val="auto"/>
              </w:rPr>
            </w:pPr>
          </w:p>
        </w:tc>
        <w:tc>
          <w:tcPr>
            <w:tcW w:w="9620" w:type="dxa"/>
            <w:vAlign w:val="bottom"/>
          </w:tcPr>
          <w:p>
            <w:pPr>
              <w:ind w:left="880"/>
              <w:spacing w:after="0"/>
              <w:rPr>
                <w:sz w:val="20"/>
                <w:szCs w:val="20"/>
                <w:color w:val="auto"/>
              </w:rPr>
            </w:pPr>
            <w:r>
              <w:rPr>
                <w:rFonts w:ascii="Arial" w:cs="Arial" w:eastAsia="Arial" w:hAnsi="Arial"/>
                <w:sz w:val="16"/>
                <w:szCs w:val="16"/>
                <w:color w:val="auto"/>
              </w:rPr>
              <w:t>and corporates</w:t>
            </w:r>
          </w:p>
        </w:tc>
        <w:tc>
          <w:tcPr>
            <w:tcW w:w="0" w:type="dxa"/>
            <w:vAlign w:val="bottom"/>
          </w:tcPr>
          <w:p>
            <w:pPr>
              <w:spacing w:after="0"/>
              <w:rPr>
                <w:sz w:val="1"/>
                <w:szCs w:val="1"/>
                <w:color w:val="auto"/>
              </w:rPr>
            </w:pPr>
          </w:p>
        </w:tc>
      </w:tr>
      <w:tr>
        <w:trPr>
          <w:trHeight w:val="123"/>
        </w:trPr>
        <w:tc>
          <w:tcPr>
            <w:tcW w:w="1620" w:type="dxa"/>
            <w:vAlign w:val="bottom"/>
            <w:tcBorders>
              <w:bottom w:val="single" w:sz="8" w:color="1A3FD6"/>
            </w:tcBorders>
          </w:tcPr>
          <w:p>
            <w:pPr>
              <w:spacing w:after="0"/>
              <w:rPr>
                <w:sz w:val="10"/>
                <w:szCs w:val="10"/>
                <w:color w:val="auto"/>
              </w:rPr>
            </w:pPr>
          </w:p>
        </w:tc>
        <w:tc>
          <w:tcPr>
            <w:tcW w:w="9620" w:type="dxa"/>
            <w:vAlign w:val="bottom"/>
            <w:tcBorders>
              <w:bottom w:val="single" w:sz="8" w:color="1A3FD6"/>
            </w:tcBorders>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1620" w:type="dxa"/>
            <w:vAlign w:val="bottom"/>
          </w:tcPr>
          <w:p>
            <w:pPr>
              <w:spacing w:after="0"/>
              <w:rPr>
                <w:sz w:val="22"/>
                <w:szCs w:val="22"/>
                <w:color w:val="auto"/>
              </w:rPr>
            </w:pPr>
          </w:p>
        </w:tc>
        <w:tc>
          <w:tcPr>
            <w:tcW w:w="9620" w:type="dxa"/>
            <w:vAlign w:val="bottom"/>
          </w:tcPr>
          <w:p>
            <w:pPr>
              <w:ind w:left="50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Empowered MSCI to embrace AI by:</w:t>
            </w:r>
          </w:p>
        </w:tc>
        <w:tc>
          <w:tcPr>
            <w:tcW w:w="0" w:type="dxa"/>
            <w:vAlign w:val="bottom"/>
          </w:tcPr>
          <w:p>
            <w:pPr>
              <w:spacing w:after="0"/>
              <w:rPr>
                <w:sz w:val="1"/>
                <w:szCs w:val="1"/>
                <w:color w:val="auto"/>
              </w:rPr>
            </w:pPr>
          </w:p>
        </w:tc>
      </w:tr>
      <w:tr>
        <w:trPr>
          <w:trHeight w:val="243"/>
        </w:trPr>
        <w:tc>
          <w:tcPr>
            <w:tcW w:w="162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AI Innovation</w:t>
            </w:r>
          </w:p>
        </w:tc>
        <w:tc>
          <w:tcPr>
            <w:tcW w:w="9620" w:type="dxa"/>
            <w:vAlign w:val="bottom"/>
          </w:tcPr>
          <w:p>
            <w:pPr>
              <w:ind w:left="68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Introducing new AI-focused business reviews to plan, champion and assess AI development</w:t>
            </w:r>
          </w:p>
        </w:tc>
        <w:tc>
          <w:tcPr>
            <w:tcW w:w="0" w:type="dxa"/>
            <w:vAlign w:val="bottom"/>
          </w:tcPr>
          <w:p>
            <w:pPr>
              <w:spacing w:after="0"/>
              <w:rPr>
                <w:sz w:val="1"/>
                <w:szCs w:val="1"/>
                <w:color w:val="auto"/>
              </w:rPr>
            </w:pPr>
          </w:p>
        </w:tc>
      </w:tr>
      <w:tr>
        <w:trPr>
          <w:trHeight w:val="230"/>
        </w:trPr>
        <w:tc>
          <w:tcPr>
            <w:tcW w:w="1620" w:type="dxa"/>
            <w:vAlign w:val="bottom"/>
            <w:vMerge w:val="continue"/>
          </w:tcPr>
          <w:p>
            <w:pPr>
              <w:spacing w:after="0"/>
              <w:rPr>
                <w:sz w:val="19"/>
                <w:szCs w:val="19"/>
                <w:color w:val="auto"/>
              </w:rPr>
            </w:pPr>
          </w:p>
        </w:tc>
        <w:tc>
          <w:tcPr>
            <w:tcW w:w="9620" w:type="dxa"/>
            <w:vAlign w:val="bottom"/>
          </w:tcPr>
          <w:p>
            <w:pPr>
              <w:ind w:left="68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Championed AI-driven product innovation, launching MSCI GeoSpatial Asset Intelligence, leveraging AI to assess</w:t>
            </w:r>
          </w:p>
        </w:tc>
        <w:tc>
          <w:tcPr>
            <w:tcW w:w="0" w:type="dxa"/>
            <w:vAlign w:val="bottom"/>
          </w:tcPr>
          <w:p>
            <w:pPr>
              <w:spacing w:after="0"/>
              <w:rPr>
                <w:sz w:val="1"/>
                <w:szCs w:val="1"/>
                <w:color w:val="auto"/>
              </w:rPr>
            </w:pPr>
          </w:p>
        </w:tc>
      </w:tr>
    </w:tbl>
    <w:p>
      <w:pPr>
        <w:ind w:left="2500"/>
        <w:spacing w:after="0"/>
        <w:rPr>
          <w:sz w:val="20"/>
          <w:szCs w:val="20"/>
          <w:color w:val="auto"/>
        </w:rPr>
      </w:pPr>
      <w:r>
        <w:rPr>
          <w:rFonts w:ascii="Arial" w:cs="Arial" w:eastAsia="Arial" w:hAnsi="Arial"/>
          <w:sz w:val="16"/>
          <w:szCs w:val="16"/>
          <w:color w:val="auto"/>
        </w:rPr>
        <w:t>physical and nature-based risks</w:t>
      </w:r>
    </w:p>
    <w:p>
      <w:pPr>
        <w:spacing w:after="0" w:line="47" w:lineRule="exact"/>
        <w:rPr>
          <w:sz w:val="20"/>
          <w:szCs w:val="20"/>
          <w:color w:val="auto"/>
        </w:rPr>
      </w:pPr>
    </w:p>
    <w:p>
      <w:pPr>
        <w:ind w:left="2300"/>
        <w:spacing w:after="0"/>
        <w:tabs>
          <w:tab w:leader="none" w:pos="2480" w:val="left"/>
        </w:tabs>
        <w:rPr>
          <w:sz w:val="20"/>
          <w:szCs w:val="20"/>
          <w:color w:val="auto"/>
        </w:rPr>
      </w:pPr>
      <w:r>
        <w:rPr>
          <w:rFonts w:ascii="Arial" w:cs="Arial" w:eastAsia="Arial" w:hAnsi="Arial"/>
          <w:sz w:val="16"/>
          <w:szCs w:val="16"/>
          <w:color w:val="1A3FD6"/>
        </w:rPr>
        <w:t>•</w:t>
      </w:r>
      <w:r>
        <w:rPr>
          <w:rFonts w:ascii="Arial" w:cs="Arial" w:eastAsia="Arial" w:hAnsi="Arial"/>
          <w:sz w:val="16"/>
          <w:szCs w:val="16"/>
          <w:color w:val="auto"/>
        </w:rPr>
        <w:tab/>
        <w:t>Establishing AI Champions across MSCI to accelerate AI adoption and innovation</w:t>
      </w:r>
    </w:p>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1520" w:type="dxa"/>
            <w:vAlign w:val="bottom"/>
          </w:tcPr>
          <w:p>
            <w:pPr>
              <w:spacing w:after="0"/>
              <w:rPr>
                <w:sz w:val="18"/>
                <w:szCs w:val="18"/>
                <w:color w:val="auto"/>
              </w:rPr>
            </w:pPr>
          </w:p>
        </w:tc>
        <w:tc>
          <w:tcPr>
            <w:tcW w:w="8000" w:type="dxa"/>
            <w:vAlign w:val="bottom"/>
          </w:tcPr>
          <w:p>
            <w:pPr>
              <w:ind w:left="50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Reinforced MSCI’s culture and leadership pipeline by:</w:t>
            </w:r>
          </w:p>
        </w:tc>
        <w:tc>
          <w:tcPr>
            <w:tcW w:w="0" w:type="dxa"/>
            <w:vAlign w:val="bottom"/>
          </w:tcPr>
          <w:p>
            <w:pPr>
              <w:spacing w:after="0"/>
              <w:rPr>
                <w:sz w:val="1"/>
                <w:szCs w:val="1"/>
                <w:color w:val="auto"/>
              </w:rPr>
            </w:pPr>
          </w:p>
        </w:tc>
      </w:tr>
      <w:tr>
        <w:trPr>
          <w:trHeight w:val="243"/>
        </w:trPr>
        <w:tc>
          <w:tcPr>
            <w:tcW w:w="1520" w:type="dxa"/>
            <w:vAlign w:val="bottom"/>
            <w:vMerge w:val="restart"/>
          </w:tcPr>
          <w:p>
            <w:pPr>
              <w:spacing w:after="0"/>
              <w:rPr>
                <w:sz w:val="20"/>
                <w:szCs w:val="20"/>
                <w:color w:val="auto"/>
              </w:rPr>
            </w:pPr>
            <w:r>
              <w:rPr>
                <w:rFonts w:ascii="Arial" w:cs="Arial" w:eastAsia="Arial" w:hAnsi="Arial"/>
                <w:sz w:val="16"/>
                <w:szCs w:val="16"/>
                <w:b w:val="1"/>
                <w:bCs w:val="1"/>
                <w:color w:val="auto"/>
              </w:rPr>
              <w:t>Leadership</w:t>
            </w:r>
          </w:p>
        </w:tc>
        <w:tc>
          <w:tcPr>
            <w:tcW w:w="8000" w:type="dxa"/>
            <w:vAlign w:val="bottom"/>
          </w:tcPr>
          <w:p>
            <w:pPr>
              <w:ind w:left="68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Recruiting senior leaders in strategically important areas</w:t>
            </w:r>
          </w:p>
        </w:tc>
        <w:tc>
          <w:tcPr>
            <w:tcW w:w="0" w:type="dxa"/>
            <w:vAlign w:val="bottom"/>
          </w:tcPr>
          <w:p>
            <w:pPr>
              <w:spacing w:after="0"/>
              <w:rPr>
                <w:sz w:val="1"/>
                <w:szCs w:val="1"/>
                <w:color w:val="auto"/>
              </w:rPr>
            </w:pPr>
          </w:p>
        </w:tc>
      </w:tr>
      <w:tr>
        <w:trPr>
          <w:trHeight w:val="150"/>
        </w:trPr>
        <w:tc>
          <w:tcPr>
            <w:tcW w:w="1520" w:type="dxa"/>
            <w:vAlign w:val="bottom"/>
            <w:vMerge w:val="continue"/>
          </w:tcPr>
          <w:p>
            <w:pPr>
              <w:spacing w:after="0"/>
              <w:rPr>
                <w:sz w:val="13"/>
                <w:szCs w:val="13"/>
                <w:color w:val="auto"/>
              </w:rPr>
            </w:pPr>
          </w:p>
        </w:tc>
        <w:tc>
          <w:tcPr>
            <w:tcW w:w="8000" w:type="dxa"/>
            <w:vAlign w:val="bottom"/>
            <w:vMerge w:val="restart"/>
          </w:tcPr>
          <w:p>
            <w:pPr>
              <w:ind w:left="68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Championing MSCI’s Cultural Values initiatives and achieving record employee engagement scores</w:t>
            </w:r>
          </w:p>
        </w:tc>
        <w:tc>
          <w:tcPr>
            <w:tcW w:w="0" w:type="dxa"/>
            <w:vAlign w:val="bottom"/>
          </w:tcPr>
          <w:p>
            <w:pPr>
              <w:spacing w:after="0"/>
              <w:rPr>
                <w:sz w:val="1"/>
                <w:szCs w:val="1"/>
                <w:color w:val="auto"/>
              </w:rPr>
            </w:pPr>
          </w:p>
        </w:tc>
      </w:tr>
      <w:tr>
        <w:trPr>
          <w:trHeight w:val="80"/>
        </w:trPr>
        <w:tc>
          <w:tcPr>
            <w:tcW w:w="1520" w:type="dxa"/>
            <w:vAlign w:val="bottom"/>
            <w:vMerge w:val="restart"/>
          </w:tcPr>
          <w:p>
            <w:pPr>
              <w:spacing w:after="0"/>
              <w:rPr>
                <w:sz w:val="20"/>
                <w:szCs w:val="20"/>
                <w:color w:val="auto"/>
              </w:rPr>
            </w:pPr>
            <w:r>
              <w:rPr>
                <w:rFonts w:ascii="Arial" w:cs="Arial" w:eastAsia="Arial" w:hAnsi="Arial"/>
                <w:sz w:val="16"/>
                <w:szCs w:val="16"/>
                <w:b w:val="1"/>
                <w:bCs w:val="1"/>
                <w:color w:val="auto"/>
              </w:rPr>
              <w:t>Development</w:t>
            </w:r>
          </w:p>
        </w:tc>
        <w:tc>
          <w:tcPr>
            <w:tcW w:w="8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520" w:type="dxa"/>
            <w:vAlign w:val="bottom"/>
            <w:vMerge w:val="continue"/>
          </w:tcPr>
          <w:p>
            <w:pPr>
              <w:spacing w:after="0"/>
              <w:rPr>
                <w:sz w:val="11"/>
                <w:szCs w:val="11"/>
                <w:color w:val="auto"/>
              </w:rPr>
            </w:pPr>
          </w:p>
        </w:tc>
        <w:tc>
          <w:tcPr>
            <w:tcW w:w="8000" w:type="dxa"/>
            <w:vAlign w:val="bottom"/>
            <w:vMerge w:val="restart"/>
          </w:tcPr>
          <w:p>
            <w:pPr>
              <w:ind w:left="680"/>
              <w:spacing w:after="0"/>
              <w:rPr>
                <w:sz w:val="20"/>
                <w:szCs w:val="20"/>
                <w:color w:val="auto"/>
              </w:rPr>
            </w:pPr>
            <w:r>
              <w:rPr>
                <w:rFonts w:ascii="Arial" w:cs="Arial" w:eastAsia="Arial" w:hAnsi="Arial"/>
                <w:sz w:val="16"/>
                <w:szCs w:val="16"/>
                <w:color w:val="1A3FD6"/>
              </w:rPr>
              <w:t xml:space="preserve">•  </w:t>
            </w:r>
            <w:r>
              <w:rPr>
                <w:rFonts w:ascii="Arial" w:cs="Arial" w:eastAsia="Arial" w:hAnsi="Arial"/>
                <w:sz w:val="16"/>
                <w:szCs w:val="16"/>
                <w:color w:val="000000"/>
              </w:rPr>
              <w:t>Sponsoring MSCI’s first Global Inclusion Week and hosting multiple employee town halls</w:t>
            </w:r>
          </w:p>
        </w:tc>
        <w:tc>
          <w:tcPr>
            <w:tcW w:w="0" w:type="dxa"/>
            <w:vAlign w:val="bottom"/>
          </w:tcPr>
          <w:p>
            <w:pPr>
              <w:spacing w:after="0"/>
              <w:rPr>
                <w:sz w:val="1"/>
                <w:szCs w:val="1"/>
                <w:color w:val="auto"/>
              </w:rPr>
            </w:pPr>
          </w:p>
        </w:tc>
      </w:tr>
      <w:tr>
        <w:trPr>
          <w:trHeight w:val="107"/>
        </w:trPr>
        <w:tc>
          <w:tcPr>
            <w:tcW w:w="1520" w:type="dxa"/>
            <w:vAlign w:val="bottom"/>
            <w:vMerge w:val="restart"/>
          </w:tcPr>
          <w:p>
            <w:pPr>
              <w:spacing w:after="0"/>
              <w:rPr>
                <w:sz w:val="20"/>
                <w:szCs w:val="20"/>
                <w:color w:val="auto"/>
              </w:rPr>
            </w:pPr>
            <w:r>
              <w:rPr>
                <w:rFonts w:ascii="Arial" w:cs="Arial" w:eastAsia="Arial" w:hAnsi="Arial"/>
                <w:sz w:val="16"/>
                <w:szCs w:val="16"/>
                <w:b w:val="1"/>
                <w:bCs w:val="1"/>
                <w:color w:val="auto"/>
              </w:rPr>
              <w:t>and Culture</w:t>
            </w:r>
          </w:p>
        </w:tc>
        <w:tc>
          <w:tcPr>
            <w:tcW w:w="8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520" w:type="dxa"/>
            <w:vAlign w:val="bottom"/>
            <w:vMerge w:val="continue"/>
          </w:tcPr>
          <w:p>
            <w:pPr>
              <w:spacing w:after="0"/>
              <w:rPr>
                <w:sz w:val="10"/>
                <w:szCs w:val="10"/>
                <w:color w:val="auto"/>
              </w:rPr>
            </w:pPr>
          </w:p>
        </w:tc>
        <w:tc>
          <w:tcPr>
            <w:tcW w:w="8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4" w:lineRule="exact"/>
        <w:rPr>
          <w:sz w:val="20"/>
          <w:szCs w:val="20"/>
          <w:color w:val="auto"/>
        </w:rPr>
      </w:pPr>
    </w:p>
    <w:p>
      <w:pPr>
        <w:ind w:left="180" w:hanging="172"/>
        <w:spacing w:after="0"/>
        <w:tabs>
          <w:tab w:leader="none" w:pos="180" w:val="left"/>
        </w:tabs>
        <w:numPr>
          <w:ilvl w:val="0"/>
          <w:numId w:val="80"/>
        </w:numPr>
        <w:rPr>
          <w:rFonts w:ascii="Arial" w:cs="Arial" w:eastAsia="Arial" w:hAnsi="Arial"/>
          <w:sz w:val="19"/>
          <w:szCs w:val="19"/>
          <w:color w:val="auto"/>
          <w:vertAlign w:val="superscript"/>
        </w:rPr>
      </w:pPr>
      <w:r>
        <w:rPr>
          <w:rFonts w:ascii="Arial" w:cs="Arial" w:eastAsia="Arial" w:hAnsi="Arial"/>
          <w:sz w:val="14"/>
          <w:szCs w:val="14"/>
          <w:color w:val="auto"/>
        </w:rPr>
        <w:t>Non-GAAP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678180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8420"/>
              <w:spacing w:after="0"/>
              <w:rPr>
                <w:sz w:val="20"/>
                <w:szCs w:val="20"/>
                <w:color w:val="auto"/>
              </w:rPr>
            </w:pPr>
            <w:r>
              <w:rPr>
                <w:rFonts w:ascii="Arial" w:cs="Arial" w:eastAsia="Arial" w:hAnsi="Arial"/>
                <w:sz w:val="14"/>
                <w:szCs w:val="14"/>
                <w:b w:val="1"/>
                <w:bCs w:val="1"/>
                <w:color w:val="1A3FD6"/>
              </w:rPr>
              <w:t>Compensation Matters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73</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30861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ANDREW C. WIECHMANN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2057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Chief Financial Officer</w:t>
      </w:r>
    </w:p>
    <w:p>
      <w:pPr>
        <w:spacing w:after="0" w:line="3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addition to contributions to overall performance, the Compensation Committee noted the following achievements, among others, for Mr. Wiechmann:</w:t>
      </w:r>
    </w:p>
    <w:p>
      <w:pPr>
        <w:spacing w:after="0" w:line="86" w:lineRule="exact"/>
        <w:rPr>
          <w:sz w:val="20"/>
          <w:szCs w:val="20"/>
          <w:color w:val="auto"/>
        </w:rPr>
      </w:pPr>
    </w:p>
    <w:p>
      <w:pPr>
        <w:ind w:left="220" w:right="320" w:hanging="194"/>
        <w:spacing w:after="0" w:line="304" w:lineRule="auto"/>
        <w:tabs>
          <w:tab w:leader="none" w:pos="217" w:val="left"/>
        </w:tabs>
        <w:numPr>
          <w:ilvl w:val="0"/>
          <w:numId w:val="81"/>
        </w:numPr>
        <w:rPr>
          <w:rFonts w:ascii="Arial" w:cs="Arial" w:eastAsia="Arial" w:hAnsi="Arial"/>
          <w:sz w:val="16"/>
          <w:szCs w:val="16"/>
          <w:color w:val="1A3FD6"/>
        </w:rPr>
      </w:pPr>
      <w:r>
        <w:rPr>
          <w:rFonts w:ascii="Arial" w:cs="Arial" w:eastAsia="Arial" w:hAnsi="Arial"/>
          <w:sz w:val="16"/>
          <w:szCs w:val="16"/>
          <w:color w:val="auto"/>
        </w:rPr>
        <w:t>Drove MSCI’s financial strategy and execution, optimizing resource allocation and business performance through disciplined financial management to enhance efficiency and support long-term growth initiatives</w:t>
      </w:r>
    </w:p>
    <w:p>
      <w:pPr>
        <w:spacing w:after="0" w:line="6" w:lineRule="exact"/>
        <w:rPr>
          <w:rFonts w:ascii="Arial" w:cs="Arial" w:eastAsia="Arial" w:hAnsi="Arial"/>
          <w:sz w:val="16"/>
          <w:szCs w:val="16"/>
          <w:color w:val="1A3FD6"/>
        </w:rPr>
      </w:pPr>
    </w:p>
    <w:p>
      <w:pPr>
        <w:ind w:left="220" w:right="120" w:hanging="194"/>
        <w:spacing w:after="0" w:line="304" w:lineRule="auto"/>
        <w:tabs>
          <w:tab w:leader="none" w:pos="217" w:val="left"/>
        </w:tabs>
        <w:numPr>
          <w:ilvl w:val="0"/>
          <w:numId w:val="81"/>
        </w:numPr>
        <w:rPr>
          <w:rFonts w:ascii="Arial" w:cs="Arial" w:eastAsia="Arial" w:hAnsi="Arial"/>
          <w:sz w:val="16"/>
          <w:szCs w:val="16"/>
          <w:color w:val="1A3FD6"/>
        </w:rPr>
      </w:pPr>
      <w:r>
        <w:rPr>
          <w:rFonts w:ascii="Arial" w:cs="Arial" w:eastAsia="Arial" w:hAnsi="Arial"/>
          <w:sz w:val="16"/>
          <w:szCs w:val="16"/>
          <w:color w:val="auto"/>
        </w:rPr>
        <w:t>Ensured capital allocation discipline, driving continued focus on value creation through share repurchases, a dividend increase and strong free cash flow growth</w:t>
      </w:r>
    </w:p>
    <w:p>
      <w:pPr>
        <w:spacing w:after="0" w:line="6" w:lineRule="exact"/>
        <w:rPr>
          <w:rFonts w:ascii="Arial" w:cs="Arial" w:eastAsia="Arial" w:hAnsi="Arial"/>
          <w:sz w:val="16"/>
          <w:szCs w:val="16"/>
          <w:color w:val="1A3FD6"/>
        </w:rPr>
      </w:pPr>
    </w:p>
    <w:p>
      <w:pPr>
        <w:ind w:left="220" w:hanging="194"/>
        <w:spacing w:after="0"/>
        <w:tabs>
          <w:tab w:leader="none" w:pos="220" w:val="left"/>
        </w:tabs>
        <w:numPr>
          <w:ilvl w:val="0"/>
          <w:numId w:val="81"/>
        </w:numPr>
        <w:rPr>
          <w:rFonts w:ascii="Arial" w:cs="Arial" w:eastAsia="Arial" w:hAnsi="Arial"/>
          <w:sz w:val="16"/>
          <w:szCs w:val="16"/>
          <w:color w:val="1A3FD6"/>
        </w:rPr>
      </w:pPr>
      <w:r>
        <w:rPr>
          <w:rFonts w:ascii="Arial" w:cs="Arial" w:eastAsia="Arial" w:hAnsi="Arial"/>
          <w:sz w:val="16"/>
          <w:szCs w:val="16"/>
          <w:color w:val="auto"/>
        </w:rPr>
        <w:t>Achieved MSCI’s third investment-grade credit rating, reinforcing financial stability and enhancing access to capital</w:t>
      </w:r>
    </w:p>
    <w:p>
      <w:pPr>
        <w:spacing w:after="0" w:line="86" w:lineRule="exact"/>
        <w:rPr>
          <w:rFonts w:ascii="Arial" w:cs="Arial" w:eastAsia="Arial" w:hAnsi="Arial"/>
          <w:sz w:val="16"/>
          <w:szCs w:val="16"/>
          <w:color w:val="1A3FD6"/>
        </w:rPr>
      </w:pPr>
    </w:p>
    <w:p>
      <w:pPr>
        <w:ind w:left="220" w:hanging="194"/>
        <w:spacing w:after="0"/>
        <w:tabs>
          <w:tab w:leader="none" w:pos="220" w:val="left"/>
        </w:tabs>
        <w:numPr>
          <w:ilvl w:val="0"/>
          <w:numId w:val="81"/>
        </w:numPr>
        <w:rPr>
          <w:rFonts w:ascii="Arial" w:cs="Arial" w:eastAsia="Arial" w:hAnsi="Arial"/>
          <w:sz w:val="16"/>
          <w:szCs w:val="16"/>
          <w:color w:val="1A3FD6"/>
        </w:rPr>
      </w:pPr>
      <w:r>
        <w:rPr>
          <w:rFonts w:ascii="Arial" w:cs="Arial" w:eastAsia="Arial" w:hAnsi="Arial"/>
          <w:sz w:val="16"/>
          <w:szCs w:val="16"/>
          <w:color w:val="auto"/>
        </w:rPr>
        <w:t>Strengthened operational efficiency by streamlining financial processes and implementing AI-enabled automations</w:t>
      </w:r>
    </w:p>
    <w:p>
      <w:pPr>
        <w:spacing w:after="0" w:line="72" w:lineRule="exact"/>
        <w:rPr>
          <w:rFonts w:ascii="Arial" w:cs="Arial" w:eastAsia="Arial" w:hAnsi="Arial"/>
          <w:sz w:val="16"/>
          <w:szCs w:val="16"/>
          <w:color w:val="1A3FD6"/>
        </w:rPr>
      </w:pPr>
    </w:p>
    <w:p>
      <w:pPr>
        <w:ind w:left="220" w:hanging="194"/>
        <w:spacing w:after="0"/>
        <w:tabs>
          <w:tab w:leader="none" w:pos="220" w:val="left"/>
        </w:tabs>
        <w:numPr>
          <w:ilvl w:val="0"/>
          <w:numId w:val="81"/>
        </w:numPr>
        <w:rPr>
          <w:rFonts w:ascii="Arial" w:cs="Arial" w:eastAsia="Arial" w:hAnsi="Arial"/>
          <w:sz w:val="16"/>
          <w:szCs w:val="16"/>
          <w:color w:val="1A3FD6"/>
        </w:rPr>
      </w:pPr>
      <w:r>
        <w:rPr>
          <w:rFonts w:ascii="Arial" w:cs="Arial" w:eastAsia="Arial" w:hAnsi="Arial"/>
          <w:sz w:val="16"/>
          <w:szCs w:val="16"/>
          <w:color w:val="auto"/>
        </w:rPr>
        <w:t>Further enhanced scalability, simplifying and automating processes while successfully integrating recently acquired businesses and improving controls</w:t>
      </w:r>
    </w:p>
    <w:p>
      <w:pPr>
        <w:spacing w:after="0" w:line="86" w:lineRule="exact"/>
        <w:rPr>
          <w:rFonts w:ascii="Arial" w:cs="Arial" w:eastAsia="Arial" w:hAnsi="Arial"/>
          <w:sz w:val="16"/>
          <w:szCs w:val="16"/>
          <w:color w:val="1A3FD6"/>
        </w:rPr>
      </w:pPr>
    </w:p>
    <w:p>
      <w:pPr>
        <w:ind w:left="220" w:right="780" w:hanging="194"/>
        <w:spacing w:after="0" w:line="304" w:lineRule="auto"/>
        <w:tabs>
          <w:tab w:leader="none" w:pos="217" w:val="left"/>
        </w:tabs>
        <w:numPr>
          <w:ilvl w:val="0"/>
          <w:numId w:val="81"/>
        </w:numPr>
        <w:rPr>
          <w:rFonts w:ascii="Arial" w:cs="Arial" w:eastAsia="Arial" w:hAnsi="Arial"/>
          <w:sz w:val="16"/>
          <w:szCs w:val="16"/>
          <w:color w:val="1A3FD6"/>
        </w:rPr>
      </w:pPr>
      <w:r>
        <w:rPr>
          <w:rFonts w:ascii="Arial" w:cs="Arial" w:eastAsia="Arial" w:hAnsi="Arial"/>
          <w:sz w:val="16"/>
          <w:szCs w:val="16"/>
          <w:color w:val="auto"/>
        </w:rPr>
        <w:t>Led efforts to optimize MSCI’s global tax structure, securing agreements that reduced complexity and enhanced tax efficiency, while proactively navigating evolving regulatory environments</w:t>
      </w:r>
    </w:p>
    <w:p>
      <w:pPr>
        <w:spacing w:after="0" w:line="6" w:lineRule="exact"/>
        <w:rPr>
          <w:rFonts w:ascii="Arial" w:cs="Arial" w:eastAsia="Arial" w:hAnsi="Arial"/>
          <w:sz w:val="16"/>
          <w:szCs w:val="16"/>
          <w:color w:val="1A3FD6"/>
        </w:rPr>
      </w:pPr>
    </w:p>
    <w:p>
      <w:pPr>
        <w:ind w:left="220" w:right="40" w:hanging="194"/>
        <w:spacing w:after="0" w:line="321" w:lineRule="auto"/>
        <w:tabs>
          <w:tab w:leader="none" w:pos="217" w:val="left"/>
        </w:tabs>
        <w:numPr>
          <w:ilvl w:val="0"/>
          <w:numId w:val="81"/>
        </w:numPr>
        <w:rPr>
          <w:rFonts w:ascii="Arial" w:cs="Arial" w:eastAsia="Arial" w:hAnsi="Arial"/>
          <w:sz w:val="16"/>
          <w:szCs w:val="16"/>
          <w:color w:val="1A3FD6"/>
        </w:rPr>
      </w:pPr>
      <w:r>
        <w:rPr>
          <w:rFonts w:ascii="Arial" w:cs="Arial" w:eastAsia="Arial" w:hAnsi="Arial"/>
          <w:sz w:val="16"/>
          <w:szCs w:val="16"/>
          <w:color w:val="auto"/>
        </w:rPr>
        <w:t>Strengthened leadership development and talent mobility by advancing high-potential leaders, implementing a structured training program and supporting mentoring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3086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35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C. D. BAER PETTIT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2057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President and Chief Operating Officer</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addition to contributions to overall performance, the Compensation Committee noted the following achievements, among others, for Mr. Pettit:</w:t>
      </w:r>
    </w:p>
    <w:p>
      <w:pPr>
        <w:spacing w:after="0" w:line="73" w:lineRule="exact"/>
        <w:rPr>
          <w:sz w:val="20"/>
          <w:szCs w:val="20"/>
          <w:color w:val="auto"/>
        </w:rPr>
      </w:pPr>
    </w:p>
    <w:p>
      <w:pPr>
        <w:ind w:left="220" w:right="680" w:hanging="194"/>
        <w:spacing w:after="0" w:line="308" w:lineRule="auto"/>
        <w:tabs>
          <w:tab w:leader="none" w:pos="217" w:val="left"/>
        </w:tabs>
        <w:numPr>
          <w:ilvl w:val="0"/>
          <w:numId w:val="82"/>
        </w:numPr>
        <w:rPr>
          <w:rFonts w:ascii="Arial" w:cs="Arial" w:eastAsia="Arial" w:hAnsi="Arial"/>
          <w:sz w:val="16"/>
          <w:szCs w:val="16"/>
          <w:color w:val="1A3FD6"/>
        </w:rPr>
      </w:pPr>
      <w:r>
        <w:rPr>
          <w:rFonts w:ascii="Arial" w:cs="Arial" w:eastAsia="Arial" w:hAnsi="Arial"/>
          <w:sz w:val="16"/>
          <w:szCs w:val="16"/>
          <w:color w:val="auto"/>
        </w:rPr>
        <w:t>Delivered strong financial and operating performance by driving disciplined capital allocation, expense management and strategic investments to accelerate growth, enhance client solutions and expand in key markets</w:t>
      </w:r>
    </w:p>
    <w:p>
      <w:pPr>
        <w:ind w:left="220" w:right="80" w:hanging="194"/>
        <w:spacing w:after="0" w:line="316" w:lineRule="auto"/>
        <w:tabs>
          <w:tab w:leader="none" w:pos="217" w:val="left"/>
        </w:tabs>
        <w:numPr>
          <w:ilvl w:val="0"/>
          <w:numId w:val="82"/>
        </w:numPr>
        <w:rPr>
          <w:rFonts w:ascii="Arial" w:cs="Arial" w:eastAsia="Arial" w:hAnsi="Arial"/>
          <w:sz w:val="16"/>
          <w:szCs w:val="16"/>
          <w:color w:val="1A3FD6"/>
        </w:rPr>
      </w:pPr>
      <w:r>
        <w:rPr>
          <w:rFonts w:ascii="Arial" w:cs="Arial" w:eastAsia="Arial" w:hAnsi="Arial"/>
          <w:sz w:val="16"/>
          <w:szCs w:val="16"/>
          <w:color w:val="auto"/>
        </w:rPr>
        <w:t>Enhanced operational excellence by strengthening governance, optimizing decision-making, streamlining processes and leveraging AI and automation to improve efficiency</w:t>
      </w:r>
    </w:p>
    <w:p>
      <w:pPr>
        <w:spacing w:after="0" w:line="1" w:lineRule="exact"/>
        <w:rPr>
          <w:rFonts w:ascii="Arial" w:cs="Arial" w:eastAsia="Arial" w:hAnsi="Arial"/>
          <w:sz w:val="16"/>
          <w:szCs w:val="16"/>
          <w:color w:val="1A3FD6"/>
        </w:rPr>
      </w:pPr>
    </w:p>
    <w:p>
      <w:pPr>
        <w:ind w:left="220" w:right="140" w:hanging="194"/>
        <w:spacing w:after="0" w:line="304" w:lineRule="auto"/>
        <w:tabs>
          <w:tab w:leader="none" w:pos="217" w:val="left"/>
        </w:tabs>
        <w:numPr>
          <w:ilvl w:val="0"/>
          <w:numId w:val="82"/>
        </w:numPr>
        <w:rPr>
          <w:rFonts w:ascii="Arial" w:cs="Arial" w:eastAsia="Arial" w:hAnsi="Arial"/>
          <w:sz w:val="16"/>
          <w:szCs w:val="16"/>
          <w:color w:val="1A3FD6"/>
        </w:rPr>
      </w:pPr>
      <w:r>
        <w:rPr>
          <w:rFonts w:ascii="Arial" w:cs="Arial" w:eastAsia="Arial" w:hAnsi="Arial"/>
          <w:sz w:val="16"/>
          <w:szCs w:val="16"/>
          <w:color w:val="auto"/>
        </w:rPr>
        <w:t>Deepened client-centricity by restructuring product and research functions, enhancing client engagement strategies and strengthening relationships with key clients through tailored solutions and proactive outreach</w:t>
      </w:r>
    </w:p>
    <w:p>
      <w:pPr>
        <w:spacing w:after="0" w:line="6" w:lineRule="exact"/>
        <w:rPr>
          <w:rFonts w:ascii="Arial" w:cs="Arial" w:eastAsia="Arial" w:hAnsi="Arial"/>
          <w:sz w:val="16"/>
          <w:szCs w:val="16"/>
          <w:color w:val="1A3FD6"/>
        </w:rPr>
      </w:pPr>
    </w:p>
    <w:p>
      <w:pPr>
        <w:ind w:left="220" w:hanging="194"/>
        <w:spacing w:after="0"/>
        <w:tabs>
          <w:tab w:leader="none" w:pos="220" w:val="left"/>
        </w:tabs>
        <w:numPr>
          <w:ilvl w:val="0"/>
          <w:numId w:val="82"/>
        </w:numPr>
        <w:rPr>
          <w:rFonts w:ascii="Arial" w:cs="Arial" w:eastAsia="Arial" w:hAnsi="Arial"/>
          <w:sz w:val="16"/>
          <w:szCs w:val="16"/>
          <w:color w:val="1A3FD6"/>
        </w:rPr>
      </w:pPr>
      <w:r>
        <w:rPr>
          <w:rFonts w:ascii="Arial" w:cs="Arial" w:eastAsia="Arial" w:hAnsi="Arial"/>
          <w:sz w:val="16"/>
          <w:szCs w:val="16"/>
          <w:color w:val="auto"/>
        </w:rPr>
        <w:t>Strengthened senior leadership pipeline by promoting internal talent, attracting top external hires and enhancing leadership development</w:t>
      </w:r>
    </w:p>
    <w:p>
      <w:pPr>
        <w:spacing w:after="0" w:line="72" w:lineRule="exact"/>
        <w:rPr>
          <w:rFonts w:ascii="Arial" w:cs="Arial" w:eastAsia="Arial" w:hAnsi="Arial"/>
          <w:sz w:val="16"/>
          <w:szCs w:val="16"/>
          <w:color w:val="1A3FD6"/>
        </w:rPr>
      </w:pPr>
    </w:p>
    <w:p>
      <w:pPr>
        <w:ind w:left="220" w:right="580" w:hanging="194"/>
        <w:spacing w:after="0" w:line="316" w:lineRule="auto"/>
        <w:tabs>
          <w:tab w:leader="none" w:pos="217" w:val="left"/>
        </w:tabs>
        <w:numPr>
          <w:ilvl w:val="0"/>
          <w:numId w:val="82"/>
        </w:numPr>
        <w:rPr>
          <w:rFonts w:ascii="Arial" w:cs="Arial" w:eastAsia="Arial" w:hAnsi="Arial"/>
          <w:sz w:val="16"/>
          <w:szCs w:val="16"/>
          <w:color w:val="1A3FD6"/>
        </w:rPr>
      </w:pPr>
      <w:r>
        <w:rPr>
          <w:rFonts w:ascii="Arial" w:cs="Arial" w:eastAsia="Arial" w:hAnsi="Arial"/>
          <w:sz w:val="16"/>
          <w:szCs w:val="16"/>
          <w:color w:val="auto"/>
        </w:rPr>
        <w:t>Fostered a culture of excellence and innovation by reinforcing MSCI’s cultural values, enhancing employee engagement and driving initiatives that promote collaboration, breakthrough thinking and productivity</w:t>
      </w:r>
    </w:p>
    <w:p>
      <w:pPr>
        <w:spacing w:after="0" w:line="1" w:lineRule="exact"/>
        <w:rPr>
          <w:rFonts w:ascii="Arial" w:cs="Arial" w:eastAsia="Arial" w:hAnsi="Arial"/>
          <w:sz w:val="16"/>
          <w:szCs w:val="16"/>
          <w:color w:val="1A3FD6"/>
        </w:rPr>
      </w:pPr>
    </w:p>
    <w:p>
      <w:pPr>
        <w:ind w:left="220" w:right="420" w:hanging="194"/>
        <w:spacing w:after="0" w:line="304" w:lineRule="auto"/>
        <w:tabs>
          <w:tab w:leader="none" w:pos="217" w:val="left"/>
        </w:tabs>
        <w:numPr>
          <w:ilvl w:val="0"/>
          <w:numId w:val="82"/>
        </w:numPr>
        <w:rPr>
          <w:rFonts w:ascii="Arial" w:cs="Arial" w:eastAsia="Arial" w:hAnsi="Arial"/>
          <w:sz w:val="16"/>
          <w:szCs w:val="16"/>
          <w:color w:val="1A3FD6"/>
        </w:rPr>
      </w:pPr>
      <w:r>
        <w:rPr>
          <w:rFonts w:ascii="Arial" w:cs="Arial" w:eastAsia="Arial" w:hAnsi="Arial"/>
          <w:sz w:val="16"/>
          <w:szCs w:val="16"/>
          <w:color w:val="auto"/>
        </w:rPr>
        <w:t>Advanced corporate responsibility and sustainability by strengthening transparency, enhancing oversight and integrating sustainability principles into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3086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36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SCOTT A. CRUM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2057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Chief Human Resources Officer</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addition to contributions to overall performance, the Compensation Committee noted the following achievements, among others, for Mr. Crum:</w:t>
      </w:r>
    </w:p>
    <w:p>
      <w:pPr>
        <w:spacing w:after="0" w:line="86" w:lineRule="exact"/>
        <w:rPr>
          <w:sz w:val="20"/>
          <w:szCs w:val="20"/>
          <w:color w:val="auto"/>
        </w:rPr>
      </w:pPr>
    </w:p>
    <w:p>
      <w:pPr>
        <w:ind w:left="220" w:right="100" w:hanging="194"/>
        <w:spacing w:after="0" w:line="308" w:lineRule="auto"/>
        <w:tabs>
          <w:tab w:leader="none" w:pos="217" w:val="left"/>
        </w:tabs>
        <w:numPr>
          <w:ilvl w:val="0"/>
          <w:numId w:val="83"/>
        </w:numPr>
        <w:rPr>
          <w:rFonts w:ascii="Arial" w:cs="Arial" w:eastAsia="Arial" w:hAnsi="Arial"/>
          <w:sz w:val="16"/>
          <w:szCs w:val="16"/>
          <w:color w:val="1A3FD6"/>
        </w:rPr>
      </w:pPr>
      <w:r>
        <w:rPr>
          <w:rFonts w:ascii="Arial" w:cs="Arial" w:eastAsia="Arial" w:hAnsi="Arial"/>
          <w:sz w:val="16"/>
          <w:szCs w:val="16"/>
          <w:color w:val="auto"/>
        </w:rPr>
        <w:t>Enhanced senior leadership pipeline by identifying and hiring near- and long-term candidates, facilitating key internal promotions and refining succession planning processes</w:t>
      </w:r>
    </w:p>
    <w:p>
      <w:pPr>
        <w:ind w:left="220" w:right="680" w:hanging="194"/>
        <w:spacing w:after="0" w:line="308" w:lineRule="auto"/>
        <w:tabs>
          <w:tab w:leader="none" w:pos="217" w:val="left"/>
        </w:tabs>
        <w:numPr>
          <w:ilvl w:val="0"/>
          <w:numId w:val="83"/>
        </w:numPr>
        <w:rPr>
          <w:rFonts w:ascii="Arial" w:cs="Arial" w:eastAsia="Arial" w:hAnsi="Arial"/>
          <w:sz w:val="16"/>
          <w:szCs w:val="16"/>
          <w:color w:val="1A3FD6"/>
        </w:rPr>
      </w:pPr>
      <w:r>
        <w:rPr>
          <w:rFonts w:ascii="Arial" w:cs="Arial" w:eastAsia="Arial" w:hAnsi="Arial"/>
          <w:sz w:val="16"/>
          <w:szCs w:val="16"/>
          <w:color w:val="auto"/>
        </w:rPr>
        <w:t>Advanced organizational design improvements by reviewing leadership structures, refining role definitions and implementing department-specific transformations</w:t>
      </w:r>
    </w:p>
    <w:p>
      <w:pPr>
        <w:ind w:left="220" w:right="320" w:hanging="194"/>
        <w:spacing w:after="0" w:line="308" w:lineRule="auto"/>
        <w:tabs>
          <w:tab w:leader="none" w:pos="217" w:val="left"/>
        </w:tabs>
        <w:numPr>
          <w:ilvl w:val="0"/>
          <w:numId w:val="83"/>
        </w:numPr>
        <w:rPr>
          <w:rFonts w:ascii="Arial" w:cs="Arial" w:eastAsia="Arial" w:hAnsi="Arial"/>
          <w:sz w:val="16"/>
          <w:szCs w:val="16"/>
          <w:color w:val="1A3FD6"/>
        </w:rPr>
      </w:pPr>
      <w:r>
        <w:rPr>
          <w:rFonts w:ascii="Arial" w:cs="Arial" w:eastAsia="Arial" w:hAnsi="Arial"/>
          <w:sz w:val="16"/>
          <w:szCs w:val="16"/>
          <w:color w:val="auto"/>
        </w:rPr>
        <w:t>Strengthened employee experience by embedding cultural values into leadership development, enhancing engagement through targeted surveys and advancing hybrid work initiatives to support collaboration and effectiveness</w:t>
      </w:r>
    </w:p>
    <w:p>
      <w:pPr>
        <w:ind w:left="220" w:right="680" w:hanging="194"/>
        <w:spacing w:after="0" w:line="316" w:lineRule="auto"/>
        <w:tabs>
          <w:tab w:leader="none" w:pos="217" w:val="left"/>
        </w:tabs>
        <w:numPr>
          <w:ilvl w:val="0"/>
          <w:numId w:val="83"/>
        </w:numPr>
        <w:rPr>
          <w:rFonts w:ascii="Arial" w:cs="Arial" w:eastAsia="Arial" w:hAnsi="Arial"/>
          <w:sz w:val="16"/>
          <w:szCs w:val="16"/>
          <w:color w:val="1A3FD6"/>
        </w:rPr>
      </w:pPr>
      <w:r>
        <w:rPr>
          <w:rFonts w:ascii="Arial" w:cs="Arial" w:eastAsia="Arial" w:hAnsi="Arial"/>
          <w:sz w:val="16"/>
          <w:szCs w:val="16"/>
          <w:color w:val="auto"/>
        </w:rPr>
        <w:t>Enhanced workplace productivity and technology by implementing new HR technology and operational tools to improve efficiency, scalability and employee support</w:t>
      </w:r>
    </w:p>
    <w:p>
      <w:pPr>
        <w:spacing w:after="0" w:line="1" w:lineRule="exact"/>
        <w:rPr>
          <w:rFonts w:ascii="Arial" w:cs="Arial" w:eastAsia="Arial" w:hAnsi="Arial"/>
          <w:sz w:val="16"/>
          <w:szCs w:val="16"/>
          <w:color w:val="1A3FD6"/>
        </w:rPr>
      </w:pPr>
    </w:p>
    <w:p>
      <w:pPr>
        <w:ind w:left="220" w:hanging="194"/>
        <w:spacing w:after="0"/>
        <w:tabs>
          <w:tab w:leader="none" w:pos="220" w:val="left"/>
        </w:tabs>
        <w:numPr>
          <w:ilvl w:val="0"/>
          <w:numId w:val="83"/>
        </w:numPr>
        <w:rPr>
          <w:rFonts w:ascii="Arial" w:cs="Arial" w:eastAsia="Arial" w:hAnsi="Arial"/>
          <w:sz w:val="16"/>
          <w:szCs w:val="16"/>
          <w:color w:val="1A3FD6"/>
        </w:rPr>
      </w:pPr>
      <w:r>
        <w:rPr>
          <w:rFonts w:ascii="Arial" w:cs="Arial" w:eastAsia="Arial" w:hAnsi="Arial"/>
          <w:sz w:val="16"/>
          <w:szCs w:val="16"/>
          <w:color w:val="auto"/>
        </w:rPr>
        <w:t>Implemented pay-for-performance enhancements, aligning incentive structures with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75" w:name="page76"/>
    <w:bookmarkEnd w:id="75"/>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74</w:t>
      </w:r>
      <w:r>
        <w:rPr>
          <w:sz w:val="20"/>
          <w:szCs w:val="20"/>
          <w:color w:val="auto"/>
        </w:rPr>
        <w:tab/>
      </w:r>
      <w:r>
        <w:rPr>
          <w:rFonts w:ascii="Arial" w:cs="Arial" w:eastAsia="Arial" w:hAnsi="Arial"/>
          <w:sz w:val="14"/>
          <w:szCs w:val="14"/>
          <w:b w:val="1"/>
          <w:bCs w:val="1"/>
          <w:color w:val="1A3FD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3086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ROBERT J. GUTOWSKI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2057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General Counsel and Head of Corporate Affairs</w:t>
      </w:r>
    </w:p>
    <w:p>
      <w:pPr>
        <w:spacing w:after="0" w:line="3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addition to contributions to overall performance, the Compensation Committee noted the following achievements, among others, for Mr. Gutowski:</w:t>
      </w:r>
    </w:p>
    <w:p>
      <w:pPr>
        <w:spacing w:after="0" w:line="86" w:lineRule="exact"/>
        <w:rPr>
          <w:sz w:val="20"/>
          <w:szCs w:val="20"/>
          <w:color w:val="auto"/>
        </w:rPr>
      </w:pPr>
    </w:p>
    <w:p>
      <w:pPr>
        <w:ind w:left="220" w:hanging="194"/>
        <w:spacing w:after="0"/>
        <w:tabs>
          <w:tab w:leader="none" w:pos="220" w:val="left"/>
        </w:tabs>
        <w:numPr>
          <w:ilvl w:val="0"/>
          <w:numId w:val="84"/>
        </w:numPr>
        <w:rPr>
          <w:rFonts w:ascii="Arial" w:cs="Arial" w:eastAsia="Arial" w:hAnsi="Arial"/>
          <w:sz w:val="16"/>
          <w:szCs w:val="16"/>
          <w:color w:val="1A3FD6"/>
        </w:rPr>
      </w:pPr>
      <w:r>
        <w:rPr>
          <w:rFonts w:ascii="Arial" w:cs="Arial" w:eastAsia="Arial" w:hAnsi="Arial"/>
          <w:sz w:val="16"/>
          <w:szCs w:val="16"/>
          <w:color w:val="auto"/>
        </w:rPr>
        <w:t>Strengthened corporate governance and risk oversight by advising the Board and senior management on regulatory, compliance and reputational matters</w:t>
      </w:r>
    </w:p>
    <w:p>
      <w:pPr>
        <w:spacing w:after="0" w:line="72" w:lineRule="exact"/>
        <w:rPr>
          <w:rFonts w:ascii="Arial" w:cs="Arial" w:eastAsia="Arial" w:hAnsi="Arial"/>
          <w:sz w:val="16"/>
          <w:szCs w:val="16"/>
          <w:color w:val="1A3FD6"/>
        </w:rPr>
      </w:pPr>
    </w:p>
    <w:p>
      <w:pPr>
        <w:ind w:left="220" w:right="320" w:hanging="194"/>
        <w:spacing w:after="0" w:line="308" w:lineRule="auto"/>
        <w:tabs>
          <w:tab w:leader="none" w:pos="217" w:val="left"/>
        </w:tabs>
        <w:numPr>
          <w:ilvl w:val="0"/>
          <w:numId w:val="84"/>
        </w:numPr>
        <w:rPr>
          <w:rFonts w:ascii="Arial" w:cs="Arial" w:eastAsia="Arial" w:hAnsi="Arial"/>
          <w:sz w:val="16"/>
          <w:szCs w:val="16"/>
          <w:color w:val="1A3FD6"/>
        </w:rPr>
      </w:pPr>
      <w:r>
        <w:rPr>
          <w:rFonts w:ascii="Arial" w:cs="Arial" w:eastAsia="Arial" w:hAnsi="Arial"/>
          <w:sz w:val="16"/>
          <w:szCs w:val="16"/>
          <w:color w:val="auto"/>
        </w:rPr>
        <w:t>Drove commercial success and strategy by streamlining contracting processes, negotiating key partnerships, enforcing intellectual property rights and identifying regulatory-driven business opportunities to support revenue growth</w:t>
      </w:r>
    </w:p>
    <w:p>
      <w:pPr>
        <w:ind w:left="220" w:right="160" w:hanging="194"/>
        <w:spacing w:after="0" w:line="316" w:lineRule="auto"/>
        <w:tabs>
          <w:tab w:leader="none" w:pos="217" w:val="left"/>
        </w:tabs>
        <w:numPr>
          <w:ilvl w:val="0"/>
          <w:numId w:val="84"/>
        </w:numPr>
        <w:rPr>
          <w:rFonts w:ascii="Arial" w:cs="Arial" w:eastAsia="Arial" w:hAnsi="Arial"/>
          <w:sz w:val="16"/>
          <w:szCs w:val="16"/>
          <w:color w:val="1A3FD6"/>
        </w:rPr>
      </w:pPr>
      <w:r>
        <w:rPr>
          <w:rFonts w:ascii="Arial" w:cs="Arial" w:eastAsia="Arial" w:hAnsi="Arial"/>
          <w:sz w:val="16"/>
          <w:szCs w:val="16"/>
          <w:color w:val="auto"/>
        </w:rPr>
        <w:t>Expanded global regulatory engagement, including building new and deepening existing relationships with policymakers, responding to major regulatory consultations and advocating for industry-driven solutions</w:t>
      </w:r>
    </w:p>
    <w:p>
      <w:pPr>
        <w:spacing w:after="0" w:line="1" w:lineRule="exact"/>
        <w:rPr>
          <w:rFonts w:ascii="Arial" w:cs="Arial" w:eastAsia="Arial" w:hAnsi="Arial"/>
          <w:sz w:val="16"/>
          <w:szCs w:val="16"/>
          <w:color w:val="1A3FD6"/>
        </w:rPr>
      </w:pPr>
    </w:p>
    <w:p>
      <w:pPr>
        <w:ind w:left="220" w:right="140" w:hanging="194"/>
        <w:spacing w:after="0" w:line="304" w:lineRule="auto"/>
        <w:tabs>
          <w:tab w:leader="none" w:pos="217" w:val="left"/>
        </w:tabs>
        <w:numPr>
          <w:ilvl w:val="0"/>
          <w:numId w:val="84"/>
        </w:numPr>
        <w:rPr>
          <w:rFonts w:ascii="Arial" w:cs="Arial" w:eastAsia="Arial" w:hAnsi="Arial"/>
          <w:sz w:val="16"/>
          <w:szCs w:val="16"/>
          <w:color w:val="1A3FD6"/>
        </w:rPr>
      </w:pPr>
      <w:r>
        <w:rPr>
          <w:rFonts w:ascii="Arial" w:cs="Arial" w:eastAsia="Arial" w:hAnsi="Arial"/>
          <w:sz w:val="16"/>
          <w:szCs w:val="16"/>
          <w:color w:val="auto"/>
        </w:rPr>
        <w:t>Launched corporate affairs function to manage cross-functional efforts to extend and protect MSCI’s reputation across stakeholders and other interested parties</w:t>
      </w:r>
    </w:p>
    <w:p>
      <w:pPr>
        <w:spacing w:after="0" w:line="6" w:lineRule="exact"/>
        <w:rPr>
          <w:rFonts w:ascii="Arial" w:cs="Arial" w:eastAsia="Arial" w:hAnsi="Arial"/>
          <w:sz w:val="16"/>
          <w:szCs w:val="16"/>
          <w:color w:val="1A3FD6"/>
        </w:rPr>
      </w:pPr>
    </w:p>
    <w:p>
      <w:pPr>
        <w:ind w:left="220" w:right="360" w:hanging="194"/>
        <w:spacing w:after="0" w:line="304" w:lineRule="auto"/>
        <w:tabs>
          <w:tab w:leader="none" w:pos="217" w:val="left"/>
        </w:tabs>
        <w:numPr>
          <w:ilvl w:val="0"/>
          <w:numId w:val="84"/>
        </w:numPr>
        <w:rPr>
          <w:rFonts w:ascii="Arial" w:cs="Arial" w:eastAsia="Arial" w:hAnsi="Arial"/>
          <w:sz w:val="16"/>
          <w:szCs w:val="16"/>
          <w:color w:val="1A3FD6"/>
        </w:rPr>
      </w:pPr>
      <w:r>
        <w:rPr>
          <w:rFonts w:ascii="Arial" w:cs="Arial" w:eastAsia="Arial" w:hAnsi="Arial"/>
          <w:sz w:val="16"/>
          <w:szCs w:val="16"/>
          <w:color w:val="auto"/>
        </w:rPr>
        <w:t>Established AI risk and governance frameworks by developing policies to support responsible AI adoption and ensuring AI-driven initiatives align with regulatory expectations and business strategy</w:t>
      </w:r>
    </w:p>
    <w:p>
      <w:pPr>
        <w:spacing w:after="0" w:line="6" w:lineRule="exact"/>
        <w:rPr>
          <w:rFonts w:ascii="Arial" w:cs="Arial" w:eastAsia="Arial" w:hAnsi="Arial"/>
          <w:sz w:val="16"/>
          <w:szCs w:val="16"/>
          <w:color w:val="1A3FD6"/>
        </w:rPr>
      </w:pPr>
    </w:p>
    <w:p>
      <w:pPr>
        <w:ind w:left="220" w:right="300" w:hanging="194"/>
        <w:spacing w:after="0" w:line="308" w:lineRule="auto"/>
        <w:tabs>
          <w:tab w:leader="none" w:pos="217" w:val="left"/>
        </w:tabs>
        <w:numPr>
          <w:ilvl w:val="0"/>
          <w:numId w:val="84"/>
        </w:numPr>
        <w:rPr>
          <w:rFonts w:ascii="Arial" w:cs="Arial" w:eastAsia="Arial" w:hAnsi="Arial"/>
          <w:sz w:val="16"/>
          <w:szCs w:val="16"/>
          <w:color w:val="1A3FD6"/>
        </w:rPr>
      </w:pPr>
      <w:r>
        <w:rPr>
          <w:rFonts w:ascii="Arial" w:cs="Arial" w:eastAsia="Arial" w:hAnsi="Arial"/>
          <w:sz w:val="16"/>
          <w:szCs w:val="16"/>
          <w:color w:val="auto"/>
        </w:rPr>
        <w:t>Enhanced risk management by advising on new and evolving regulatory landscape across global markets, proactively mitigating legal and operational risks, and refining internal controls through internal audits</w:t>
      </w:r>
    </w:p>
    <w:p>
      <w:pPr>
        <w:ind w:left="220" w:right="580" w:hanging="194"/>
        <w:spacing w:after="0" w:line="321" w:lineRule="auto"/>
        <w:tabs>
          <w:tab w:leader="none" w:pos="217" w:val="left"/>
        </w:tabs>
        <w:numPr>
          <w:ilvl w:val="0"/>
          <w:numId w:val="84"/>
        </w:numPr>
        <w:rPr>
          <w:rFonts w:ascii="Arial" w:cs="Arial" w:eastAsia="Arial" w:hAnsi="Arial"/>
          <w:sz w:val="16"/>
          <w:szCs w:val="16"/>
          <w:color w:val="1A3FD6"/>
        </w:rPr>
      </w:pPr>
      <w:r>
        <w:rPr>
          <w:rFonts w:ascii="Arial" w:cs="Arial" w:eastAsia="Arial" w:hAnsi="Arial"/>
          <w:sz w:val="16"/>
          <w:szCs w:val="16"/>
          <w:color w:val="auto"/>
        </w:rPr>
        <w:t>Advanced corporate responsibility initiatives, including advising on sustainability goals, reporting and stakeholder engagement to reinforce MSCI’s transparency and leadership</w:t>
      </w:r>
    </w:p>
    <w:p>
      <w:pPr>
        <w:spacing w:after="0" w:line="210"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Actual cash incentives paid in respect of 2024 performance were based on actual performance against the financial, KPI and Sustainability Goals targets under the AIP as set forth in the table below. Given our financial performance, coupled with target payouts on the KPIs and Sustainability Goals, our NEOs received cash incentives for 2024 that were equal to an average of approximately 96.86% of their target values.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jc w:val="center"/>
              <w:ind w:left="413"/>
              <w:spacing w:after="0"/>
              <w:rPr>
                <w:sz w:val="20"/>
                <w:szCs w:val="20"/>
                <w:color w:val="auto"/>
              </w:rPr>
            </w:pPr>
            <w:r>
              <w:rPr>
                <w:rFonts w:ascii="Arial" w:cs="Arial" w:eastAsia="Arial" w:hAnsi="Arial"/>
                <w:sz w:val="13"/>
                <w:szCs w:val="13"/>
                <w:b w:val="1"/>
                <w:bCs w:val="1"/>
                <w:color w:val="auto"/>
                <w:w w:val="96"/>
              </w:rPr>
              <w:t>2024 Financial</w:t>
            </w:r>
          </w:p>
        </w:tc>
        <w:tc>
          <w:tcPr>
            <w:tcW w:w="700" w:type="dxa"/>
            <w:vAlign w:val="bottom"/>
          </w:tcPr>
          <w:p>
            <w:pPr>
              <w:spacing w:after="0"/>
              <w:rPr>
                <w:sz w:val="14"/>
                <w:szCs w:val="14"/>
                <w:color w:val="auto"/>
              </w:rPr>
            </w:pPr>
          </w:p>
        </w:tc>
        <w:tc>
          <w:tcPr>
            <w:tcW w:w="1200" w:type="dxa"/>
            <w:vAlign w:val="bottom"/>
          </w:tcPr>
          <w:p>
            <w:pPr>
              <w:jc w:val="center"/>
              <w:ind w:left="373"/>
              <w:spacing w:after="0"/>
              <w:rPr>
                <w:sz w:val="20"/>
                <w:szCs w:val="20"/>
                <w:color w:val="auto"/>
              </w:rPr>
            </w:pPr>
            <w:r>
              <w:rPr>
                <w:rFonts w:ascii="Arial" w:cs="Arial" w:eastAsia="Arial" w:hAnsi="Arial"/>
                <w:sz w:val="13"/>
                <w:szCs w:val="13"/>
                <w:b w:val="1"/>
                <w:bCs w:val="1"/>
                <w:color w:val="auto"/>
                <w:w w:val="95"/>
              </w:rPr>
              <w:t>2024 KPI</w:t>
            </w: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9"/>
        </w:trPr>
        <w:tc>
          <w:tcPr>
            <w:tcW w:w="20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80" w:type="dxa"/>
            <w:vAlign w:val="bottom"/>
          </w:tcPr>
          <w:p>
            <w:pPr>
              <w:jc w:val="center"/>
              <w:ind w:left="413"/>
              <w:spacing w:after="0"/>
              <w:rPr>
                <w:sz w:val="20"/>
                <w:szCs w:val="20"/>
                <w:color w:val="auto"/>
              </w:rPr>
            </w:pPr>
            <w:r>
              <w:rPr>
                <w:rFonts w:ascii="Arial" w:cs="Arial" w:eastAsia="Arial" w:hAnsi="Arial"/>
                <w:sz w:val="13"/>
                <w:szCs w:val="13"/>
                <w:b w:val="1"/>
                <w:bCs w:val="1"/>
                <w:color w:val="auto"/>
                <w:w w:val="95"/>
              </w:rPr>
              <w:t>Payout (70%</w:t>
            </w:r>
          </w:p>
        </w:tc>
        <w:tc>
          <w:tcPr>
            <w:tcW w:w="700" w:type="dxa"/>
            <w:vAlign w:val="bottom"/>
          </w:tcPr>
          <w:p>
            <w:pPr>
              <w:spacing w:after="0"/>
              <w:rPr>
                <w:sz w:val="12"/>
                <w:szCs w:val="12"/>
                <w:color w:val="auto"/>
              </w:rPr>
            </w:pPr>
          </w:p>
        </w:tc>
        <w:tc>
          <w:tcPr>
            <w:tcW w:w="1200" w:type="dxa"/>
            <w:vAlign w:val="bottom"/>
          </w:tcPr>
          <w:p>
            <w:pPr>
              <w:jc w:val="center"/>
              <w:ind w:left="373"/>
              <w:spacing w:after="0"/>
              <w:rPr>
                <w:sz w:val="20"/>
                <w:szCs w:val="20"/>
                <w:color w:val="auto"/>
              </w:rPr>
            </w:pPr>
            <w:r>
              <w:rPr>
                <w:rFonts w:ascii="Arial" w:cs="Arial" w:eastAsia="Arial" w:hAnsi="Arial"/>
                <w:sz w:val="13"/>
                <w:szCs w:val="13"/>
                <w:b w:val="1"/>
                <w:bCs w:val="1"/>
                <w:color w:val="auto"/>
                <w:w w:val="98"/>
              </w:rPr>
              <w:t>Payout (20%</w:t>
            </w:r>
          </w:p>
        </w:tc>
        <w:tc>
          <w:tcPr>
            <w:tcW w:w="720" w:type="dxa"/>
            <w:vAlign w:val="bottom"/>
          </w:tcPr>
          <w:p>
            <w:pPr>
              <w:spacing w:after="0"/>
              <w:rPr>
                <w:sz w:val="12"/>
                <w:szCs w:val="12"/>
                <w:color w:val="auto"/>
              </w:rPr>
            </w:pPr>
          </w:p>
        </w:tc>
        <w:tc>
          <w:tcPr>
            <w:tcW w:w="1880" w:type="dxa"/>
            <w:vAlign w:val="bottom"/>
            <w:gridSpan w:val="2"/>
          </w:tcPr>
          <w:p>
            <w:pPr>
              <w:jc w:val="right"/>
              <w:ind w:right="431"/>
              <w:spacing w:after="0"/>
              <w:rPr>
                <w:sz w:val="20"/>
                <w:szCs w:val="20"/>
                <w:color w:val="auto"/>
              </w:rPr>
            </w:pPr>
            <w:r>
              <w:rPr>
                <w:rFonts w:ascii="Arial" w:cs="Arial" w:eastAsia="Arial" w:hAnsi="Arial"/>
                <w:sz w:val="13"/>
                <w:szCs w:val="13"/>
                <w:b w:val="1"/>
                <w:bCs w:val="1"/>
                <w:color w:val="auto"/>
              </w:rPr>
              <w:t>2024 Sustainability</w:t>
            </w:r>
          </w:p>
        </w:tc>
        <w:tc>
          <w:tcPr>
            <w:tcW w:w="1860" w:type="dxa"/>
            <w:vAlign w:val="bottom"/>
            <w:gridSpan w:val="2"/>
          </w:tcPr>
          <w:p>
            <w:pPr>
              <w:jc w:val="right"/>
              <w:ind w:right="371"/>
              <w:spacing w:after="0"/>
              <w:rPr>
                <w:sz w:val="20"/>
                <w:szCs w:val="20"/>
                <w:color w:val="auto"/>
              </w:rPr>
            </w:pPr>
            <w:r>
              <w:rPr>
                <w:rFonts w:ascii="Arial" w:cs="Arial" w:eastAsia="Arial" w:hAnsi="Arial"/>
                <w:sz w:val="13"/>
                <w:szCs w:val="13"/>
                <w:b w:val="1"/>
                <w:bCs w:val="1"/>
                <w:color w:val="auto"/>
              </w:rPr>
              <w:t>2024 Total Actual</w:t>
            </w:r>
          </w:p>
        </w:tc>
      </w:tr>
      <w:tr>
        <w:trPr>
          <w:trHeight w:val="193"/>
        </w:trPr>
        <w:tc>
          <w:tcPr>
            <w:tcW w:w="20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2024 Target</w:t>
            </w:r>
          </w:p>
        </w:tc>
        <w:tc>
          <w:tcPr>
            <w:tcW w:w="2080" w:type="dxa"/>
            <w:vAlign w:val="bottom"/>
            <w:tcBorders>
              <w:bottom w:val="single" w:sz="8" w:color="1A3FD6"/>
            </w:tcBorders>
            <w:gridSpan w:val="2"/>
          </w:tcPr>
          <w:p>
            <w:pPr>
              <w:jc w:val="center"/>
              <w:ind w:right="151"/>
              <w:spacing w:after="0"/>
              <w:rPr>
                <w:sz w:val="20"/>
                <w:szCs w:val="20"/>
                <w:color w:val="auto"/>
              </w:rPr>
            </w:pPr>
            <w:r>
              <w:rPr>
                <w:rFonts w:ascii="Arial" w:cs="Arial" w:eastAsia="Arial" w:hAnsi="Arial"/>
                <w:sz w:val="13"/>
                <w:szCs w:val="13"/>
                <w:b w:val="1"/>
                <w:bCs w:val="1"/>
                <w:color w:val="auto"/>
                <w:w w:val="97"/>
              </w:rPr>
              <w:t>Weighting at Target)</w:t>
            </w:r>
          </w:p>
        </w:tc>
        <w:tc>
          <w:tcPr>
            <w:tcW w:w="1920" w:type="dxa"/>
            <w:vAlign w:val="bottom"/>
            <w:tcBorders>
              <w:bottom w:val="single" w:sz="8" w:color="1A3FD6"/>
            </w:tcBorders>
            <w:gridSpan w:val="2"/>
          </w:tcPr>
          <w:p>
            <w:pPr>
              <w:jc w:val="center"/>
              <w:ind w:right="211"/>
              <w:spacing w:after="0"/>
              <w:rPr>
                <w:sz w:val="20"/>
                <w:szCs w:val="20"/>
                <w:color w:val="auto"/>
              </w:rPr>
            </w:pPr>
            <w:r>
              <w:rPr>
                <w:rFonts w:ascii="Arial" w:cs="Arial" w:eastAsia="Arial" w:hAnsi="Arial"/>
                <w:sz w:val="13"/>
                <w:szCs w:val="13"/>
                <w:b w:val="1"/>
                <w:bCs w:val="1"/>
                <w:color w:val="auto"/>
                <w:w w:val="95"/>
              </w:rPr>
              <w:t>Weighting at Target)</w:t>
            </w:r>
          </w:p>
        </w:tc>
        <w:tc>
          <w:tcPr>
            <w:tcW w:w="1880" w:type="dxa"/>
            <w:vAlign w:val="bottom"/>
            <w:tcBorders>
              <w:bottom w:val="single" w:sz="8" w:color="1A3FD6"/>
            </w:tcBorders>
            <w:gridSpan w:val="2"/>
          </w:tcPr>
          <w:p>
            <w:pPr>
              <w:jc w:val="right"/>
              <w:ind w:right="411"/>
              <w:spacing w:after="0"/>
              <w:rPr>
                <w:sz w:val="20"/>
                <w:szCs w:val="20"/>
                <w:color w:val="auto"/>
              </w:rPr>
            </w:pPr>
            <w:r>
              <w:rPr>
                <w:rFonts w:ascii="Arial" w:cs="Arial" w:eastAsia="Arial" w:hAnsi="Arial"/>
                <w:sz w:val="13"/>
                <w:szCs w:val="13"/>
                <w:b w:val="1"/>
                <w:bCs w:val="1"/>
                <w:color w:val="auto"/>
              </w:rPr>
              <w:t>Goals Payout (10%)</w:t>
            </w:r>
          </w:p>
        </w:tc>
        <w:tc>
          <w:tcPr>
            <w:tcW w:w="1860" w:type="dxa"/>
            <w:vAlign w:val="bottom"/>
            <w:tcBorders>
              <w:bottom w:val="single" w:sz="8" w:color="1A3FD6"/>
            </w:tcBorders>
            <w:gridSpan w:val="2"/>
          </w:tcPr>
          <w:p>
            <w:pPr>
              <w:jc w:val="right"/>
              <w:ind w:right="431"/>
              <w:spacing w:after="0"/>
              <w:rPr>
                <w:sz w:val="20"/>
                <w:szCs w:val="20"/>
                <w:color w:val="auto"/>
              </w:rPr>
            </w:pPr>
            <w:r>
              <w:rPr>
                <w:rFonts w:ascii="Arial" w:cs="Arial" w:eastAsia="Arial" w:hAnsi="Arial"/>
                <w:sz w:val="13"/>
                <w:szCs w:val="13"/>
                <w:b w:val="1"/>
                <w:bCs w:val="1"/>
                <w:color w:val="auto"/>
              </w:rPr>
              <w:t>Cash Incentive</w:t>
            </w:r>
          </w:p>
        </w:tc>
      </w:tr>
      <w:tr>
        <w:trPr>
          <w:trHeight w:val="151"/>
        </w:trPr>
        <w:tc>
          <w:tcPr>
            <w:tcW w:w="20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3"/>
                <w:szCs w:val="13"/>
                <w:b w:val="1"/>
                <w:bCs w:val="1"/>
                <w:color w:val="auto"/>
              </w:rPr>
              <w:t>Cash Incentive</w:t>
            </w:r>
          </w:p>
        </w:tc>
        <w:tc>
          <w:tcPr>
            <w:tcW w:w="1380" w:type="dxa"/>
            <w:vAlign w:val="bottom"/>
          </w:tcPr>
          <w:p>
            <w:pPr>
              <w:jc w:val="right"/>
              <w:ind w:right="373"/>
              <w:spacing w:after="0"/>
              <w:rPr>
                <w:sz w:val="20"/>
                <w:szCs w:val="20"/>
                <w:color w:val="auto"/>
              </w:rPr>
            </w:pPr>
            <w:r>
              <w:rPr>
                <w:rFonts w:ascii="Arial" w:cs="Arial" w:eastAsia="Arial" w:hAnsi="Arial"/>
                <w:sz w:val="13"/>
                <w:szCs w:val="13"/>
                <w:b w:val="1"/>
                <w:bCs w:val="1"/>
                <w:color w:val="auto"/>
              </w:rPr>
              <w:t>Value</w:t>
            </w:r>
          </w:p>
        </w:tc>
        <w:tc>
          <w:tcPr>
            <w:tcW w:w="700" w:type="dxa"/>
            <w:vAlign w:val="bottom"/>
          </w:tcPr>
          <w:p>
            <w:pPr>
              <w:jc w:val="right"/>
              <w:ind w:right="171"/>
              <w:spacing w:after="0"/>
              <w:rPr>
                <w:sz w:val="20"/>
                <w:szCs w:val="20"/>
                <w:color w:val="auto"/>
              </w:rPr>
            </w:pPr>
            <w:r>
              <w:rPr>
                <w:rFonts w:ascii="Arial" w:cs="Arial" w:eastAsia="Arial" w:hAnsi="Arial"/>
                <w:sz w:val="13"/>
                <w:szCs w:val="13"/>
                <w:b w:val="1"/>
                <w:bCs w:val="1"/>
                <w:color w:val="auto"/>
                <w:w w:val="92"/>
              </w:rPr>
              <w:t>As % of</w:t>
            </w:r>
          </w:p>
        </w:tc>
        <w:tc>
          <w:tcPr>
            <w:tcW w:w="1200" w:type="dxa"/>
            <w:vAlign w:val="bottom"/>
          </w:tcPr>
          <w:p>
            <w:pPr>
              <w:jc w:val="right"/>
              <w:ind w:right="333"/>
              <w:spacing w:after="0"/>
              <w:rPr>
                <w:sz w:val="20"/>
                <w:szCs w:val="20"/>
                <w:color w:val="auto"/>
              </w:rPr>
            </w:pPr>
            <w:r>
              <w:rPr>
                <w:rFonts w:ascii="Arial" w:cs="Arial" w:eastAsia="Arial" w:hAnsi="Arial"/>
                <w:sz w:val="13"/>
                <w:szCs w:val="13"/>
                <w:b w:val="1"/>
                <w:bCs w:val="1"/>
                <w:color w:val="auto"/>
              </w:rPr>
              <w:t>Value</w:t>
            </w:r>
          </w:p>
        </w:tc>
        <w:tc>
          <w:tcPr>
            <w:tcW w:w="720" w:type="dxa"/>
            <w:vAlign w:val="bottom"/>
          </w:tcPr>
          <w:p>
            <w:pPr>
              <w:jc w:val="right"/>
              <w:ind w:right="131"/>
              <w:spacing w:after="0"/>
              <w:rPr>
                <w:sz w:val="20"/>
                <w:szCs w:val="20"/>
                <w:color w:val="auto"/>
              </w:rPr>
            </w:pPr>
            <w:r>
              <w:rPr>
                <w:rFonts w:ascii="Arial" w:cs="Arial" w:eastAsia="Arial" w:hAnsi="Arial"/>
                <w:sz w:val="13"/>
                <w:szCs w:val="13"/>
                <w:b w:val="1"/>
                <w:bCs w:val="1"/>
                <w:color w:val="auto"/>
              </w:rPr>
              <w:t>As % of</w:t>
            </w:r>
          </w:p>
        </w:tc>
        <w:tc>
          <w:tcPr>
            <w:tcW w:w="940" w:type="dxa"/>
            <w:vAlign w:val="bottom"/>
          </w:tcPr>
          <w:p>
            <w:pPr>
              <w:jc w:val="right"/>
              <w:ind w:right="112"/>
              <w:spacing w:after="0"/>
              <w:rPr>
                <w:sz w:val="20"/>
                <w:szCs w:val="20"/>
                <w:color w:val="auto"/>
              </w:rPr>
            </w:pPr>
            <w:r>
              <w:rPr>
                <w:rFonts w:ascii="Arial" w:cs="Arial" w:eastAsia="Arial" w:hAnsi="Arial"/>
                <w:sz w:val="13"/>
                <w:szCs w:val="13"/>
                <w:b w:val="1"/>
                <w:bCs w:val="1"/>
                <w:color w:val="auto"/>
              </w:rPr>
              <w:t>Value</w:t>
            </w:r>
          </w:p>
        </w:tc>
        <w:tc>
          <w:tcPr>
            <w:tcW w:w="940" w:type="dxa"/>
            <w:vAlign w:val="bottom"/>
          </w:tcPr>
          <w:p>
            <w:pPr>
              <w:jc w:val="right"/>
              <w:ind w:right="131"/>
              <w:spacing w:after="0"/>
              <w:rPr>
                <w:sz w:val="20"/>
                <w:szCs w:val="20"/>
                <w:color w:val="auto"/>
              </w:rPr>
            </w:pPr>
            <w:r>
              <w:rPr>
                <w:rFonts w:ascii="Arial" w:cs="Arial" w:eastAsia="Arial" w:hAnsi="Arial"/>
                <w:sz w:val="13"/>
                <w:szCs w:val="13"/>
                <w:b w:val="1"/>
                <w:bCs w:val="1"/>
                <w:color w:val="auto"/>
              </w:rPr>
              <w:t>As % of</w:t>
            </w:r>
          </w:p>
        </w:tc>
        <w:tc>
          <w:tcPr>
            <w:tcW w:w="1120" w:type="dxa"/>
            <w:vAlign w:val="bottom"/>
          </w:tcPr>
          <w:p>
            <w:pPr>
              <w:jc w:val="right"/>
              <w:ind w:right="132"/>
              <w:spacing w:after="0"/>
              <w:rPr>
                <w:sz w:val="20"/>
                <w:szCs w:val="20"/>
                <w:color w:val="auto"/>
              </w:rPr>
            </w:pPr>
            <w:r>
              <w:rPr>
                <w:rFonts w:ascii="Arial" w:cs="Arial" w:eastAsia="Arial" w:hAnsi="Arial"/>
                <w:sz w:val="13"/>
                <w:szCs w:val="13"/>
                <w:b w:val="1"/>
                <w:bCs w:val="1"/>
                <w:color w:val="auto"/>
              </w:rPr>
              <w:t>Value</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As % of</w:t>
            </w:r>
          </w:p>
        </w:tc>
      </w:tr>
      <w:tr>
        <w:trPr>
          <w:trHeight w:val="189"/>
        </w:trPr>
        <w:tc>
          <w:tcPr>
            <w:tcW w:w="2080" w:type="dxa"/>
            <w:vAlign w:val="bottom"/>
            <w:tcBorders>
              <w:bottom w:val="single" w:sz="8" w:color="1A3FD6"/>
            </w:tcBorders>
          </w:tcPr>
          <w:p>
            <w:pPr>
              <w:ind w:left="20"/>
              <w:spacing w:after="0"/>
              <w:rPr>
                <w:sz w:val="20"/>
                <w:szCs w:val="20"/>
                <w:color w:val="auto"/>
              </w:rPr>
            </w:pPr>
            <w:r>
              <w:rPr>
                <w:rFonts w:ascii="Arial" w:cs="Arial" w:eastAsia="Arial" w:hAnsi="Arial"/>
                <w:sz w:val="13"/>
                <w:szCs w:val="13"/>
                <w:b w:val="1"/>
                <w:bCs w:val="1"/>
                <w:color w:val="auto"/>
              </w:rPr>
              <w:t>Name</w:t>
            </w:r>
          </w:p>
        </w:tc>
        <w:tc>
          <w:tcPr>
            <w:tcW w:w="1420" w:type="dxa"/>
            <w:vAlign w:val="bottom"/>
            <w:tcBorders>
              <w:bottom w:val="single" w:sz="8" w:color="1A3FD6"/>
            </w:tcBorders>
          </w:tcPr>
          <w:p>
            <w:pPr>
              <w:jc w:val="right"/>
              <w:spacing w:after="0"/>
              <w:rPr>
                <w:sz w:val="20"/>
                <w:szCs w:val="20"/>
                <w:color w:val="auto"/>
              </w:rPr>
            </w:pPr>
            <w:r>
              <w:rPr>
                <w:rFonts w:ascii="Arial" w:cs="Arial" w:eastAsia="Arial" w:hAnsi="Arial"/>
                <w:sz w:val="13"/>
                <w:szCs w:val="13"/>
                <w:b w:val="1"/>
                <w:bCs w:val="1"/>
                <w:color w:val="auto"/>
              </w:rPr>
              <w:t>($)</w:t>
            </w:r>
          </w:p>
        </w:tc>
        <w:tc>
          <w:tcPr>
            <w:tcW w:w="1380" w:type="dxa"/>
            <w:vAlign w:val="bottom"/>
            <w:tcBorders>
              <w:bottom w:val="single" w:sz="8" w:color="1A3FD6"/>
            </w:tcBorders>
          </w:tcPr>
          <w:p>
            <w:pPr>
              <w:jc w:val="right"/>
              <w:ind w:right="373"/>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1A3FD6"/>
            </w:tcBorders>
          </w:tcPr>
          <w:p>
            <w:pPr>
              <w:jc w:val="right"/>
              <w:ind w:right="171"/>
              <w:spacing w:after="0"/>
              <w:rPr>
                <w:sz w:val="20"/>
                <w:szCs w:val="20"/>
                <w:color w:val="auto"/>
              </w:rPr>
            </w:pPr>
            <w:r>
              <w:rPr>
                <w:rFonts w:ascii="Arial" w:cs="Arial" w:eastAsia="Arial" w:hAnsi="Arial"/>
                <w:sz w:val="13"/>
                <w:szCs w:val="13"/>
                <w:b w:val="1"/>
                <w:bCs w:val="1"/>
                <w:color w:val="auto"/>
              </w:rPr>
              <w:t>Target</w:t>
            </w:r>
          </w:p>
        </w:tc>
        <w:tc>
          <w:tcPr>
            <w:tcW w:w="1200" w:type="dxa"/>
            <w:vAlign w:val="bottom"/>
            <w:tcBorders>
              <w:bottom w:val="single" w:sz="8" w:color="1A3FD6"/>
            </w:tcBorders>
          </w:tcPr>
          <w:p>
            <w:pPr>
              <w:jc w:val="right"/>
              <w:ind w:right="333"/>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1A3FD6"/>
            </w:tcBorders>
          </w:tcPr>
          <w:p>
            <w:pPr>
              <w:jc w:val="right"/>
              <w:ind w:right="131"/>
              <w:spacing w:after="0"/>
              <w:rPr>
                <w:sz w:val="20"/>
                <w:szCs w:val="20"/>
                <w:color w:val="auto"/>
              </w:rPr>
            </w:pPr>
            <w:r>
              <w:rPr>
                <w:rFonts w:ascii="Arial" w:cs="Arial" w:eastAsia="Arial" w:hAnsi="Arial"/>
                <w:sz w:val="13"/>
                <w:szCs w:val="13"/>
                <w:b w:val="1"/>
                <w:bCs w:val="1"/>
                <w:color w:val="auto"/>
              </w:rPr>
              <w:t>Target</w:t>
            </w:r>
          </w:p>
        </w:tc>
        <w:tc>
          <w:tcPr>
            <w:tcW w:w="940" w:type="dxa"/>
            <w:vAlign w:val="bottom"/>
            <w:tcBorders>
              <w:bottom w:val="single" w:sz="8" w:color="1A3FD6"/>
            </w:tcBorders>
          </w:tcPr>
          <w:p>
            <w:pPr>
              <w:jc w:val="right"/>
              <w:ind w:right="112"/>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1A3FD6"/>
            </w:tcBorders>
          </w:tcPr>
          <w:p>
            <w:pPr>
              <w:jc w:val="right"/>
              <w:ind w:right="131"/>
              <w:spacing w:after="0"/>
              <w:rPr>
                <w:sz w:val="20"/>
                <w:szCs w:val="20"/>
                <w:color w:val="auto"/>
              </w:rPr>
            </w:pPr>
            <w:r>
              <w:rPr>
                <w:rFonts w:ascii="Arial" w:cs="Arial" w:eastAsia="Arial" w:hAnsi="Arial"/>
                <w:sz w:val="13"/>
                <w:szCs w:val="13"/>
                <w:b w:val="1"/>
                <w:bCs w:val="1"/>
                <w:color w:val="auto"/>
              </w:rPr>
              <w:t>Target</w:t>
            </w:r>
          </w:p>
        </w:tc>
        <w:tc>
          <w:tcPr>
            <w:tcW w:w="1120" w:type="dxa"/>
            <w:vAlign w:val="bottom"/>
            <w:tcBorders>
              <w:bottom w:val="single" w:sz="8" w:color="1A3FD6"/>
            </w:tcBorders>
          </w:tcPr>
          <w:p>
            <w:pPr>
              <w:jc w:val="right"/>
              <w:ind w:right="132"/>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1A3FD6"/>
            </w:tcBorders>
          </w:tcPr>
          <w:p>
            <w:pPr>
              <w:jc w:val="right"/>
              <w:spacing w:after="0"/>
              <w:rPr>
                <w:sz w:val="20"/>
                <w:szCs w:val="20"/>
                <w:color w:val="auto"/>
              </w:rPr>
            </w:pPr>
            <w:r>
              <w:rPr>
                <w:rFonts w:ascii="Arial" w:cs="Arial" w:eastAsia="Arial" w:hAnsi="Arial"/>
                <w:sz w:val="13"/>
                <w:szCs w:val="13"/>
                <w:b w:val="1"/>
                <w:bCs w:val="1"/>
                <w:color w:val="auto"/>
              </w:rPr>
              <w:t>Target</w:t>
            </w:r>
          </w:p>
        </w:tc>
      </w:tr>
      <w:tr>
        <w:trPr>
          <w:trHeight w:val="219"/>
        </w:trPr>
        <w:tc>
          <w:tcPr>
            <w:tcW w:w="2080" w:type="dxa"/>
            <w:vAlign w:val="bottom"/>
          </w:tcPr>
          <w:p>
            <w:pPr>
              <w:ind w:left="20"/>
              <w:spacing w:after="0"/>
              <w:rPr>
                <w:sz w:val="20"/>
                <w:szCs w:val="20"/>
                <w:color w:val="auto"/>
              </w:rPr>
            </w:pPr>
            <w:r>
              <w:rPr>
                <w:rFonts w:ascii="Arial" w:cs="Arial" w:eastAsia="Arial" w:hAnsi="Arial"/>
                <w:sz w:val="14"/>
                <w:szCs w:val="14"/>
                <w:b w:val="1"/>
                <w:bCs w:val="1"/>
                <w:color w:val="1A3FD6"/>
              </w:rPr>
              <w:t>Henry A. Fernandez</w:t>
            </w:r>
          </w:p>
        </w:tc>
        <w:tc>
          <w:tcPr>
            <w:tcW w:w="1420" w:type="dxa"/>
            <w:vAlign w:val="bottom"/>
          </w:tcPr>
          <w:p>
            <w:pPr>
              <w:jc w:val="right"/>
              <w:ind w:right="11"/>
              <w:spacing w:after="0"/>
              <w:rPr>
                <w:sz w:val="20"/>
                <w:szCs w:val="20"/>
                <w:color w:val="auto"/>
              </w:rPr>
            </w:pPr>
            <w:r>
              <w:rPr>
                <w:rFonts w:ascii="Arial" w:cs="Arial" w:eastAsia="Arial" w:hAnsi="Arial"/>
                <w:sz w:val="14"/>
                <w:szCs w:val="14"/>
                <w:color w:val="auto"/>
              </w:rPr>
              <w:t>1,400,000</w:t>
            </w:r>
          </w:p>
        </w:tc>
        <w:tc>
          <w:tcPr>
            <w:tcW w:w="1380" w:type="dxa"/>
            <w:vAlign w:val="bottom"/>
          </w:tcPr>
          <w:p>
            <w:pPr>
              <w:jc w:val="right"/>
              <w:ind w:right="433"/>
              <w:spacing w:after="0"/>
              <w:rPr>
                <w:sz w:val="20"/>
                <w:szCs w:val="20"/>
                <w:color w:val="auto"/>
              </w:rPr>
            </w:pPr>
            <w:r>
              <w:rPr>
                <w:rFonts w:ascii="Arial" w:cs="Arial" w:eastAsia="Arial" w:hAnsi="Arial"/>
                <w:sz w:val="14"/>
                <w:szCs w:val="14"/>
                <w:color w:val="auto"/>
              </w:rPr>
              <w:t>923,720</w:t>
            </w:r>
          </w:p>
        </w:tc>
        <w:tc>
          <w:tcPr>
            <w:tcW w:w="700" w:type="dxa"/>
            <w:vAlign w:val="bottom"/>
          </w:tcPr>
          <w:p>
            <w:pPr>
              <w:jc w:val="right"/>
              <w:ind w:right="171"/>
              <w:spacing w:after="0"/>
              <w:rPr>
                <w:sz w:val="20"/>
                <w:szCs w:val="20"/>
                <w:color w:val="auto"/>
              </w:rPr>
            </w:pPr>
            <w:r>
              <w:rPr>
                <w:rFonts w:ascii="Arial" w:cs="Arial" w:eastAsia="Arial" w:hAnsi="Arial"/>
                <w:sz w:val="14"/>
                <w:szCs w:val="14"/>
                <w:color w:val="auto"/>
              </w:rPr>
              <w:t>94.3 %</w:t>
            </w:r>
          </w:p>
        </w:tc>
        <w:tc>
          <w:tcPr>
            <w:tcW w:w="1200" w:type="dxa"/>
            <w:vAlign w:val="bottom"/>
          </w:tcPr>
          <w:p>
            <w:pPr>
              <w:jc w:val="right"/>
              <w:ind w:right="373"/>
              <w:spacing w:after="0"/>
              <w:rPr>
                <w:sz w:val="20"/>
                <w:szCs w:val="20"/>
                <w:color w:val="auto"/>
              </w:rPr>
            </w:pPr>
            <w:r>
              <w:rPr>
                <w:rFonts w:ascii="Arial" w:cs="Arial" w:eastAsia="Arial" w:hAnsi="Arial"/>
                <w:sz w:val="14"/>
                <w:szCs w:val="14"/>
                <w:color w:val="auto"/>
              </w:rPr>
              <w:t>280,000</w:t>
            </w:r>
          </w:p>
        </w:tc>
        <w:tc>
          <w:tcPr>
            <w:tcW w:w="720" w:type="dxa"/>
            <w:vAlign w:val="bottom"/>
          </w:tcPr>
          <w:p>
            <w:pPr>
              <w:jc w:val="right"/>
              <w:ind w:right="131"/>
              <w:spacing w:after="0"/>
              <w:rPr>
                <w:sz w:val="20"/>
                <w:szCs w:val="20"/>
                <w:color w:val="auto"/>
              </w:rPr>
            </w:pPr>
            <w:r>
              <w:rPr>
                <w:rFonts w:ascii="Arial" w:cs="Arial" w:eastAsia="Arial" w:hAnsi="Arial"/>
                <w:sz w:val="14"/>
                <w:szCs w:val="14"/>
                <w:color w:val="auto"/>
                <w:w w:val="97"/>
              </w:rPr>
              <w:t>100.0 %</w:t>
            </w:r>
          </w:p>
        </w:tc>
        <w:tc>
          <w:tcPr>
            <w:tcW w:w="940" w:type="dxa"/>
            <w:vAlign w:val="bottom"/>
          </w:tcPr>
          <w:p>
            <w:pPr>
              <w:jc w:val="right"/>
              <w:ind w:right="172"/>
              <w:spacing w:after="0"/>
              <w:rPr>
                <w:sz w:val="20"/>
                <w:szCs w:val="20"/>
                <w:color w:val="auto"/>
              </w:rPr>
            </w:pPr>
            <w:r>
              <w:rPr>
                <w:rFonts w:ascii="Arial" w:cs="Arial" w:eastAsia="Arial" w:hAnsi="Arial"/>
                <w:sz w:val="14"/>
                <w:szCs w:val="14"/>
                <w:color w:val="auto"/>
              </w:rPr>
              <w:t>154,000</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110.0 %</w:t>
            </w:r>
          </w:p>
        </w:tc>
        <w:tc>
          <w:tcPr>
            <w:tcW w:w="1120" w:type="dxa"/>
            <w:vAlign w:val="bottom"/>
          </w:tcPr>
          <w:p>
            <w:pPr>
              <w:jc w:val="right"/>
              <w:ind w:right="192"/>
              <w:spacing w:after="0"/>
              <w:rPr>
                <w:sz w:val="20"/>
                <w:szCs w:val="20"/>
                <w:color w:val="auto"/>
              </w:rPr>
            </w:pPr>
            <w:r>
              <w:rPr>
                <w:rFonts w:ascii="Arial" w:cs="Arial" w:eastAsia="Arial" w:hAnsi="Arial"/>
                <w:sz w:val="14"/>
                <w:szCs w:val="14"/>
                <w:color w:val="auto"/>
              </w:rPr>
              <w:t>1,357,720</w:t>
            </w:r>
          </w:p>
        </w:tc>
        <w:tc>
          <w:tcPr>
            <w:tcW w:w="740" w:type="dxa"/>
            <w:vAlign w:val="bottom"/>
          </w:tcPr>
          <w:p>
            <w:pPr>
              <w:jc w:val="right"/>
              <w:spacing w:after="0"/>
              <w:rPr>
                <w:sz w:val="20"/>
                <w:szCs w:val="20"/>
                <w:color w:val="auto"/>
              </w:rPr>
            </w:pPr>
            <w:r>
              <w:rPr>
                <w:rFonts w:ascii="Arial" w:cs="Arial" w:eastAsia="Arial" w:hAnsi="Arial"/>
                <w:sz w:val="14"/>
                <w:szCs w:val="14"/>
                <w:color w:val="auto"/>
              </w:rPr>
              <w:t>96.98 %</w:t>
            </w:r>
          </w:p>
        </w:tc>
      </w:tr>
      <w:tr>
        <w:trPr>
          <w:trHeight w:val="237"/>
        </w:trPr>
        <w:tc>
          <w:tcPr>
            <w:tcW w:w="2080" w:type="dxa"/>
            <w:vAlign w:val="bottom"/>
            <w:shd w:val="clear" w:color="auto" w:fill="EDF0FC"/>
          </w:tcPr>
          <w:p>
            <w:pPr>
              <w:ind w:left="20"/>
              <w:spacing w:after="0"/>
              <w:rPr>
                <w:sz w:val="20"/>
                <w:szCs w:val="20"/>
                <w:color w:val="auto"/>
              </w:rPr>
            </w:pPr>
            <w:r>
              <w:rPr>
                <w:rFonts w:ascii="Arial" w:cs="Arial" w:eastAsia="Arial" w:hAnsi="Arial"/>
                <w:sz w:val="14"/>
                <w:szCs w:val="14"/>
                <w:b w:val="1"/>
                <w:bCs w:val="1"/>
                <w:color w:val="1A3FD6"/>
              </w:rPr>
              <w:t>Andrew C. Wiechmann</w:t>
            </w:r>
          </w:p>
        </w:tc>
        <w:tc>
          <w:tcPr>
            <w:tcW w:w="1420" w:type="dxa"/>
            <w:vAlign w:val="bottom"/>
            <w:shd w:val="clear" w:color="auto" w:fill="EDF0FC"/>
          </w:tcPr>
          <w:p>
            <w:pPr>
              <w:jc w:val="right"/>
              <w:ind w:right="11"/>
              <w:spacing w:after="0"/>
              <w:rPr>
                <w:sz w:val="20"/>
                <w:szCs w:val="20"/>
                <w:color w:val="auto"/>
              </w:rPr>
            </w:pPr>
            <w:r>
              <w:rPr>
                <w:rFonts w:ascii="Arial" w:cs="Arial" w:eastAsia="Arial" w:hAnsi="Arial"/>
                <w:sz w:val="14"/>
                <w:szCs w:val="14"/>
                <w:color w:val="auto"/>
              </w:rPr>
              <w:t>750,000</w:t>
            </w:r>
          </w:p>
        </w:tc>
        <w:tc>
          <w:tcPr>
            <w:tcW w:w="1380" w:type="dxa"/>
            <w:vAlign w:val="bottom"/>
            <w:shd w:val="clear" w:color="auto" w:fill="EDF0FC"/>
          </w:tcPr>
          <w:p>
            <w:pPr>
              <w:jc w:val="right"/>
              <w:ind w:right="433"/>
              <w:spacing w:after="0"/>
              <w:rPr>
                <w:sz w:val="20"/>
                <w:szCs w:val="20"/>
                <w:color w:val="auto"/>
              </w:rPr>
            </w:pPr>
            <w:r>
              <w:rPr>
                <w:rFonts w:ascii="Arial" w:cs="Arial" w:eastAsia="Arial" w:hAnsi="Arial"/>
                <w:sz w:val="14"/>
                <w:szCs w:val="14"/>
                <w:color w:val="auto"/>
              </w:rPr>
              <w:t>494,850</w:t>
            </w:r>
          </w:p>
        </w:tc>
        <w:tc>
          <w:tcPr>
            <w:tcW w:w="700" w:type="dxa"/>
            <w:vAlign w:val="bottom"/>
            <w:shd w:val="clear" w:color="auto" w:fill="EDF0FC"/>
          </w:tcPr>
          <w:p>
            <w:pPr>
              <w:jc w:val="right"/>
              <w:ind w:right="171"/>
              <w:spacing w:after="0"/>
              <w:rPr>
                <w:sz w:val="20"/>
                <w:szCs w:val="20"/>
                <w:color w:val="auto"/>
              </w:rPr>
            </w:pPr>
            <w:r>
              <w:rPr>
                <w:rFonts w:ascii="Arial" w:cs="Arial" w:eastAsia="Arial" w:hAnsi="Arial"/>
                <w:sz w:val="14"/>
                <w:szCs w:val="14"/>
                <w:color w:val="auto"/>
              </w:rPr>
              <w:t>94.3 %</w:t>
            </w:r>
          </w:p>
        </w:tc>
        <w:tc>
          <w:tcPr>
            <w:tcW w:w="1200" w:type="dxa"/>
            <w:vAlign w:val="bottom"/>
            <w:shd w:val="clear" w:color="auto" w:fill="EDF0FC"/>
          </w:tcPr>
          <w:p>
            <w:pPr>
              <w:jc w:val="right"/>
              <w:ind w:right="373"/>
              <w:spacing w:after="0"/>
              <w:rPr>
                <w:sz w:val="20"/>
                <w:szCs w:val="20"/>
                <w:color w:val="auto"/>
              </w:rPr>
            </w:pPr>
            <w:r>
              <w:rPr>
                <w:rFonts w:ascii="Arial" w:cs="Arial" w:eastAsia="Arial" w:hAnsi="Arial"/>
                <w:sz w:val="14"/>
                <w:szCs w:val="14"/>
                <w:color w:val="auto"/>
              </w:rPr>
              <w:t>150,000</w:t>
            </w:r>
          </w:p>
        </w:tc>
        <w:tc>
          <w:tcPr>
            <w:tcW w:w="720" w:type="dxa"/>
            <w:vAlign w:val="bottom"/>
            <w:shd w:val="clear" w:color="auto" w:fill="EDF0FC"/>
          </w:tcPr>
          <w:p>
            <w:pPr>
              <w:jc w:val="right"/>
              <w:ind w:right="131"/>
              <w:spacing w:after="0"/>
              <w:rPr>
                <w:sz w:val="20"/>
                <w:szCs w:val="20"/>
                <w:color w:val="auto"/>
              </w:rPr>
            </w:pPr>
            <w:r>
              <w:rPr>
                <w:rFonts w:ascii="Arial" w:cs="Arial" w:eastAsia="Arial" w:hAnsi="Arial"/>
                <w:sz w:val="14"/>
                <w:szCs w:val="14"/>
                <w:color w:val="auto"/>
                <w:w w:val="97"/>
              </w:rPr>
              <w:t>100.0 %</w:t>
            </w:r>
          </w:p>
        </w:tc>
        <w:tc>
          <w:tcPr>
            <w:tcW w:w="940" w:type="dxa"/>
            <w:vAlign w:val="bottom"/>
            <w:shd w:val="clear" w:color="auto" w:fill="EDF0FC"/>
          </w:tcPr>
          <w:p>
            <w:pPr>
              <w:jc w:val="right"/>
              <w:ind w:right="172"/>
              <w:spacing w:after="0"/>
              <w:rPr>
                <w:sz w:val="20"/>
                <w:szCs w:val="20"/>
                <w:color w:val="auto"/>
              </w:rPr>
            </w:pPr>
            <w:r>
              <w:rPr>
                <w:rFonts w:ascii="Arial" w:cs="Arial" w:eastAsia="Arial" w:hAnsi="Arial"/>
                <w:sz w:val="14"/>
                <w:szCs w:val="14"/>
                <w:color w:val="auto"/>
              </w:rPr>
              <w:t>82,500</w:t>
            </w:r>
          </w:p>
        </w:tc>
        <w:tc>
          <w:tcPr>
            <w:tcW w:w="940" w:type="dxa"/>
            <w:vAlign w:val="bottom"/>
            <w:shd w:val="clear" w:color="auto" w:fill="EDF0FC"/>
          </w:tcPr>
          <w:p>
            <w:pPr>
              <w:jc w:val="right"/>
              <w:ind w:right="151"/>
              <w:spacing w:after="0"/>
              <w:rPr>
                <w:sz w:val="20"/>
                <w:szCs w:val="20"/>
                <w:color w:val="auto"/>
              </w:rPr>
            </w:pPr>
            <w:r>
              <w:rPr>
                <w:rFonts w:ascii="Arial" w:cs="Arial" w:eastAsia="Arial" w:hAnsi="Arial"/>
                <w:sz w:val="14"/>
                <w:szCs w:val="14"/>
                <w:color w:val="auto"/>
              </w:rPr>
              <w:t>110.0 %</w:t>
            </w:r>
          </w:p>
        </w:tc>
        <w:tc>
          <w:tcPr>
            <w:tcW w:w="1120" w:type="dxa"/>
            <w:vAlign w:val="bottom"/>
            <w:shd w:val="clear" w:color="auto" w:fill="EDF0FC"/>
          </w:tcPr>
          <w:p>
            <w:pPr>
              <w:jc w:val="right"/>
              <w:ind w:right="192"/>
              <w:spacing w:after="0"/>
              <w:rPr>
                <w:sz w:val="20"/>
                <w:szCs w:val="20"/>
                <w:color w:val="auto"/>
              </w:rPr>
            </w:pPr>
            <w:r>
              <w:rPr>
                <w:rFonts w:ascii="Arial" w:cs="Arial" w:eastAsia="Arial" w:hAnsi="Arial"/>
                <w:sz w:val="14"/>
                <w:szCs w:val="14"/>
                <w:color w:val="auto"/>
              </w:rPr>
              <w:t>727,350</w:t>
            </w:r>
          </w:p>
        </w:tc>
        <w:tc>
          <w:tcPr>
            <w:tcW w:w="740" w:type="dxa"/>
            <w:vAlign w:val="bottom"/>
            <w:shd w:val="clear" w:color="auto" w:fill="EDF0FC"/>
          </w:tcPr>
          <w:p>
            <w:pPr>
              <w:jc w:val="right"/>
              <w:spacing w:after="0"/>
              <w:rPr>
                <w:sz w:val="20"/>
                <w:szCs w:val="20"/>
                <w:color w:val="auto"/>
              </w:rPr>
            </w:pPr>
            <w:r>
              <w:rPr>
                <w:rFonts w:ascii="Arial" w:cs="Arial" w:eastAsia="Arial" w:hAnsi="Arial"/>
                <w:sz w:val="14"/>
                <w:szCs w:val="14"/>
                <w:color w:val="auto"/>
              </w:rPr>
              <w:t>96.98 %</w:t>
            </w:r>
          </w:p>
        </w:tc>
      </w:tr>
      <w:tr>
        <w:trPr>
          <w:trHeight w:val="222"/>
        </w:trPr>
        <w:tc>
          <w:tcPr>
            <w:tcW w:w="2080" w:type="dxa"/>
            <w:vAlign w:val="bottom"/>
          </w:tcPr>
          <w:p>
            <w:pPr>
              <w:ind w:left="20"/>
              <w:spacing w:after="0"/>
              <w:rPr>
                <w:sz w:val="20"/>
                <w:szCs w:val="20"/>
                <w:color w:val="auto"/>
              </w:rPr>
            </w:pPr>
            <w:r>
              <w:rPr>
                <w:rFonts w:ascii="Arial" w:cs="Arial" w:eastAsia="Arial" w:hAnsi="Arial"/>
                <w:sz w:val="14"/>
                <w:szCs w:val="14"/>
                <w:b w:val="1"/>
                <w:bCs w:val="1"/>
                <w:color w:val="1A3FD6"/>
              </w:rPr>
              <w:t>C. D. Baer Pettit</w:t>
            </w:r>
            <w:r>
              <w:rPr>
                <w:rFonts w:ascii="Arial" w:cs="Arial" w:eastAsia="Arial" w:hAnsi="Arial"/>
                <w:sz w:val="9"/>
                <w:szCs w:val="9"/>
                <w:b w:val="1"/>
                <w:bCs w:val="1"/>
                <w:color w:val="1A3FD6"/>
              </w:rPr>
              <w:t>(1)</w:t>
            </w:r>
          </w:p>
        </w:tc>
        <w:tc>
          <w:tcPr>
            <w:tcW w:w="1420" w:type="dxa"/>
            <w:vAlign w:val="bottom"/>
          </w:tcPr>
          <w:p>
            <w:pPr>
              <w:jc w:val="right"/>
              <w:ind w:right="11"/>
              <w:spacing w:after="0"/>
              <w:rPr>
                <w:sz w:val="20"/>
                <w:szCs w:val="20"/>
                <w:color w:val="auto"/>
              </w:rPr>
            </w:pPr>
            <w:r>
              <w:rPr>
                <w:rFonts w:ascii="Arial" w:cs="Arial" w:eastAsia="Arial" w:hAnsi="Arial"/>
                <w:sz w:val="14"/>
                <w:szCs w:val="14"/>
                <w:color w:val="auto"/>
              </w:rPr>
              <w:t>1,150,190</w:t>
            </w:r>
          </w:p>
        </w:tc>
        <w:tc>
          <w:tcPr>
            <w:tcW w:w="1380" w:type="dxa"/>
            <w:vAlign w:val="bottom"/>
          </w:tcPr>
          <w:p>
            <w:pPr>
              <w:jc w:val="right"/>
              <w:ind w:right="433"/>
              <w:spacing w:after="0"/>
              <w:rPr>
                <w:sz w:val="20"/>
                <w:szCs w:val="20"/>
                <w:color w:val="auto"/>
              </w:rPr>
            </w:pPr>
            <w:r>
              <w:rPr>
                <w:rFonts w:ascii="Arial" w:cs="Arial" w:eastAsia="Arial" w:hAnsi="Arial"/>
                <w:sz w:val="14"/>
                <w:szCs w:val="14"/>
                <w:color w:val="auto"/>
              </w:rPr>
              <w:t>758,895</w:t>
            </w:r>
          </w:p>
        </w:tc>
        <w:tc>
          <w:tcPr>
            <w:tcW w:w="700" w:type="dxa"/>
            <w:vAlign w:val="bottom"/>
          </w:tcPr>
          <w:p>
            <w:pPr>
              <w:jc w:val="right"/>
              <w:ind w:right="171"/>
              <w:spacing w:after="0"/>
              <w:rPr>
                <w:sz w:val="20"/>
                <w:szCs w:val="20"/>
                <w:color w:val="auto"/>
              </w:rPr>
            </w:pPr>
            <w:r>
              <w:rPr>
                <w:rFonts w:ascii="Arial" w:cs="Arial" w:eastAsia="Arial" w:hAnsi="Arial"/>
                <w:sz w:val="14"/>
                <w:szCs w:val="14"/>
                <w:color w:val="auto"/>
              </w:rPr>
              <w:t>94.3 %</w:t>
            </w:r>
          </w:p>
        </w:tc>
        <w:tc>
          <w:tcPr>
            <w:tcW w:w="1200" w:type="dxa"/>
            <w:vAlign w:val="bottom"/>
          </w:tcPr>
          <w:p>
            <w:pPr>
              <w:jc w:val="right"/>
              <w:ind w:right="373"/>
              <w:spacing w:after="0"/>
              <w:rPr>
                <w:sz w:val="20"/>
                <w:szCs w:val="20"/>
                <w:color w:val="auto"/>
              </w:rPr>
            </w:pPr>
            <w:r>
              <w:rPr>
                <w:rFonts w:ascii="Arial" w:cs="Arial" w:eastAsia="Arial" w:hAnsi="Arial"/>
                <w:sz w:val="14"/>
                <w:szCs w:val="14"/>
                <w:color w:val="auto"/>
              </w:rPr>
              <w:t>230,038</w:t>
            </w:r>
          </w:p>
        </w:tc>
        <w:tc>
          <w:tcPr>
            <w:tcW w:w="720" w:type="dxa"/>
            <w:vAlign w:val="bottom"/>
          </w:tcPr>
          <w:p>
            <w:pPr>
              <w:jc w:val="right"/>
              <w:ind w:right="131"/>
              <w:spacing w:after="0"/>
              <w:rPr>
                <w:sz w:val="20"/>
                <w:szCs w:val="20"/>
                <w:color w:val="auto"/>
              </w:rPr>
            </w:pPr>
            <w:r>
              <w:rPr>
                <w:rFonts w:ascii="Arial" w:cs="Arial" w:eastAsia="Arial" w:hAnsi="Arial"/>
                <w:sz w:val="14"/>
                <w:szCs w:val="14"/>
                <w:color w:val="auto"/>
                <w:w w:val="97"/>
              </w:rPr>
              <w:t>100.0 %</w:t>
            </w:r>
          </w:p>
        </w:tc>
        <w:tc>
          <w:tcPr>
            <w:tcW w:w="940" w:type="dxa"/>
            <w:vAlign w:val="bottom"/>
          </w:tcPr>
          <w:p>
            <w:pPr>
              <w:jc w:val="right"/>
              <w:ind w:right="172"/>
              <w:spacing w:after="0"/>
              <w:rPr>
                <w:sz w:val="20"/>
                <w:szCs w:val="20"/>
                <w:color w:val="auto"/>
              </w:rPr>
            </w:pPr>
            <w:r>
              <w:rPr>
                <w:rFonts w:ascii="Arial" w:cs="Arial" w:eastAsia="Arial" w:hAnsi="Arial"/>
                <w:sz w:val="14"/>
                <w:szCs w:val="14"/>
                <w:color w:val="auto"/>
              </w:rPr>
              <w:t>120,770</w:t>
            </w:r>
          </w:p>
        </w:tc>
        <w:tc>
          <w:tcPr>
            <w:tcW w:w="940" w:type="dxa"/>
            <w:vAlign w:val="bottom"/>
          </w:tcPr>
          <w:p>
            <w:pPr>
              <w:jc w:val="right"/>
              <w:ind w:right="151"/>
              <w:spacing w:after="0"/>
              <w:rPr>
                <w:sz w:val="20"/>
                <w:szCs w:val="20"/>
                <w:color w:val="auto"/>
              </w:rPr>
            </w:pPr>
            <w:r>
              <w:rPr>
                <w:rFonts w:ascii="Arial" w:cs="Arial" w:eastAsia="Arial" w:hAnsi="Arial"/>
                <w:sz w:val="14"/>
                <w:szCs w:val="14"/>
                <w:color w:val="auto"/>
              </w:rPr>
              <w:t>105.0 %</w:t>
            </w:r>
          </w:p>
        </w:tc>
        <w:tc>
          <w:tcPr>
            <w:tcW w:w="1120" w:type="dxa"/>
            <w:vAlign w:val="bottom"/>
          </w:tcPr>
          <w:p>
            <w:pPr>
              <w:jc w:val="right"/>
              <w:ind w:right="192"/>
              <w:spacing w:after="0"/>
              <w:rPr>
                <w:sz w:val="20"/>
                <w:szCs w:val="20"/>
                <w:color w:val="auto"/>
              </w:rPr>
            </w:pPr>
            <w:r>
              <w:rPr>
                <w:rFonts w:ascii="Arial" w:cs="Arial" w:eastAsia="Arial" w:hAnsi="Arial"/>
                <w:sz w:val="14"/>
                <w:szCs w:val="14"/>
                <w:color w:val="auto"/>
              </w:rPr>
              <w:t>1,109,703</w:t>
            </w:r>
          </w:p>
        </w:tc>
        <w:tc>
          <w:tcPr>
            <w:tcW w:w="740" w:type="dxa"/>
            <w:vAlign w:val="bottom"/>
          </w:tcPr>
          <w:p>
            <w:pPr>
              <w:jc w:val="right"/>
              <w:spacing w:after="0"/>
              <w:rPr>
                <w:sz w:val="20"/>
                <w:szCs w:val="20"/>
                <w:color w:val="auto"/>
              </w:rPr>
            </w:pPr>
            <w:r>
              <w:rPr>
                <w:rFonts w:ascii="Arial" w:cs="Arial" w:eastAsia="Arial" w:hAnsi="Arial"/>
                <w:sz w:val="14"/>
                <w:szCs w:val="14"/>
                <w:color w:val="auto"/>
              </w:rPr>
              <w:t>96.48 %</w:t>
            </w:r>
          </w:p>
        </w:tc>
      </w:tr>
      <w:tr>
        <w:trPr>
          <w:trHeight w:val="237"/>
        </w:trPr>
        <w:tc>
          <w:tcPr>
            <w:tcW w:w="2080" w:type="dxa"/>
            <w:vAlign w:val="bottom"/>
            <w:shd w:val="clear" w:color="auto" w:fill="EDF0FC"/>
          </w:tcPr>
          <w:p>
            <w:pPr>
              <w:ind w:left="20"/>
              <w:spacing w:after="0"/>
              <w:rPr>
                <w:sz w:val="20"/>
                <w:szCs w:val="20"/>
                <w:color w:val="auto"/>
              </w:rPr>
            </w:pPr>
            <w:r>
              <w:rPr>
                <w:rFonts w:ascii="Arial" w:cs="Arial" w:eastAsia="Arial" w:hAnsi="Arial"/>
                <w:sz w:val="14"/>
                <w:szCs w:val="14"/>
                <w:b w:val="1"/>
                <w:bCs w:val="1"/>
                <w:color w:val="1A3FD6"/>
              </w:rPr>
              <w:t>Scott A. Crum</w:t>
            </w:r>
          </w:p>
        </w:tc>
        <w:tc>
          <w:tcPr>
            <w:tcW w:w="1420" w:type="dxa"/>
            <w:vAlign w:val="bottom"/>
            <w:shd w:val="clear" w:color="auto" w:fill="EDF0FC"/>
          </w:tcPr>
          <w:p>
            <w:pPr>
              <w:jc w:val="right"/>
              <w:ind w:right="11"/>
              <w:spacing w:after="0"/>
              <w:rPr>
                <w:sz w:val="20"/>
                <w:szCs w:val="20"/>
                <w:color w:val="auto"/>
              </w:rPr>
            </w:pPr>
            <w:r>
              <w:rPr>
                <w:rFonts w:ascii="Arial" w:cs="Arial" w:eastAsia="Arial" w:hAnsi="Arial"/>
                <w:sz w:val="14"/>
                <w:szCs w:val="14"/>
                <w:color w:val="auto"/>
              </w:rPr>
              <w:t>700,000</w:t>
            </w:r>
          </w:p>
        </w:tc>
        <w:tc>
          <w:tcPr>
            <w:tcW w:w="1380" w:type="dxa"/>
            <w:vAlign w:val="bottom"/>
            <w:shd w:val="clear" w:color="auto" w:fill="EDF0FC"/>
          </w:tcPr>
          <w:p>
            <w:pPr>
              <w:jc w:val="right"/>
              <w:ind w:right="433"/>
              <w:spacing w:after="0"/>
              <w:rPr>
                <w:sz w:val="20"/>
                <w:szCs w:val="20"/>
                <w:color w:val="auto"/>
              </w:rPr>
            </w:pPr>
            <w:r>
              <w:rPr>
                <w:rFonts w:ascii="Arial" w:cs="Arial" w:eastAsia="Arial" w:hAnsi="Arial"/>
                <w:sz w:val="14"/>
                <w:szCs w:val="14"/>
                <w:color w:val="auto"/>
              </w:rPr>
              <w:t>461,860</w:t>
            </w:r>
          </w:p>
        </w:tc>
        <w:tc>
          <w:tcPr>
            <w:tcW w:w="700" w:type="dxa"/>
            <w:vAlign w:val="bottom"/>
            <w:shd w:val="clear" w:color="auto" w:fill="EDF0FC"/>
          </w:tcPr>
          <w:p>
            <w:pPr>
              <w:jc w:val="right"/>
              <w:ind w:right="171"/>
              <w:spacing w:after="0"/>
              <w:rPr>
                <w:sz w:val="20"/>
                <w:szCs w:val="20"/>
                <w:color w:val="auto"/>
              </w:rPr>
            </w:pPr>
            <w:r>
              <w:rPr>
                <w:rFonts w:ascii="Arial" w:cs="Arial" w:eastAsia="Arial" w:hAnsi="Arial"/>
                <w:sz w:val="14"/>
                <w:szCs w:val="14"/>
                <w:color w:val="auto"/>
              </w:rPr>
              <w:t>94.3 %</w:t>
            </w:r>
          </w:p>
        </w:tc>
        <w:tc>
          <w:tcPr>
            <w:tcW w:w="1200" w:type="dxa"/>
            <w:vAlign w:val="bottom"/>
            <w:shd w:val="clear" w:color="auto" w:fill="EDF0FC"/>
          </w:tcPr>
          <w:p>
            <w:pPr>
              <w:jc w:val="right"/>
              <w:ind w:right="373"/>
              <w:spacing w:after="0"/>
              <w:rPr>
                <w:sz w:val="20"/>
                <w:szCs w:val="20"/>
                <w:color w:val="auto"/>
              </w:rPr>
            </w:pPr>
            <w:r>
              <w:rPr>
                <w:rFonts w:ascii="Arial" w:cs="Arial" w:eastAsia="Arial" w:hAnsi="Arial"/>
                <w:sz w:val="14"/>
                <w:szCs w:val="14"/>
                <w:color w:val="auto"/>
              </w:rPr>
              <w:t>140,000</w:t>
            </w:r>
          </w:p>
        </w:tc>
        <w:tc>
          <w:tcPr>
            <w:tcW w:w="720" w:type="dxa"/>
            <w:vAlign w:val="bottom"/>
            <w:shd w:val="clear" w:color="auto" w:fill="EDF0FC"/>
          </w:tcPr>
          <w:p>
            <w:pPr>
              <w:jc w:val="right"/>
              <w:ind w:right="131"/>
              <w:spacing w:after="0"/>
              <w:rPr>
                <w:sz w:val="20"/>
                <w:szCs w:val="20"/>
                <w:color w:val="auto"/>
              </w:rPr>
            </w:pPr>
            <w:r>
              <w:rPr>
                <w:rFonts w:ascii="Arial" w:cs="Arial" w:eastAsia="Arial" w:hAnsi="Arial"/>
                <w:sz w:val="14"/>
                <w:szCs w:val="14"/>
                <w:color w:val="auto"/>
                <w:w w:val="97"/>
              </w:rPr>
              <w:t>100.0 %</w:t>
            </w:r>
          </w:p>
        </w:tc>
        <w:tc>
          <w:tcPr>
            <w:tcW w:w="940" w:type="dxa"/>
            <w:vAlign w:val="bottom"/>
            <w:shd w:val="clear" w:color="auto" w:fill="EDF0FC"/>
          </w:tcPr>
          <w:p>
            <w:pPr>
              <w:jc w:val="right"/>
              <w:ind w:right="172"/>
              <w:spacing w:after="0"/>
              <w:rPr>
                <w:sz w:val="20"/>
                <w:szCs w:val="20"/>
                <w:color w:val="auto"/>
              </w:rPr>
            </w:pPr>
            <w:r>
              <w:rPr>
                <w:rFonts w:ascii="Arial" w:cs="Arial" w:eastAsia="Arial" w:hAnsi="Arial"/>
                <w:sz w:val="14"/>
                <w:szCs w:val="14"/>
                <w:color w:val="auto"/>
              </w:rPr>
              <w:t>77,000</w:t>
            </w:r>
          </w:p>
        </w:tc>
        <w:tc>
          <w:tcPr>
            <w:tcW w:w="940" w:type="dxa"/>
            <w:vAlign w:val="bottom"/>
            <w:shd w:val="clear" w:color="auto" w:fill="EDF0FC"/>
          </w:tcPr>
          <w:p>
            <w:pPr>
              <w:jc w:val="right"/>
              <w:ind w:right="151"/>
              <w:spacing w:after="0"/>
              <w:rPr>
                <w:sz w:val="20"/>
                <w:szCs w:val="20"/>
                <w:color w:val="auto"/>
              </w:rPr>
            </w:pPr>
            <w:r>
              <w:rPr>
                <w:rFonts w:ascii="Arial" w:cs="Arial" w:eastAsia="Arial" w:hAnsi="Arial"/>
                <w:sz w:val="14"/>
                <w:szCs w:val="14"/>
                <w:color w:val="auto"/>
              </w:rPr>
              <w:t>110.0 %</w:t>
            </w:r>
          </w:p>
        </w:tc>
        <w:tc>
          <w:tcPr>
            <w:tcW w:w="1120" w:type="dxa"/>
            <w:vAlign w:val="bottom"/>
            <w:shd w:val="clear" w:color="auto" w:fill="EDF0FC"/>
          </w:tcPr>
          <w:p>
            <w:pPr>
              <w:jc w:val="right"/>
              <w:ind w:right="192"/>
              <w:spacing w:after="0"/>
              <w:rPr>
                <w:sz w:val="20"/>
                <w:szCs w:val="20"/>
                <w:color w:val="auto"/>
              </w:rPr>
            </w:pPr>
            <w:r>
              <w:rPr>
                <w:rFonts w:ascii="Arial" w:cs="Arial" w:eastAsia="Arial" w:hAnsi="Arial"/>
                <w:sz w:val="14"/>
                <w:szCs w:val="14"/>
                <w:color w:val="auto"/>
              </w:rPr>
              <w:t>678,860</w:t>
            </w:r>
          </w:p>
        </w:tc>
        <w:tc>
          <w:tcPr>
            <w:tcW w:w="740" w:type="dxa"/>
            <w:vAlign w:val="bottom"/>
            <w:shd w:val="clear" w:color="auto" w:fill="EDF0FC"/>
          </w:tcPr>
          <w:p>
            <w:pPr>
              <w:jc w:val="right"/>
              <w:spacing w:after="0"/>
              <w:rPr>
                <w:sz w:val="20"/>
                <w:szCs w:val="20"/>
                <w:color w:val="auto"/>
              </w:rPr>
            </w:pPr>
            <w:r>
              <w:rPr>
                <w:rFonts w:ascii="Arial" w:cs="Arial" w:eastAsia="Arial" w:hAnsi="Arial"/>
                <w:sz w:val="14"/>
                <w:szCs w:val="14"/>
                <w:color w:val="auto"/>
              </w:rPr>
              <w:t>96.98 %</w:t>
            </w:r>
          </w:p>
        </w:tc>
      </w:tr>
      <w:tr>
        <w:trPr>
          <w:trHeight w:val="223"/>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1A3FD6"/>
              </w:rPr>
              <w:t>Robert J. Gutowski</w:t>
            </w: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650,000</w:t>
            </w: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428,870</w:t>
            </w: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94.3 %</w:t>
            </w: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130,000</w:t>
            </w: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97"/>
              </w:rPr>
              <w:t>100.0 %</w:t>
            </w: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71,500</w:t>
            </w: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110.0 %</w:t>
            </w:r>
          </w:p>
        </w:tc>
        <w:tc>
          <w:tcPr>
            <w:tcW w:w="11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630,370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96.98 %</w:t>
            </w:r>
          </w:p>
        </w:tc>
      </w:tr>
    </w:tbl>
    <w:p>
      <w:pPr>
        <w:spacing w:after="0" w:line="193" w:lineRule="exact"/>
        <w:rPr>
          <w:sz w:val="20"/>
          <w:szCs w:val="20"/>
          <w:color w:val="auto"/>
        </w:rPr>
      </w:pPr>
    </w:p>
    <w:p>
      <w:pPr>
        <w:ind w:left="200" w:right="160" w:hanging="192"/>
        <w:spacing w:after="0" w:line="239" w:lineRule="auto"/>
        <w:tabs>
          <w:tab w:leader="none" w:pos="187" w:val="left"/>
        </w:tabs>
        <w:numPr>
          <w:ilvl w:val="0"/>
          <w:numId w:val="85"/>
        </w:numPr>
        <w:rPr>
          <w:rFonts w:ascii="Arial" w:cs="Arial" w:eastAsia="Arial" w:hAnsi="Arial"/>
          <w:sz w:val="19"/>
          <w:szCs w:val="19"/>
          <w:color w:val="auto"/>
          <w:vertAlign w:val="superscript"/>
        </w:rPr>
      </w:pPr>
      <w:r>
        <w:rPr>
          <w:rFonts w:ascii="Arial" w:cs="Arial" w:eastAsia="Arial" w:hAnsi="Arial"/>
          <w:sz w:val="14"/>
          <w:szCs w:val="14"/>
          <w:color w:val="auto"/>
        </w:rPr>
        <w:t>The actual cash incentive bonus amount reflected in the table above for Mr. Pettit was converted from British pounds sterling to U.S. dollars using the fiscal year average of daily spot rates of £1 to $1.278.</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Long-Term Equity Incentive Compensation Program</w:t>
      </w:r>
    </w:p>
    <w:p>
      <w:pPr>
        <w:spacing w:after="0" w:line="101" w:lineRule="exact"/>
        <w:rPr>
          <w:sz w:val="20"/>
          <w:szCs w:val="20"/>
          <w:color w:val="auto"/>
        </w:rPr>
      </w:pPr>
    </w:p>
    <w:p>
      <w:pPr>
        <w:ind w:right="660"/>
        <w:spacing w:after="0" w:line="292" w:lineRule="auto"/>
        <w:rPr>
          <w:sz w:val="20"/>
          <w:szCs w:val="20"/>
          <w:color w:val="auto"/>
        </w:rPr>
      </w:pPr>
      <w:r>
        <w:rPr>
          <w:rFonts w:ascii="Arial" w:cs="Arial" w:eastAsia="Arial" w:hAnsi="Arial"/>
          <w:sz w:val="16"/>
          <w:szCs w:val="16"/>
          <w:color w:val="auto"/>
        </w:rPr>
        <w:t>The Compensation Committee believes that MSCI’s executive compensation program should reinforce a pay-for-performance culture that aligns the interests of our senior executives with those of our shareholders by incorporating the achievement of multi-year performance metrics into variable compensation awards (in addition to the annual financial metrics applicable to cash incentive awards under the AIP).</w:t>
      </w:r>
    </w:p>
    <w:p>
      <w:pPr>
        <w:spacing w:after="0" w:line="71"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In 2024, the Compensation Committee approved an LTIP that was materially consistent with the program approved in 2022, which is comprised of (i) PSOs that are earned and vest based on achievement of two equally-weighted performance metrics that are directly linked to the Company’s strategic planning— cumulative revenue and cumulative adjusted EPS—each measured over a cumulative three-year performance period, (ii) PSUs earned based on absolute TSR CAGR over a 3-year performance period and (iii) RSU grants that cliff-vest 100% at the end of a three-year service period (rather than annual ratable vesting over a three-year period). We believe that the cumulative revenue and cumulative adjusted EPS performance metrics will align our executives’ interest with those of our shareholders and drive focus on achievement of longer-term strategic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8420"/>
              <w:spacing w:after="0"/>
              <w:rPr>
                <w:sz w:val="20"/>
                <w:szCs w:val="20"/>
                <w:color w:val="auto"/>
              </w:rPr>
            </w:pPr>
            <w:r>
              <w:rPr>
                <w:rFonts w:ascii="Arial" w:cs="Arial" w:eastAsia="Arial" w:hAnsi="Arial"/>
                <w:sz w:val="14"/>
                <w:szCs w:val="14"/>
                <w:b w:val="1"/>
                <w:bCs w:val="1"/>
                <w:color w:val="1A3FD6"/>
              </w:rPr>
              <w:t>Compensation Matters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75</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0" w:lineRule="exact"/>
        <w:rPr>
          <w:sz w:val="20"/>
          <w:szCs w:val="20"/>
          <w:color w:val="auto"/>
        </w:rPr>
      </w:pPr>
    </w:p>
    <w:p>
      <w:pPr>
        <w:spacing w:after="0" w:line="204"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Additionally, to support our “owner-operator” culture, in 2024 the Compensation Committee retained a one-year post-vest mandatory holding period to our annual PSUs, including those that were granted to our NEOs, where such shares, or rights with respect to such shares, may not be sold, transferred or otherwise disposed of until the expiration of such holding period.</w:t>
      </w:r>
    </w:p>
    <w:p>
      <w:pPr>
        <w:spacing w:after="0" w:line="71"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In 2024, based on feedback received from shareholders, the Compensation Committee reduced the payout maximum under the 2024 annual PSUs from 300% to 200% of the target number of shares granted. In addition, the Compensation Committee determined that it would be appropriate to rebalance the equity mix (as set forth in the table below) for our NEOs to place greater emphasis on PSOs to highlight the importance of the operating metrics that underlie the performance condition for the PSOs: cumulative revenue and cumulative adjusted EPS. (Prior to 2024, the CEO and President and CEO received 50% of their equity incentive compensation in the form of PSUs and 50% in the form of PSOs, and the other NEOs received 30% of their equity incentive compensation in the form of RSUs, 35% in the form of PSUs and 35% in the form of PSOs.) Other factors that the Compensation Committee considered when increasing the weighting of PSOs for our NEOs include: the PSOs’ longer-term orientation through a 10-year option term, and the need for stock price appreciation—in addition to achievement against the performance goals—for the PSOs to deliver value to participants.</w:t>
      </w:r>
    </w:p>
    <w:p>
      <w:pPr>
        <w:spacing w:after="0" w:line="38" w:lineRule="exact"/>
        <w:rPr>
          <w:sz w:val="20"/>
          <w:szCs w:val="20"/>
          <w:color w:val="auto"/>
        </w:rPr>
      </w:pPr>
    </w:p>
    <w:p>
      <w:pPr>
        <w:jc w:val="both"/>
        <w:ind w:right="260"/>
        <w:spacing w:after="0" w:line="292" w:lineRule="auto"/>
        <w:rPr>
          <w:sz w:val="20"/>
          <w:szCs w:val="20"/>
          <w:color w:val="auto"/>
        </w:rPr>
      </w:pPr>
      <w:r>
        <w:rPr>
          <w:rFonts w:ascii="Arial" w:cs="Arial" w:eastAsia="Arial" w:hAnsi="Arial"/>
          <w:sz w:val="16"/>
          <w:szCs w:val="16"/>
          <w:color w:val="auto"/>
        </w:rPr>
        <w:t>For 2024, the Compensation Committee also approved modest increases in annual long-term incentive compensation for our NEOs after consideration of several factors, including peer group market data and competitive practices. In 2024, the Compensation Committee did not make any changes to annual base salary or annual target cash incentive compensation for our NEOs.</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1A3FD6"/>
        </w:rPr>
        <w:t>2024 Equity Mix</w:t>
      </w:r>
    </w:p>
    <w:p>
      <w:pPr>
        <w:spacing w:after="0" w:line="85"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The table below sets forth the allocation of 2024 RSUs, PSUs and PSOs granted to the NEOs. As reflected in the table below, in 2024, Mr. Fernandez and Mr. Pettit received 100% of their equity incentive compensation in the form of PSUs and PSOs.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2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Vehicle</w:t>
            </w:r>
          </w:p>
        </w:tc>
        <w:tc>
          <w:tcPr>
            <w:tcW w:w="4160" w:type="dxa"/>
            <w:vAlign w:val="bottom"/>
            <w:tcBorders>
              <w:bottom w:val="single" w:sz="8" w:color="1A3FD6"/>
            </w:tcBorders>
          </w:tcPr>
          <w:p>
            <w:pPr>
              <w:jc w:val="right"/>
              <w:ind w:right="221"/>
              <w:spacing w:after="0"/>
              <w:rPr>
                <w:sz w:val="20"/>
                <w:szCs w:val="20"/>
                <w:color w:val="auto"/>
              </w:rPr>
            </w:pPr>
            <w:r>
              <w:rPr>
                <w:rFonts w:ascii="Arial" w:cs="Arial" w:eastAsia="Arial" w:hAnsi="Arial"/>
                <w:sz w:val="14"/>
                <w:szCs w:val="14"/>
                <w:b w:val="1"/>
                <w:bCs w:val="1"/>
                <w:color w:val="auto"/>
              </w:rPr>
              <w:t>CEO</w:t>
            </w:r>
          </w:p>
        </w:tc>
        <w:tc>
          <w:tcPr>
            <w:tcW w:w="1920" w:type="dxa"/>
            <w:vAlign w:val="bottom"/>
            <w:tcBorders>
              <w:bottom w:val="single" w:sz="8" w:color="1A3FD6"/>
            </w:tcBorders>
          </w:tcPr>
          <w:p>
            <w:pPr>
              <w:jc w:val="right"/>
              <w:ind w:right="241"/>
              <w:spacing w:after="0"/>
              <w:rPr>
                <w:sz w:val="20"/>
                <w:szCs w:val="20"/>
                <w:color w:val="auto"/>
              </w:rPr>
            </w:pPr>
            <w:r>
              <w:rPr>
                <w:rFonts w:ascii="Arial" w:cs="Arial" w:eastAsia="Arial" w:hAnsi="Arial"/>
                <w:sz w:val="14"/>
                <w:szCs w:val="14"/>
                <w:b w:val="1"/>
                <w:bCs w:val="1"/>
                <w:color w:val="auto"/>
              </w:rPr>
              <w:t>President and COO</w:t>
            </w:r>
          </w:p>
        </w:tc>
        <w:tc>
          <w:tcPr>
            <w:tcW w:w="114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Other NEOs</w:t>
            </w:r>
          </w:p>
        </w:tc>
      </w:tr>
      <w:tr>
        <w:trPr>
          <w:trHeight w:val="235"/>
        </w:trPr>
        <w:tc>
          <w:tcPr>
            <w:tcW w:w="4020" w:type="dxa"/>
            <w:vAlign w:val="bottom"/>
          </w:tcPr>
          <w:p>
            <w:pPr>
              <w:ind w:left="20"/>
              <w:spacing w:after="0"/>
              <w:rPr>
                <w:sz w:val="20"/>
                <w:szCs w:val="20"/>
                <w:color w:val="auto"/>
              </w:rPr>
            </w:pPr>
            <w:r>
              <w:rPr>
                <w:rFonts w:ascii="Arial" w:cs="Arial" w:eastAsia="Arial" w:hAnsi="Arial"/>
                <w:sz w:val="16"/>
                <w:szCs w:val="16"/>
                <w:color w:val="auto"/>
              </w:rPr>
              <w:t>RSUs</w:t>
            </w:r>
          </w:p>
        </w:tc>
        <w:tc>
          <w:tcPr>
            <w:tcW w:w="4160" w:type="dxa"/>
            <w:vAlign w:val="bottom"/>
          </w:tcPr>
          <w:p>
            <w:pPr>
              <w:jc w:val="right"/>
              <w:ind w:right="221"/>
              <w:spacing w:after="0"/>
              <w:rPr>
                <w:sz w:val="20"/>
                <w:szCs w:val="20"/>
                <w:color w:val="auto"/>
              </w:rPr>
            </w:pPr>
            <w:r>
              <w:rPr>
                <w:rFonts w:ascii="Arial" w:cs="Arial" w:eastAsia="Arial" w:hAnsi="Arial"/>
                <w:sz w:val="16"/>
                <w:szCs w:val="16"/>
                <w:color w:val="auto"/>
              </w:rPr>
              <w:t>0 %</w:t>
            </w:r>
          </w:p>
        </w:tc>
        <w:tc>
          <w:tcPr>
            <w:tcW w:w="1920" w:type="dxa"/>
            <w:vAlign w:val="bottom"/>
          </w:tcPr>
          <w:p>
            <w:pPr>
              <w:jc w:val="right"/>
              <w:ind w:right="241"/>
              <w:spacing w:after="0"/>
              <w:rPr>
                <w:sz w:val="20"/>
                <w:szCs w:val="20"/>
                <w:color w:val="auto"/>
              </w:rPr>
            </w:pPr>
            <w:r>
              <w:rPr>
                <w:rFonts w:ascii="Arial" w:cs="Arial" w:eastAsia="Arial" w:hAnsi="Arial"/>
                <w:sz w:val="16"/>
                <w:szCs w:val="16"/>
                <w:color w:val="auto"/>
              </w:rPr>
              <w:t>0 %</w:t>
            </w:r>
          </w:p>
        </w:tc>
        <w:tc>
          <w:tcPr>
            <w:tcW w:w="114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51"/>
        </w:trPr>
        <w:tc>
          <w:tcPr>
            <w:tcW w:w="4020" w:type="dxa"/>
            <w:vAlign w:val="bottom"/>
            <w:shd w:val="clear" w:color="auto" w:fill="EDF0FC"/>
          </w:tcPr>
          <w:p>
            <w:pPr>
              <w:ind w:left="20"/>
              <w:spacing w:after="0"/>
              <w:rPr>
                <w:sz w:val="20"/>
                <w:szCs w:val="20"/>
                <w:color w:val="auto"/>
              </w:rPr>
            </w:pPr>
            <w:r>
              <w:rPr>
                <w:rFonts w:ascii="Arial" w:cs="Arial" w:eastAsia="Arial" w:hAnsi="Arial"/>
                <w:sz w:val="16"/>
                <w:szCs w:val="16"/>
                <w:color w:val="auto"/>
              </w:rPr>
              <w:t>PSUs</w:t>
            </w:r>
          </w:p>
        </w:tc>
        <w:tc>
          <w:tcPr>
            <w:tcW w:w="4160" w:type="dxa"/>
            <w:vAlign w:val="bottom"/>
            <w:shd w:val="clear" w:color="auto" w:fill="EDF0FC"/>
          </w:tcPr>
          <w:p>
            <w:pPr>
              <w:jc w:val="right"/>
              <w:ind w:right="221"/>
              <w:spacing w:after="0"/>
              <w:rPr>
                <w:sz w:val="20"/>
                <w:szCs w:val="20"/>
                <w:color w:val="auto"/>
              </w:rPr>
            </w:pPr>
            <w:r>
              <w:rPr>
                <w:rFonts w:ascii="Arial" w:cs="Arial" w:eastAsia="Arial" w:hAnsi="Arial"/>
                <w:sz w:val="16"/>
                <w:szCs w:val="16"/>
                <w:color w:val="auto"/>
              </w:rPr>
              <w:t>30 %</w:t>
            </w:r>
          </w:p>
        </w:tc>
        <w:tc>
          <w:tcPr>
            <w:tcW w:w="1920" w:type="dxa"/>
            <w:vAlign w:val="bottom"/>
            <w:shd w:val="clear" w:color="auto" w:fill="EDF0FC"/>
          </w:tcPr>
          <w:p>
            <w:pPr>
              <w:jc w:val="right"/>
              <w:ind w:right="241"/>
              <w:spacing w:after="0"/>
              <w:rPr>
                <w:sz w:val="20"/>
                <w:szCs w:val="20"/>
                <w:color w:val="auto"/>
              </w:rPr>
            </w:pPr>
            <w:r>
              <w:rPr>
                <w:rFonts w:ascii="Arial" w:cs="Arial" w:eastAsia="Arial" w:hAnsi="Arial"/>
                <w:sz w:val="16"/>
                <w:szCs w:val="16"/>
                <w:color w:val="auto"/>
              </w:rPr>
              <w:t>30 %</w:t>
            </w:r>
          </w:p>
        </w:tc>
        <w:tc>
          <w:tcPr>
            <w:tcW w:w="11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30 %</w:t>
            </w:r>
          </w:p>
        </w:tc>
      </w:tr>
      <w:tr>
        <w:trPr>
          <w:trHeight w:val="237"/>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PSOs</w:t>
            </w:r>
          </w:p>
        </w:tc>
        <w:tc>
          <w:tcPr>
            <w:tcW w:w="41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70 %</w:t>
            </w:r>
          </w:p>
        </w:tc>
        <w:tc>
          <w:tcPr>
            <w:tcW w:w="19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70 %</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40 %</w:t>
            </w:r>
          </w:p>
        </w:tc>
      </w:tr>
    </w:tbl>
    <w:p>
      <w:pPr>
        <w:spacing w:after="0" w:line="134"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In determining the value of 2024 RSUs, PSUs and PSOs, the Compensation Committee took into consideration the executive’s performance and potential future contributions, the executive’s overall career experience, peer group analyses, and the risk profile of the compensation program for the executive.</w:t>
      </w:r>
    </w:p>
    <w:p>
      <w:pPr>
        <w:spacing w:after="0" w:line="6"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auto"/>
        </w:rPr>
        <w:t>The table below sets forth the value for each NEO’s equity awards for 2024. Under SEC disclosure rules, we are required to disclose the accounting value for the RSUs, PSUs and PSOs granted to the NEOs in 2024 in “Executive Compensation Tables—Summary Compensation Table” below. As such, the values reflected in the table below may differ from the amounts set forth in the Summary Compensation Table for such awards for 2024.</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20" w:type="dxa"/>
            <w:vAlign w:val="bottom"/>
          </w:tcPr>
          <w:p>
            <w:pPr>
              <w:spacing w:after="0"/>
              <w:rPr>
                <w:sz w:val="15"/>
                <w:szCs w:val="15"/>
                <w:color w:val="auto"/>
              </w:rPr>
            </w:pPr>
          </w:p>
        </w:tc>
        <w:tc>
          <w:tcPr>
            <w:tcW w:w="33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RSUs</w:t>
            </w:r>
          </w:p>
        </w:tc>
        <w:tc>
          <w:tcPr>
            <w:tcW w:w="126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PSUs</w:t>
            </w:r>
          </w:p>
        </w:tc>
        <w:tc>
          <w:tcPr>
            <w:tcW w:w="122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PSOs</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33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205"/>
        </w:trPr>
        <w:tc>
          <w:tcPr>
            <w:tcW w:w="422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Name</w:t>
            </w:r>
          </w:p>
        </w:tc>
        <w:tc>
          <w:tcPr>
            <w:tcW w:w="3320" w:type="dxa"/>
            <w:vAlign w:val="bottom"/>
            <w:tcBorders>
              <w:bottom w:val="single" w:sz="8" w:color="1A3FD6"/>
            </w:tcBorders>
          </w:tcPr>
          <w:p>
            <w:pPr>
              <w:jc w:val="right"/>
              <w:ind w:right="162"/>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1A3FD6"/>
            </w:tcBorders>
          </w:tcPr>
          <w:p>
            <w:pPr>
              <w:jc w:val="right"/>
              <w:ind w:right="162"/>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1A3FD6"/>
            </w:tcBorders>
          </w:tcPr>
          <w:p>
            <w:pPr>
              <w:jc w:val="right"/>
              <w:ind w:right="102"/>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9"/>
        </w:trPr>
        <w:tc>
          <w:tcPr>
            <w:tcW w:w="4220" w:type="dxa"/>
            <w:vAlign w:val="bottom"/>
          </w:tcPr>
          <w:p>
            <w:pPr>
              <w:ind w:left="20"/>
              <w:spacing w:after="0"/>
              <w:rPr>
                <w:sz w:val="20"/>
                <w:szCs w:val="20"/>
                <w:color w:val="auto"/>
              </w:rPr>
            </w:pPr>
            <w:r>
              <w:rPr>
                <w:rFonts w:ascii="Arial" w:cs="Arial" w:eastAsia="Arial" w:hAnsi="Arial"/>
                <w:sz w:val="16"/>
                <w:szCs w:val="16"/>
                <w:b w:val="1"/>
                <w:bCs w:val="1"/>
                <w:color w:val="1A3FD6"/>
              </w:rPr>
              <w:t>Henry A. Fernandez</w:t>
            </w:r>
          </w:p>
        </w:tc>
        <w:tc>
          <w:tcPr>
            <w:tcW w:w="332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2"/>
              <w:spacing w:after="0"/>
              <w:rPr>
                <w:sz w:val="20"/>
                <w:szCs w:val="20"/>
                <w:color w:val="auto"/>
              </w:rPr>
            </w:pPr>
            <w:r>
              <w:rPr>
                <w:rFonts w:ascii="Arial" w:cs="Arial" w:eastAsia="Arial" w:hAnsi="Arial"/>
                <w:sz w:val="16"/>
                <w:szCs w:val="16"/>
                <w:color w:val="auto"/>
              </w:rPr>
              <w:t>3,480,000</w:t>
            </w:r>
          </w:p>
        </w:tc>
        <w:tc>
          <w:tcPr>
            <w:tcW w:w="1220" w:type="dxa"/>
            <w:vAlign w:val="bottom"/>
          </w:tcPr>
          <w:p>
            <w:pPr>
              <w:jc w:val="right"/>
              <w:ind w:right="162"/>
              <w:spacing w:after="0"/>
              <w:rPr>
                <w:sz w:val="20"/>
                <w:szCs w:val="20"/>
                <w:color w:val="auto"/>
              </w:rPr>
            </w:pPr>
            <w:r>
              <w:rPr>
                <w:rFonts w:ascii="Arial" w:cs="Arial" w:eastAsia="Arial" w:hAnsi="Arial"/>
                <w:sz w:val="16"/>
                <w:szCs w:val="16"/>
                <w:color w:val="auto"/>
              </w:rPr>
              <w:t>8,120,000</w:t>
            </w:r>
          </w:p>
        </w:tc>
        <w:tc>
          <w:tcPr>
            <w:tcW w:w="1220" w:type="dxa"/>
            <w:vAlign w:val="bottom"/>
          </w:tcPr>
          <w:p>
            <w:pPr>
              <w:jc w:val="right"/>
              <w:spacing w:after="0"/>
              <w:rPr>
                <w:sz w:val="20"/>
                <w:szCs w:val="20"/>
                <w:color w:val="auto"/>
              </w:rPr>
            </w:pPr>
            <w:r>
              <w:rPr>
                <w:rFonts w:ascii="Arial" w:cs="Arial" w:eastAsia="Arial" w:hAnsi="Arial"/>
                <w:sz w:val="16"/>
                <w:szCs w:val="16"/>
                <w:color w:val="auto"/>
              </w:rPr>
              <w:t>11,600,000</w:t>
            </w:r>
          </w:p>
        </w:tc>
        <w:tc>
          <w:tcPr>
            <w:tcW w:w="0" w:type="dxa"/>
            <w:vAlign w:val="bottom"/>
          </w:tcPr>
          <w:p>
            <w:pPr>
              <w:spacing w:after="0"/>
              <w:rPr>
                <w:sz w:val="1"/>
                <w:szCs w:val="1"/>
                <w:color w:val="auto"/>
              </w:rPr>
            </w:pPr>
          </w:p>
        </w:tc>
      </w:tr>
      <w:tr>
        <w:trPr>
          <w:trHeight w:val="247"/>
        </w:trPr>
        <w:tc>
          <w:tcPr>
            <w:tcW w:w="422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Andrew C. Wiechmann</w:t>
            </w:r>
          </w:p>
        </w:tc>
        <w:tc>
          <w:tcPr>
            <w:tcW w:w="3320" w:type="dxa"/>
            <w:vAlign w:val="bottom"/>
            <w:shd w:val="clear" w:color="auto" w:fill="EDF0FC"/>
          </w:tcPr>
          <w:p>
            <w:pPr>
              <w:jc w:val="right"/>
              <w:ind w:right="222"/>
              <w:spacing w:after="0"/>
              <w:rPr>
                <w:sz w:val="20"/>
                <w:szCs w:val="20"/>
                <w:color w:val="auto"/>
              </w:rPr>
            </w:pPr>
            <w:r>
              <w:rPr>
                <w:rFonts w:ascii="Arial" w:cs="Arial" w:eastAsia="Arial" w:hAnsi="Arial"/>
                <w:sz w:val="16"/>
                <w:szCs w:val="16"/>
                <w:color w:val="auto"/>
              </w:rPr>
              <w:t>795,000</w:t>
            </w:r>
          </w:p>
        </w:tc>
        <w:tc>
          <w:tcPr>
            <w:tcW w:w="1260" w:type="dxa"/>
            <w:vAlign w:val="bottom"/>
            <w:shd w:val="clear" w:color="auto" w:fill="EDF0FC"/>
          </w:tcPr>
          <w:p>
            <w:pPr>
              <w:jc w:val="right"/>
              <w:ind w:right="222"/>
              <w:spacing w:after="0"/>
              <w:rPr>
                <w:sz w:val="20"/>
                <w:szCs w:val="20"/>
                <w:color w:val="auto"/>
              </w:rPr>
            </w:pPr>
            <w:r>
              <w:rPr>
                <w:rFonts w:ascii="Arial" w:cs="Arial" w:eastAsia="Arial" w:hAnsi="Arial"/>
                <w:sz w:val="16"/>
                <w:szCs w:val="16"/>
                <w:color w:val="auto"/>
              </w:rPr>
              <w:t>795,000</w:t>
            </w:r>
          </w:p>
        </w:tc>
        <w:tc>
          <w:tcPr>
            <w:tcW w:w="1220" w:type="dxa"/>
            <w:vAlign w:val="bottom"/>
            <w:shd w:val="clear" w:color="auto" w:fill="EDF0FC"/>
          </w:tcPr>
          <w:p>
            <w:pPr>
              <w:jc w:val="right"/>
              <w:ind w:right="162"/>
              <w:spacing w:after="0"/>
              <w:rPr>
                <w:sz w:val="20"/>
                <w:szCs w:val="20"/>
                <w:color w:val="auto"/>
              </w:rPr>
            </w:pPr>
            <w:r>
              <w:rPr>
                <w:rFonts w:ascii="Arial" w:cs="Arial" w:eastAsia="Arial" w:hAnsi="Arial"/>
                <w:sz w:val="16"/>
                <w:szCs w:val="16"/>
                <w:color w:val="auto"/>
              </w:rPr>
              <w:t>1,060,000</w:t>
            </w:r>
          </w:p>
        </w:tc>
        <w:tc>
          <w:tcPr>
            <w:tcW w:w="1220" w:type="dxa"/>
            <w:vAlign w:val="bottom"/>
            <w:shd w:val="clear" w:color="auto" w:fill="EDF0FC"/>
          </w:tcPr>
          <w:p>
            <w:pPr>
              <w:jc w:val="right"/>
              <w:spacing w:after="0"/>
              <w:rPr>
                <w:sz w:val="20"/>
                <w:szCs w:val="20"/>
                <w:color w:val="auto"/>
              </w:rPr>
            </w:pPr>
            <w:r>
              <w:rPr>
                <w:rFonts w:ascii="Arial" w:cs="Arial" w:eastAsia="Arial" w:hAnsi="Arial"/>
                <w:sz w:val="16"/>
                <w:szCs w:val="16"/>
                <w:color w:val="auto"/>
              </w:rPr>
              <w:t>2,650,000</w:t>
            </w:r>
          </w:p>
        </w:tc>
        <w:tc>
          <w:tcPr>
            <w:tcW w:w="0" w:type="dxa"/>
            <w:vAlign w:val="bottom"/>
          </w:tcPr>
          <w:p>
            <w:pPr>
              <w:spacing w:after="0"/>
              <w:rPr>
                <w:sz w:val="1"/>
                <w:szCs w:val="1"/>
                <w:color w:val="auto"/>
              </w:rPr>
            </w:pPr>
          </w:p>
        </w:tc>
      </w:tr>
      <w:tr>
        <w:trPr>
          <w:trHeight w:val="239"/>
        </w:trPr>
        <w:tc>
          <w:tcPr>
            <w:tcW w:w="4220" w:type="dxa"/>
            <w:vAlign w:val="bottom"/>
          </w:tcPr>
          <w:p>
            <w:pPr>
              <w:ind w:left="20"/>
              <w:spacing w:after="0"/>
              <w:rPr>
                <w:sz w:val="20"/>
                <w:szCs w:val="20"/>
                <w:color w:val="auto"/>
              </w:rPr>
            </w:pPr>
            <w:r>
              <w:rPr>
                <w:rFonts w:ascii="Arial" w:cs="Arial" w:eastAsia="Arial" w:hAnsi="Arial"/>
                <w:sz w:val="16"/>
                <w:szCs w:val="16"/>
                <w:b w:val="1"/>
                <w:bCs w:val="1"/>
                <w:color w:val="1A3FD6"/>
              </w:rPr>
              <w:t>C.D. Baer Pettit</w:t>
            </w:r>
          </w:p>
        </w:tc>
        <w:tc>
          <w:tcPr>
            <w:tcW w:w="3320" w:type="dxa"/>
            <w:vAlign w:val="bottom"/>
          </w:tcPr>
          <w:p>
            <w:pPr>
              <w:jc w:val="right"/>
              <w:ind w:right="222"/>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22"/>
              <w:spacing w:after="0"/>
              <w:rPr>
                <w:sz w:val="20"/>
                <w:szCs w:val="20"/>
                <w:color w:val="auto"/>
              </w:rPr>
            </w:pPr>
            <w:r>
              <w:rPr>
                <w:rFonts w:ascii="Arial" w:cs="Arial" w:eastAsia="Arial" w:hAnsi="Arial"/>
                <w:sz w:val="16"/>
                <w:szCs w:val="16"/>
                <w:color w:val="auto"/>
              </w:rPr>
              <w:t>1,950,000</w:t>
            </w:r>
          </w:p>
        </w:tc>
        <w:tc>
          <w:tcPr>
            <w:tcW w:w="1220" w:type="dxa"/>
            <w:vAlign w:val="bottom"/>
          </w:tcPr>
          <w:p>
            <w:pPr>
              <w:jc w:val="right"/>
              <w:ind w:right="162"/>
              <w:spacing w:after="0"/>
              <w:rPr>
                <w:sz w:val="20"/>
                <w:szCs w:val="20"/>
                <w:color w:val="auto"/>
              </w:rPr>
            </w:pPr>
            <w:r>
              <w:rPr>
                <w:rFonts w:ascii="Arial" w:cs="Arial" w:eastAsia="Arial" w:hAnsi="Arial"/>
                <w:sz w:val="16"/>
                <w:szCs w:val="16"/>
                <w:color w:val="auto"/>
              </w:rPr>
              <w:t>4,550,000</w:t>
            </w:r>
          </w:p>
        </w:tc>
        <w:tc>
          <w:tcPr>
            <w:tcW w:w="1220" w:type="dxa"/>
            <w:vAlign w:val="bottom"/>
          </w:tcPr>
          <w:p>
            <w:pPr>
              <w:jc w:val="right"/>
              <w:spacing w:after="0"/>
              <w:rPr>
                <w:sz w:val="20"/>
                <w:szCs w:val="20"/>
                <w:color w:val="auto"/>
              </w:rPr>
            </w:pPr>
            <w:r>
              <w:rPr>
                <w:rFonts w:ascii="Arial" w:cs="Arial" w:eastAsia="Arial" w:hAnsi="Arial"/>
                <w:sz w:val="16"/>
                <w:szCs w:val="16"/>
                <w:color w:val="auto"/>
              </w:rPr>
              <w:t>6,500,000</w:t>
            </w:r>
          </w:p>
        </w:tc>
        <w:tc>
          <w:tcPr>
            <w:tcW w:w="0" w:type="dxa"/>
            <w:vAlign w:val="bottom"/>
          </w:tcPr>
          <w:p>
            <w:pPr>
              <w:spacing w:after="0"/>
              <w:rPr>
                <w:sz w:val="1"/>
                <w:szCs w:val="1"/>
                <w:color w:val="auto"/>
              </w:rPr>
            </w:pPr>
          </w:p>
        </w:tc>
      </w:tr>
      <w:tr>
        <w:trPr>
          <w:trHeight w:val="247"/>
        </w:trPr>
        <w:tc>
          <w:tcPr>
            <w:tcW w:w="422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Scott A. Crum</w:t>
            </w:r>
          </w:p>
        </w:tc>
        <w:tc>
          <w:tcPr>
            <w:tcW w:w="3320" w:type="dxa"/>
            <w:vAlign w:val="bottom"/>
            <w:shd w:val="clear" w:color="auto" w:fill="EDF0FC"/>
          </w:tcPr>
          <w:p>
            <w:pPr>
              <w:jc w:val="right"/>
              <w:ind w:right="222"/>
              <w:spacing w:after="0"/>
              <w:rPr>
                <w:sz w:val="20"/>
                <w:szCs w:val="20"/>
                <w:color w:val="auto"/>
              </w:rPr>
            </w:pPr>
            <w:r>
              <w:rPr>
                <w:rFonts w:ascii="Arial" w:cs="Arial" w:eastAsia="Arial" w:hAnsi="Arial"/>
                <w:sz w:val="16"/>
                <w:szCs w:val="16"/>
                <w:color w:val="auto"/>
              </w:rPr>
              <w:t>600,000</w:t>
            </w:r>
          </w:p>
        </w:tc>
        <w:tc>
          <w:tcPr>
            <w:tcW w:w="1260" w:type="dxa"/>
            <w:vAlign w:val="bottom"/>
            <w:shd w:val="clear" w:color="auto" w:fill="EDF0FC"/>
          </w:tcPr>
          <w:p>
            <w:pPr>
              <w:jc w:val="right"/>
              <w:ind w:right="222"/>
              <w:spacing w:after="0"/>
              <w:rPr>
                <w:sz w:val="20"/>
                <w:szCs w:val="20"/>
                <w:color w:val="auto"/>
              </w:rPr>
            </w:pPr>
            <w:r>
              <w:rPr>
                <w:rFonts w:ascii="Arial" w:cs="Arial" w:eastAsia="Arial" w:hAnsi="Arial"/>
                <w:sz w:val="16"/>
                <w:szCs w:val="16"/>
                <w:color w:val="auto"/>
              </w:rPr>
              <w:t>600,000</w:t>
            </w:r>
          </w:p>
        </w:tc>
        <w:tc>
          <w:tcPr>
            <w:tcW w:w="1220" w:type="dxa"/>
            <w:vAlign w:val="bottom"/>
            <w:shd w:val="clear" w:color="auto" w:fill="EDF0FC"/>
          </w:tcPr>
          <w:p>
            <w:pPr>
              <w:jc w:val="right"/>
              <w:ind w:right="162"/>
              <w:spacing w:after="0"/>
              <w:rPr>
                <w:sz w:val="20"/>
                <w:szCs w:val="20"/>
                <w:color w:val="auto"/>
              </w:rPr>
            </w:pPr>
            <w:r>
              <w:rPr>
                <w:rFonts w:ascii="Arial" w:cs="Arial" w:eastAsia="Arial" w:hAnsi="Arial"/>
                <w:sz w:val="16"/>
                <w:szCs w:val="16"/>
                <w:color w:val="auto"/>
              </w:rPr>
              <w:t>800,000</w:t>
            </w:r>
          </w:p>
        </w:tc>
        <w:tc>
          <w:tcPr>
            <w:tcW w:w="1220" w:type="dxa"/>
            <w:vAlign w:val="bottom"/>
            <w:shd w:val="clear" w:color="auto" w:fill="EDF0FC"/>
          </w:tcPr>
          <w:p>
            <w:pPr>
              <w:jc w:val="right"/>
              <w:spacing w:after="0"/>
              <w:rPr>
                <w:sz w:val="20"/>
                <w:szCs w:val="20"/>
                <w:color w:val="auto"/>
              </w:rPr>
            </w:pPr>
            <w:r>
              <w:rPr>
                <w:rFonts w:ascii="Arial" w:cs="Arial" w:eastAsia="Arial" w:hAnsi="Arial"/>
                <w:sz w:val="16"/>
                <w:szCs w:val="16"/>
                <w:color w:val="auto"/>
              </w:rPr>
              <w:t>2,000,000</w:t>
            </w:r>
          </w:p>
        </w:tc>
        <w:tc>
          <w:tcPr>
            <w:tcW w:w="0" w:type="dxa"/>
            <w:vAlign w:val="bottom"/>
          </w:tcPr>
          <w:p>
            <w:pPr>
              <w:spacing w:after="0"/>
              <w:rPr>
                <w:sz w:val="1"/>
                <w:szCs w:val="1"/>
                <w:color w:val="auto"/>
              </w:rPr>
            </w:pPr>
          </w:p>
        </w:tc>
      </w:tr>
      <w:tr>
        <w:trPr>
          <w:trHeight w:val="239"/>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1A3FD6"/>
              </w:rPr>
              <w:t>Robert J. Gutowski</w:t>
            </w:r>
          </w:p>
        </w:tc>
        <w:tc>
          <w:tcPr>
            <w:tcW w:w="33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435,000</w:t>
            </w:r>
          </w:p>
        </w:tc>
        <w:tc>
          <w:tcPr>
            <w:tcW w:w="12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435,000</w:t>
            </w:r>
          </w:p>
        </w:tc>
        <w:tc>
          <w:tcPr>
            <w:tcW w:w="12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580,000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1,450,000</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w:t>
      </w:r>
    </w:p>
    <w:p>
      <w:pPr>
        <w:spacing w:after="0" w:line="122"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RSUs are inherently aligned with the interest of our shareholders because they are linked to share price appreciation. They also increase the retentive value of our overall compensation program. The RSUs granted in 2024 will cliff-vest on February 1, 2027, subject generally to the executive’s continued employment with the Company. While these RSU awards do not have explicit performance-vesting conditions, the ultimate value that will be delivered to our NEOs from these awards depends on our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708660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77" w:name="page78"/>
    <w:bookmarkEnd w:id="77"/>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76</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PSUs</w:t>
      </w:r>
    </w:p>
    <w:p>
      <w:pPr>
        <w:spacing w:after="0" w:line="95"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The PSUs granted in 2024 will cliff-vest on January 31, 2027, subject generally to the executive’s continued employment with the Company and the Company’s level of achievement of the applicable absolute TSR CAGR performance metric measured over a three-year performance period. The 2024 PSUs are eligible to vest between 0% and 200% of target. The 2024 PSUs include a one-year post-vest mandatory holding period, where such shares, or rights with respect to such shares, may not be sold, transferred or otherwise disposed of until the expiration of such holding period.</w:t>
      </w:r>
    </w:p>
    <w:p>
      <w:pPr>
        <w:spacing w:after="0" w:line="77"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The table below sets forth the TSR CAGR performance percentage for the 2024 PSUs. There will be interpolation (rounded to two decimal places) to derive a TSR CAGR performance percentage that is not expressly set forth in the table below, and any resulting fractional shares will be rounded down to the nearest whole share.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30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TSR CAGR (%)</w:t>
            </w:r>
          </w:p>
        </w:tc>
        <w:tc>
          <w:tcPr>
            <w:tcW w:w="594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Performance Percentage (%)</w:t>
            </w:r>
          </w:p>
        </w:tc>
      </w:tr>
      <w:tr>
        <w:trPr>
          <w:trHeight w:val="235"/>
        </w:trPr>
        <w:tc>
          <w:tcPr>
            <w:tcW w:w="5300" w:type="dxa"/>
            <w:vAlign w:val="bottom"/>
          </w:tcPr>
          <w:p>
            <w:pPr>
              <w:ind w:left="20"/>
              <w:spacing w:after="0"/>
              <w:rPr>
                <w:sz w:val="20"/>
                <w:szCs w:val="20"/>
                <w:color w:val="auto"/>
              </w:rPr>
            </w:pPr>
            <w:r>
              <w:rPr>
                <w:rFonts w:ascii="Arial" w:cs="Arial" w:eastAsia="Arial" w:hAnsi="Arial"/>
                <w:sz w:val="16"/>
                <w:szCs w:val="16"/>
                <w:color w:val="auto"/>
              </w:rPr>
              <w:t>≥ 20.0 (maximum)</w:t>
            </w:r>
          </w:p>
        </w:tc>
        <w:tc>
          <w:tcPr>
            <w:tcW w:w="594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51"/>
        </w:trPr>
        <w:tc>
          <w:tcPr>
            <w:tcW w:w="5300" w:type="dxa"/>
            <w:vAlign w:val="bottom"/>
            <w:shd w:val="clear" w:color="auto" w:fill="EDF0FC"/>
          </w:tcPr>
          <w:p>
            <w:pPr>
              <w:ind w:left="20"/>
              <w:spacing w:after="0"/>
              <w:rPr>
                <w:sz w:val="20"/>
                <w:szCs w:val="20"/>
                <w:color w:val="auto"/>
              </w:rPr>
            </w:pPr>
            <w:r>
              <w:rPr>
                <w:rFonts w:ascii="Arial" w:cs="Arial" w:eastAsia="Arial" w:hAnsi="Arial"/>
                <w:sz w:val="16"/>
                <w:szCs w:val="16"/>
                <w:color w:val="auto"/>
              </w:rPr>
              <w:t>15.0</w:t>
            </w:r>
          </w:p>
        </w:tc>
        <w:tc>
          <w:tcPr>
            <w:tcW w:w="59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150</w:t>
            </w:r>
          </w:p>
        </w:tc>
      </w:tr>
      <w:tr>
        <w:trPr>
          <w:trHeight w:val="235"/>
        </w:trPr>
        <w:tc>
          <w:tcPr>
            <w:tcW w:w="5300" w:type="dxa"/>
            <w:vAlign w:val="bottom"/>
          </w:tcPr>
          <w:p>
            <w:pPr>
              <w:ind w:left="20"/>
              <w:spacing w:after="0"/>
              <w:rPr>
                <w:sz w:val="20"/>
                <w:szCs w:val="20"/>
                <w:color w:val="auto"/>
              </w:rPr>
            </w:pPr>
            <w:r>
              <w:rPr>
                <w:rFonts w:ascii="Arial" w:cs="Arial" w:eastAsia="Arial" w:hAnsi="Arial"/>
                <w:sz w:val="16"/>
                <w:szCs w:val="16"/>
                <w:color w:val="auto"/>
              </w:rPr>
              <w:t>10.0 (target)</w:t>
            </w:r>
          </w:p>
        </w:tc>
        <w:tc>
          <w:tcPr>
            <w:tcW w:w="59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51"/>
        </w:trPr>
        <w:tc>
          <w:tcPr>
            <w:tcW w:w="5300" w:type="dxa"/>
            <w:vAlign w:val="bottom"/>
            <w:shd w:val="clear" w:color="auto" w:fill="EDF0FC"/>
          </w:tcPr>
          <w:p>
            <w:pPr>
              <w:ind w:left="20"/>
              <w:spacing w:after="0"/>
              <w:rPr>
                <w:sz w:val="20"/>
                <w:szCs w:val="20"/>
                <w:color w:val="auto"/>
              </w:rPr>
            </w:pPr>
            <w:r>
              <w:rPr>
                <w:rFonts w:ascii="Arial" w:cs="Arial" w:eastAsia="Arial" w:hAnsi="Arial"/>
                <w:sz w:val="16"/>
                <w:szCs w:val="16"/>
                <w:color w:val="auto"/>
              </w:rPr>
              <w:t>9.0</w:t>
            </w:r>
          </w:p>
        </w:tc>
        <w:tc>
          <w:tcPr>
            <w:tcW w:w="59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50</w:t>
            </w:r>
          </w:p>
        </w:tc>
      </w:tr>
      <w:tr>
        <w:trPr>
          <w:trHeight w:val="235"/>
        </w:trPr>
        <w:tc>
          <w:tcPr>
            <w:tcW w:w="5300" w:type="dxa"/>
            <w:vAlign w:val="bottom"/>
          </w:tcPr>
          <w:p>
            <w:pPr>
              <w:ind w:left="20"/>
              <w:spacing w:after="0"/>
              <w:rPr>
                <w:sz w:val="20"/>
                <w:szCs w:val="20"/>
                <w:color w:val="auto"/>
              </w:rPr>
            </w:pPr>
            <w:r>
              <w:rPr>
                <w:rFonts w:ascii="Arial" w:cs="Arial" w:eastAsia="Arial" w:hAnsi="Arial"/>
                <w:sz w:val="16"/>
                <w:szCs w:val="16"/>
                <w:color w:val="auto"/>
              </w:rPr>
              <w:t>8.0 (threshold)</w:t>
            </w:r>
          </w:p>
        </w:tc>
        <w:tc>
          <w:tcPr>
            <w:tcW w:w="59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44"/>
        </w:trPr>
        <w:tc>
          <w:tcPr>
            <w:tcW w:w="5300" w:type="dxa"/>
            <w:vAlign w:val="bottom"/>
            <w:tcBorders>
              <w:bottom w:val="single" w:sz="8" w:color="auto"/>
            </w:tcBorders>
            <w:shd w:val="clear" w:color="auto" w:fill="EDF0FC"/>
          </w:tcPr>
          <w:p>
            <w:pPr>
              <w:ind w:left="20"/>
              <w:spacing w:after="0"/>
              <w:rPr>
                <w:sz w:val="20"/>
                <w:szCs w:val="20"/>
                <w:color w:val="auto"/>
              </w:rPr>
            </w:pPr>
            <w:r>
              <w:rPr>
                <w:rFonts w:ascii="Arial" w:cs="Arial" w:eastAsia="Arial" w:hAnsi="Arial"/>
                <w:sz w:val="16"/>
                <w:szCs w:val="16"/>
                <w:color w:val="auto"/>
              </w:rPr>
              <w:t>&lt; 8.0</w:t>
            </w:r>
          </w:p>
        </w:tc>
        <w:tc>
          <w:tcPr>
            <w:tcW w:w="5940" w:type="dxa"/>
            <w:vAlign w:val="bottom"/>
            <w:tcBorders>
              <w:bottom w:val="single" w:sz="8" w:color="auto"/>
            </w:tcBorders>
            <w:shd w:val="clear" w:color="auto" w:fill="EDF0FC"/>
          </w:tcPr>
          <w:p>
            <w:pPr>
              <w:jc w:val="right"/>
              <w:spacing w:after="0"/>
              <w:rPr>
                <w:sz w:val="20"/>
                <w:szCs w:val="20"/>
                <w:color w:val="auto"/>
              </w:rPr>
            </w:pPr>
            <w:r>
              <w:rPr>
                <w:rFonts w:ascii="Arial" w:cs="Arial" w:eastAsia="Arial" w:hAnsi="Arial"/>
                <w:sz w:val="16"/>
                <w:szCs w:val="16"/>
                <w:color w:val="auto"/>
              </w:rPr>
              <w:t>No Vesting</w:t>
            </w:r>
          </w:p>
        </w:tc>
      </w:tr>
    </w:tbl>
    <w:p>
      <w:pPr>
        <w:spacing w:after="0" w:line="17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Compensation Committee established the above TSR performance goal percentages applicable to the 2024 PSUs after considering historical 3-year TSR performance of S&amp;P 500 companies and MSCI’s business projections. The Compensation Committee believes that the applicable threshold, target and maximum goals established for the PSU vehicle in 2024 represent rigorous hurdles that would ultimately deliver significant shareholder value creation if achieved, as evidenced by the fact that achievement of the TSR performance goals at the threshold performance levels applicable to the 2024 PSUs would translate to substantial growth in our shareholders’ investments over such performance period, as reflected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3429635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47625</wp:posOffset>
            </wp:positionV>
            <wp:extent cx="5554980" cy="25800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554980" cy="258000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8420"/>
              <w:spacing w:after="0"/>
              <w:rPr>
                <w:sz w:val="20"/>
                <w:szCs w:val="20"/>
                <w:color w:val="auto"/>
              </w:rPr>
            </w:pPr>
            <w:r>
              <w:rPr>
                <w:rFonts w:ascii="Arial" w:cs="Arial" w:eastAsia="Arial" w:hAnsi="Arial"/>
                <w:sz w:val="14"/>
                <w:szCs w:val="14"/>
                <w:b w:val="1"/>
                <w:bCs w:val="1"/>
                <w:color w:val="1A3FD6"/>
              </w:rPr>
              <w:t>Compensation Matters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77</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PSOs</w:t>
      </w:r>
    </w:p>
    <w:p>
      <w:pPr>
        <w:spacing w:after="0" w:line="122"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The PSOs granted in 2024 will cliff-vest on February 1, 2027, subject generally to the executive’s continued employment with the Company and the Company’s combined level of achievement of (i) a cumulative revenue performance goal and (ii) a cumulative adjusted EPS performance goal, each weighted equally and measured over a three-year performance period. The specific performance targets underlying the two PSO performance metrics were calibrated to align with MSCI’s long-term strategic planning. Goals are set at the beginning of each year with consideration to historical performance, industry benchmarks, the broader macro-environment and our long-term strategy. Revenue goals support management’s focus on scaling new products and targeting new customer segments. The incorporation of an adjusted EPS goal provides profitability discipline, incorporating considerations relating to capital allocation and shareholder value creation.</w:t>
      </w:r>
    </w:p>
    <w:p>
      <w:pPr>
        <w:spacing w:after="0" w:line="8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2024 PSOs are eligible to vest between 0% and 200% of target. Thereafter, participants will only realize value on the number of PSOs earned, if any, to the extent that the closing share price of MSCI common stock exceeds the relevant exercise price of the options. In this way, PSOs have an implied “double-performance” mechanism, as two conditions must be met for a participant to realize value from an award: (i) fundamental operating performance and (ii) share price growth in excess of the exercise price.</w:t>
      </w:r>
    </w:p>
    <w:p>
      <w:pPr>
        <w:spacing w:after="0" w:line="5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Pursuant to SEC rules, the performance targets underlying the cumulative revenue and cumulative adjusted EPS performance goals applicable to the 2024 PSOs will be disclosed upon the certification of such performance goals in 2027. We do not disclose forward-looking performance goals due to confidentiality and competitive concerns, as we believe the disclosure of forward-looking performance targets that are aligned to our long-term strategic planning could result in competitive harm. We believe that the performance goals were set at challenging levels and are fully aligned with the rigorous expectations and long-term interests of our shareholders. However, consistent with market practice, we have committed to retrospectively disclose the performance goals and payouts following the completion of the relevant performance period. Our shareholders have generally provided the feedback that they understand this approach.</w:t>
      </w: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b w:val="1"/>
          <w:bCs w:val="1"/>
          <w:color w:val="1A3FD6"/>
        </w:rPr>
        <w:t>2020 PSU Award Payouts</w:t>
      </w:r>
    </w:p>
    <w:p>
      <w:pPr>
        <w:spacing w:after="0" w:line="99"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auto"/>
        </w:rPr>
        <w:t>The five-year performance period applicable to the PSUs granted to each of Messrs. Fernandez, Wiechmann, Pettit, Crum and Gutowski on February 6, 2020 concluded on February 4, 2025 and resulted in the following level of achievement: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80" w:type="dxa"/>
            <w:vAlign w:val="bottom"/>
          </w:tcPr>
          <w:p>
            <w:pPr>
              <w:spacing w:after="0"/>
              <w:rPr>
                <w:sz w:val="17"/>
                <w:szCs w:val="17"/>
                <w:color w:val="auto"/>
              </w:rPr>
            </w:pPr>
          </w:p>
        </w:tc>
        <w:tc>
          <w:tcPr>
            <w:tcW w:w="1140" w:type="dxa"/>
            <w:vAlign w:val="bottom"/>
            <w:tcBorders>
              <w:bottom w:val="single" w:sz="8" w:color="1A3FD6"/>
            </w:tcBorders>
          </w:tcPr>
          <w:p>
            <w:pPr>
              <w:spacing w:after="0"/>
              <w:rPr>
                <w:sz w:val="17"/>
                <w:szCs w:val="17"/>
                <w:color w:val="auto"/>
              </w:rPr>
            </w:pPr>
          </w:p>
        </w:tc>
        <w:tc>
          <w:tcPr>
            <w:tcW w:w="1140" w:type="dxa"/>
            <w:vAlign w:val="bottom"/>
            <w:tcBorders>
              <w:bottom w:val="single" w:sz="8" w:color="1A3FD6"/>
            </w:tcBorders>
          </w:tcPr>
          <w:p>
            <w:pPr>
              <w:spacing w:after="0"/>
              <w:rPr>
                <w:sz w:val="17"/>
                <w:szCs w:val="17"/>
                <w:color w:val="auto"/>
              </w:rPr>
            </w:pPr>
          </w:p>
        </w:tc>
        <w:tc>
          <w:tcPr>
            <w:tcW w:w="100" w:type="dxa"/>
            <w:vAlign w:val="bottom"/>
            <w:tcBorders>
              <w:bottom w:val="single" w:sz="8" w:color="1A3FD6"/>
            </w:tcBorders>
          </w:tcPr>
          <w:p>
            <w:pPr>
              <w:spacing w:after="0"/>
              <w:rPr>
                <w:sz w:val="17"/>
                <w:szCs w:val="17"/>
                <w:color w:val="auto"/>
              </w:rPr>
            </w:pPr>
          </w:p>
        </w:tc>
        <w:tc>
          <w:tcPr>
            <w:tcW w:w="1160" w:type="dxa"/>
            <w:vAlign w:val="bottom"/>
            <w:tcBorders>
              <w:bottom w:val="single" w:sz="8" w:color="1A3FD6"/>
            </w:tcBorders>
          </w:tcPr>
          <w:p>
            <w:pPr>
              <w:spacing w:after="0"/>
              <w:rPr>
                <w:sz w:val="17"/>
                <w:szCs w:val="17"/>
                <w:color w:val="auto"/>
              </w:rPr>
            </w:pPr>
          </w:p>
        </w:tc>
        <w:tc>
          <w:tcPr>
            <w:tcW w:w="2440" w:type="dxa"/>
            <w:vAlign w:val="bottom"/>
            <w:tcBorders>
              <w:bottom w:val="single" w:sz="8" w:color="1A3FD6"/>
            </w:tcBorders>
            <w:gridSpan w:val="3"/>
          </w:tcPr>
          <w:p>
            <w:pPr>
              <w:jc w:val="right"/>
              <w:ind w:right="45"/>
              <w:spacing w:after="0"/>
              <w:rPr>
                <w:sz w:val="20"/>
                <w:szCs w:val="20"/>
                <w:color w:val="auto"/>
              </w:rPr>
            </w:pPr>
            <w:r>
              <w:rPr>
                <w:rFonts w:ascii="Arial" w:cs="Arial" w:eastAsia="Arial" w:hAnsi="Arial"/>
                <w:sz w:val="14"/>
                <w:szCs w:val="14"/>
                <w:b w:val="1"/>
                <w:bCs w:val="1"/>
                <w:color w:val="auto"/>
              </w:rPr>
              <w:t>Performance Period: 2020-2025</w:t>
            </w:r>
          </w:p>
        </w:tc>
        <w:tc>
          <w:tcPr>
            <w:tcW w:w="1060" w:type="dxa"/>
            <w:vAlign w:val="bottom"/>
            <w:tcBorders>
              <w:bottom w:val="single" w:sz="8" w:color="1A3FD6"/>
            </w:tcBorders>
          </w:tcPr>
          <w:p>
            <w:pPr>
              <w:spacing w:after="0"/>
              <w:rPr>
                <w:sz w:val="17"/>
                <w:szCs w:val="17"/>
                <w:color w:val="auto"/>
              </w:rPr>
            </w:pPr>
          </w:p>
        </w:tc>
        <w:tc>
          <w:tcPr>
            <w:tcW w:w="80" w:type="dxa"/>
            <w:vAlign w:val="bottom"/>
            <w:tcBorders>
              <w:bottom w:val="single" w:sz="8" w:color="1A3FD6"/>
            </w:tcBorders>
          </w:tcPr>
          <w:p>
            <w:pPr>
              <w:spacing w:after="0"/>
              <w:rPr>
                <w:sz w:val="17"/>
                <w:szCs w:val="17"/>
                <w:color w:val="auto"/>
              </w:rPr>
            </w:pPr>
          </w:p>
        </w:tc>
        <w:tc>
          <w:tcPr>
            <w:tcW w:w="1480" w:type="dxa"/>
            <w:vAlign w:val="bottom"/>
            <w:tcBorders>
              <w:bottom w:val="single" w:sz="8" w:color="1A3FD6"/>
            </w:tcBorders>
          </w:tcPr>
          <w:p>
            <w:pPr>
              <w:spacing w:after="0"/>
              <w:rPr>
                <w:sz w:val="17"/>
                <w:szCs w:val="17"/>
                <w:color w:val="auto"/>
              </w:rPr>
            </w:pPr>
          </w:p>
        </w:tc>
        <w:tc>
          <w:tcPr>
            <w:tcW w:w="960" w:type="dxa"/>
            <w:vAlign w:val="bottom"/>
            <w:tcBorders>
              <w:bottom w:val="single" w:sz="8" w:color="1A3FD6"/>
            </w:tcBorders>
          </w:tcPr>
          <w:p>
            <w:pPr>
              <w:spacing w:after="0"/>
              <w:rPr>
                <w:sz w:val="17"/>
                <w:szCs w:val="17"/>
                <w:color w:val="auto"/>
              </w:rPr>
            </w:pPr>
          </w:p>
        </w:tc>
      </w:tr>
      <w:tr>
        <w:trPr>
          <w:trHeight w:val="223"/>
        </w:trPr>
        <w:tc>
          <w:tcPr>
            <w:tcW w:w="1680" w:type="dxa"/>
            <w:vAlign w:val="bottom"/>
          </w:tcPr>
          <w:p>
            <w:pPr>
              <w:spacing w:after="0"/>
              <w:rPr>
                <w:sz w:val="19"/>
                <w:szCs w:val="19"/>
                <w:color w:val="auto"/>
              </w:rPr>
            </w:pPr>
          </w:p>
        </w:tc>
        <w:tc>
          <w:tcPr>
            <w:tcW w:w="2280" w:type="dxa"/>
            <w:vAlign w:val="bottom"/>
            <w:tcBorders>
              <w:bottom w:val="single" w:sz="8" w:color="1A3FD6"/>
            </w:tcBorders>
            <w:gridSpan w:val="2"/>
          </w:tcPr>
          <w:p>
            <w:pPr>
              <w:jc w:val="right"/>
              <w:ind w:right="705"/>
              <w:spacing w:after="0"/>
              <w:rPr>
                <w:sz w:val="20"/>
                <w:szCs w:val="20"/>
                <w:color w:val="auto"/>
              </w:rPr>
            </w:pPr>
            <w:r>
              <w:rPr>
                <w:rFonts w:ascii="Arial" w:cs="Arial" w:eastAsia="Arial" w:hAnsi="Arial"/>
                <w:sz w:val="14"/>
                <w:szCs w:val="14"/>
                <w:b w:val="1"/>
                <w:bCs w:val="1"/>
                <w:color w:val="auto"/>
              </w:rPr>
              <w:t>Threshold</w:t>
            </w:r>
          </w:p>
        </w:tc>
        <w:tc>
          <w:tcPr>
            <w:tcW w:w="100" w:type="dxa"/>
            <w:vAlign w:val="bottom"/>
          </w:tcPr>
          <w:p>
            <w:pPr>
              <w:spacing w:after="0"/>
              <w:rPr>
                <w:sz w:val="19"/>
                <w:szCs w:val="19"/>
                <w:color w:val="auto"/>
              </w:rPr>
            </w:pPr>
          </w:p>
        </w:tc>
        <w:tc>
          <w:tcPr>
            <w:tcW w:w="2360" w:type="dxa"/>
            <w:vAlign w:val="bottom"/>
            <w:tcBorders>
              <w:bottom w:val="single" w:sz="8" w:color="1A3FD6"/>
            </w:tcBorders>
            <w:gridSpan w:val="2"/>
          </w:tcPr>
          <w:p>
            <w:pPr>
              <w:jc w:val="right"/>
              <w:ind w:right="886"/>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9"/>
                <w:szCs w:val="19"/>
                <w:color w:val="auto"/>
              </w:rPr>
            </w:pPr>
          </w:p>
        </w:tc>
        <w:tc>
          <w:tcPr>
            <w:tcW w:w="2200" w:type="dxa"/>
            <w:vAlign w:val="bottom"/>
            <w:tcBorders>
              <w:bottom w:val="single" w:sz="8" w:color="1A3FD6"/>
            </w:tcBorders>
            <w:gridSpan w:val="2"/>
          </w:tcPr>
          <w:p>
            <w:pPr>
              <w:jc w:val="right"/>
              <w:ind w:right="705"/>
              <w:spacing w:after="0"/>
              <w:rPr>
                <w:sz w:val="20"/>
                <w:szCs w:val="20"/>
                <w:color w:val="auto"/>
              </w:rPr>
            </w:pPr>
            <w:r>
              <w:rPr>
                <w:rFonts w:ascii="Arial" w:cs="Arial" w:eastAsia="Arial" w:hAnsi="Arial"/>
                <w:sz w:val="14"/>
                <w:szCs w:val="14"/>
                <w:b w:val="1"/>
                <w:bCs w:val="1"/>
                <w:color w:val="auto"/>
              </w:rPr>
              <w:t>Maximum</w:t>
            </w:r>
          </w:p>
        </w:tc>
        <w:tc>
          <w:tcPr>
            <w:tcW w:w="80" w:type="dxa"/>
            <w:vAlign w:val="bottom"/>
          </w:tcPr>
          <w:p>
            <w:pPr>
              <w:spacing w:after="0"/>
              <w:rPr>
                <w:sz w:val="19"/>
                <w:szCs w:val="19"/>
                <w:color w:val="auto"/>
              </w:rPr>
            </w:pPr>
          </w:p>
        </w:tc>
        <w:tc>
          <w:tcPr>
            <w:tcW w:w="148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Actual</w:t>
            </w:r>
          </w:p>
        </w:tc>
        <w:tc>
          <w:tcPr>
            <w:tcW w:w="960" w:type="dxa"/>
            <w:vAlign w:val="bottom"/>
            <w:tcBorders>
              <w:bottom w:val="single" w:sz="8" w:color="1A3FD6"/>
            </w:tcBorders>
          </w:tcPr>
          <w:p>
            <w:pPr>
              <w:spacing w:after="0"/>
              <w:rPr>
                <w:sz w:val="19"/>
                <w:szCs w:val="19"/>
                <w:color w:val="auto"/>
              </w:rPr>
            </w:pPr>
          </w:p>
        </w:tc>
      </w:tr>
      <w:tr>
        <w:trPr>
          <w:trHeight w:val="193"/>
        </w:trPr>
        <w:tc>
          <w:tcPr>
            <w:tcW w:w="1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Payout (% Of</w:t>
            </w:r>
          </w:p>
        </w:tc>
        <w:tc>
          <w:tcPr>
            <w:tcW w:w="1160" w:type="dxa"/>
            <w:vAlign w:val="bottom"/>
          </w:tcPr>
          <w:p>
            <w:pPr>
              <w:spacing w:after="0"/>
              <w:rPr>
                <w:sz w:val="16"/>
                <w:szCs w:val="16"/>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Payout (% Of</w:t>
            </w:r>
          </w:p>
        </w:tc>
        <w:tc>
          <w:tcPr>
            <w:tcW w:w="114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Payout (% Of</w:t>
            </w:r>
          </w:p>
        </w:tc>
        <w:tc>
          <w:tcPr>
            <w:tcW w:w="1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Payout (% Of</w:t>
            </w:r>
          </w:p>
        </w:tc>
      </w:tr>
      <w:tr>
        <w:trPr>
          <w:trHeight w:val="205"/>
        </w:trPr>
        <w:tc>
          <w:tcPr>
            <w:tcW w:w="168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Metrics</w:t>
            </w:r>
          </w:p>
        </w:tc>
        <w:tc>
          <w:tcPr>
            <w:tcW w:w="1140" w:type="dxa"/>
            <w:vAlign w:val="bottom"/>
            <w:tcBorders>
              <w:bottom w:val="single" w:sz="8" w:color="1A3FD6"/>
            </w:tcBorders>
          </w:tcPr>
          <w:p>
            <w:pPr>
              <w:jc w:val="right"/>
              <w:ind w:right="145"/>
              <w:spacing w:after="0"/>
              <w:rPr>
                <w:sz w:val="20"/>
                <w:szCs w:val="20"/>
                <w:color w:val="auto"/>
              </w:rPr>
            </w:pPr>
            <w:r>
              <w:rPr>
                <w:rFonts w:ascii="Arial" w:cs="Arial" w:eastAsia="Arial" w:hAnsi="Arial"/>
                <w:sz w:val="14"/>
                <w:szCs w:val="14"/>
                <w:b w:val="1"/>
                <w:bCs w:val="1"/>
                <w:color w:val="auto"/>
              </w:rPr>
              <w:t>Goal</w:t>
            </w:r>
          </w:p>
        </w:tc>
        <w:tc>
          <w:tcPr>
            <w:tcW w:w="1240" w:type="dxa"/>
            <w:vAlign w:val="bottom"/>
            <w:tcBorders>
              <w:bottom w:val="single" w:sz="8" w:color="1A3FD6"/>
            </w:tcBorders>
            <w:gridSpan w:val="2"/>
          </w:tcPr>
          <w:p>
            <w:pPr>
              <w:jc w:val="right"/>
              <w:ind w:right="120"/>
              <w:spacing w:after="0"/>
              <w:rPr>
                <w:sz w:val="20"/>
                <w:szCs w:val="20"/>
                <w:color w:val="auto"/>
              </w:rPr>
            </w:pPr>
            <w:r>
              <w:rPr>
                <w:rFonts w:ascii="Arial" w:cs="Arial" w:eastAsia="Arial" w:hAnsi="Arial"/>
                <w:sz w:val="14"/>
                <w:szCs w:val="14"/>
                <w:b w:val="1"/>
                <w:bCs w:val="1"/>
                <w:color w:val="auto"/>
              </w:rPr>
              <w:t>Opportunity)</w:t>
            </w:r>
          </w:p>
        </w:tc>
        <w:tc>
          <w:tcPr>
            <w:tcW w:w="1160" w:type="dxa"/>
            <w:vAlign w:val="bottom"/>
            <w:tcBorders>
              <w:bottom w:val="single" w:sz="8" w:color="1A3FD6"/>
            </w:tcBorders>
          </w:tcPr>
          <w:p>
            <w:pPr>
              <w:jc w:val="right"/>
              <w:ind w:right="85"/>
              <w:spacing w:after="0"/>
              <w:rPr>
                <w:sz w:val="20"/>
                <w:szCs w:val="20"/>
                <w:color w:val="auto"/>
              </w:rPr>
            </w:pPr>
            <w:r>
              <w:rPr>
                <w:rFonts w:ascii="Arial" w:cs="Arial" w:eastAsia="Arial" w:hAnsi="Arial"/>
                <w:sz w:val="14"/>
                <w:szCs w:val="14"/>
                <w:b w:val="1"/>
                <w:bCs w:val="1"/>
                <w:color w:val="auto"/>
              </w:rPr>
              <w:t>Goal</w:t>
            </w:r>
          </w:p>
        </w:tc>
        <w:tc>
          <w:tcPr>
            <w:tcW w:w="1300" w:type="dxa"/>
            <w:vAlign w:val="bottom"/>
            <w:tcBorders>
              <w:bottom w:val="single" w:sz="8" w:color="1A3FD6"/>
            </w:tcBorders>
            <w:gridSpan w:val="2"/>
          </w:tcPr>
          <w:p>
            <w:pPr>
              <w:jc w:val="right"/>
              <w:ind w:right="120"/>
              <w:spacing w:after="0"/>
              <w:rPr>
                <w:sz w:val="20"/>
                <w:szCs w:val="20"/>
                <w:color w:val="auto"/>
              </w:rPr>
            </w:pPr>
            <w:r>
              <w:rPr>
                <w:rFonts w:ascii="Arial" w:cs="Arial" w:eastAsia="Arial" w:hAnsi="Arial"/>
                <w:sz w:val="14"/>
                <w:szCs w:val="14"/>
                <w:b w:val="1"/>
                <w:bCs w:val="1"/>
                <w:color w:val="auto"/>
              </w:rPr>
              <w:t>Opportunity)</w:t>
            </w:r>
          </w:p>
        </w:tc>
        <w:tc>
          <w:tcPr>
            <w:tcW w:w="1140" w:type="dxa"/>
            <w:vAlign w:val="bottom"/>
            <w:tcBorders>
              <w:bottom w:val="single" w:sz="8" w:color="1A3FD6"/>
            </w:tcBorders>
          </w:tcPr>
          <w:p>
            <w:pPr>
              <w:jc w:val="right"/>
              <w:ind w:right="225"/>
              <w:spacing w:after="0"/>
              <w:rPr>
                <w:sz w:val="20"/>
                <w:szCs w:val="20"/>
                <w:color w:val="auto"/>
              </w:rPr>
            </w:pPr>
            <w:r>
              <w:rPr>
                <w:rFonts w:ascii="Arial" w:cs="Arial" w:eastAsia="Arial" w:hAnsi="Arial"/>
                <w:sz w:val="14"/>
                <w:szCs w:val="14"/>
                <w:b w:val="1"/>
                <w:bCs w:val="1"/>
                <w:color w:val="auto"/>
              </w:rPr>
              <w:t>Goal</w:t>
            </w:r>
          </w:p>
        </w:tc>
        <w:tc>
          <w:tcPr>
            <w:tcW w:w="1140" w:type="dxa"/>
            <w:vAlign w:val="bottom"/>
            <w:tcBorders>
              <w:bottom w:val="single" w:sz="8" w:color="1A3FD6"/>
            </w:tcBorders>
            <w:gridSpan w:val="2"/>
          </w:tcPr>
          <w:p>
            <w:pPr>
              <w:jc w:val="right"/>
              <w:ind w:right="100"/>
              <w:spacing w:after="0"/>
              <w:rPr>
                <w:sz w:val="20"/>
                <w:szCs w:val="20"/>
                <w:color w:val="auto"/>
              </w:rPr>
            </w:pPr>
            <w:r>
              <w:rPr>
                <w:rFonts w:ascii="Arial" w:cs="Arial" w:eastAsia="Arial" w:hAnsi="Arial"/>
                <w:sz w:val="14"/>
                <w:szCs w:val="14"/>
                <w:b w:val="1"/>
                <w:bCs w:val="1"/>
                <w:color w:val="auto"/>
              </w:rPr>
              <w:t>Opportunity)</w:t>
            </w:r>
          </w:p>
        </w:tc>
        <w:tc>
          <w:tcPr>
            <w:tcW w:w="1480" w:type="dxa"/>
            <w:vAlign w:val="bottom"/>
            <w:tcBorders>
              <w:bottom w:val="single" w:sz="8" w:color="1A3FD6"/>
            </w:tcBorders>
          </w:tcPr>
          <w:p>
            <w:pPr>
              <w:jc w:val="right"/>
              <w:ind w:right="185"/>
              <w:spacing w:after="0"/>
              <w:rPr>
                <w:sz w:val="20"/>
                <w:szCs w:val="20"/>
                <w:color w:val="auto"/>
              </w:rPr>
            </w:pPr>
            <w:r>
              <w:rPr>
                <w:rFonts w:ascii="Arial" w:cs="Arial" w:eastAsia="Arial" w:hAnsi="Arial"/>
                <w:sz w:val="14"/>
                <w:szCs w:val="14"/>
                <w:b w:val="1"/>
                <w:bCs w:val="1"/>
                <w:color w:val="auto"/>
              </w:rPr>
              <w:t>Achievement</w:t>
            </w:r>
          </w:p>
        </w:tc>
        <w:tc>
          <w:tcPr>
            <w:tcW w:w="96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Opportunity)</w:t>
            </w:r>
          </w:p>
        </w:tc>
      </w:tr>
      <w:tr>
        <w:trPr>
          <w:trHeight w:val="237"/>
        </w:trPr>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TSR CAGR</w:t>
            </w:r>
          </w:p>
        </w:tc>
        <w:tc>
          <w:tcPr>
            <w:tcW w:w="1140" w:type="dxa"/>
            <w:vAlign w:val="bottom"/>
            <w:tcBorders>
              <w:bottom w:val="single" w:sz="8" w:color="auto"/>
            </w:tcBorders>
          </w:tcPr>
          <w:p>
            <w:pPr>
              <w:jc w:val="right"/>
              <w:ind w:right="145"/>
              <w:spacing w:after="0"/>
              <w:rPr>
                <w:sz w:val="20"/>
                <w:szCs w:val="20"/>
                <w:color w:val="auto"/>
              </w:rPr>
            </w:pPr>
            <w:r>
              <w:rPr>
                <w:rFonts w:ascii="Arial" w:cs="Arial" w:eastAsia="Arial" w:hAnsi="Arial"/>
                <w:sz w:val="16"/>
                <w:szCs w:val="16"/>
                <w:color w:val="auto"/>
              </w:rPr>
              <w:t>10.00%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color w:val="auto"/>
              </w:rPr>
              <w:t>12.50%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25"/>
              <w:spacing w:after="0"/>
              <w:rPr>
                <w:sz w:val="20"/>
                <w:szCs w:val="20"/>
                <w:color w:val="auto"/>
              </w:rPr>
            </w:pPr>
            <w:r>
              <w:rPr>
                <w:rFonts w:ascii="Arial" w:cs="Arial" w:eastAsia="Arial" w:hAnsi="Arial"/>
                <w:sz w:val="16"/>
                <w:szCs w:val="16"/>
                <w:color w:val="auto"/>
              </w:rPr>
              <w:t>20.00%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200 %</w:t>
            </w: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85"/>
              <w:spacing w:after="0"/>
              <w:rPr>
                <w:sz w:val="20"/>
                <w:szCs w:val="20"/>
                <w:color w:val="auto"/>
              </w:rPr>
            </w:pPr>
            <w:r>
              <w:rPr>
                <w:rFonts w:ascii="Arial" w:cs="Arial" w:eastAsia="Arial" w:hAnsi="Arial"/>
                <w:sz w:val="16"/>
                <w:szCs w:val="16"/>
                <w:color w:val="auto"/>
              </w:rPr>
              <w:t>16.40%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r>
    </w:tbl>
    <w:p>
      <w:pPr>
        <w:spacing w:after="0" w:line="175"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Actual achievement of the TSR CAGR performance metric was 16.4%, which resulted in a payout of 164% of the target number of PSUs. Following the performance adjustment certified by the Compensation Committee, Mr. Fernandez received 58,370 PSUs, Mr. Wiechmann received 2,269 PSUs, Mr. Pettit received 25,943 PSUs, Mr. Crum received 5,446 PSUs and Mr. Gutowski received 1,815 PSUs, all of which vested and converted to shares on February 6, 2025.</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1A3FD6"/>
        </w:rPr>
        <w:t>2022 PSU Award Payouts</w:t>
      </w:r>
    </w:p>
    <w:p>
      <w:pPr>
        <w:spacing w:after="0" w:line="85"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The three-year performance period applicable to the PSUs granted to each of Messrs. Fernandez, Wiechmann, Pettit, Crum and Gutowski on February 3, 2022 concluded on February 2, 2025 and resulted in the following level of achievement: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720" w:type="dxa"/>
            <w:vAlign w:val="bottom"/>
          </w:tcPr>
          <w:p>
            <w:pPr>
              <w:spacing w:after="0"/>
              <w:rPr>
                <w:sz w:val="17"/>
                <w:szCs w:val="17"/>
                <w:color w:val="auto"/>
              </w:rPr>
            </w:pPr>
          </w:p>
        </w:tc>
        <w:tc>
          <w:tcPr>
            <w:tcW w:w="1140" w:type="dxa"/>
            <w:vAlign w:val="bottom"/>
            <w:tcBorders>
              <w:bottom w:val="single" w:sz="8" w:color="1A3FD6"/>
            </w:tcBorders>
          </w:tcPr>
          <w:p>
            <w:pPr>
              <w:spacing w:after="0"/>
              <w:rPr>
                <w:sz w:val="17"/>
                <w:szCs w:val="17"/>
                <w:color w:val="auto"/>
              </w:rPr>
            </w:pPr>
          </w:p>
        </w:tc>
        <w:tc>
          <w:tcPr>
            <w:tcW w:w="1140" w:type="dxa"/>
            <w:vAlign w:val="bottom"/>
            <w:tcBorders>
              <w:bottom w:val="single" w:sz="8" w:color="1A3FD6"/>
            </w:tcBorders>
          </w:tcPr>
          <w:p>
            <w:pPr>
              <w:spacing w:after="0"/>
              <w:rPr>
                <w:sz w:val="17"/>
                <w:szCs w:val="17"/>
                <w:color w:val="auto"/>
              </w:rPr>
            </w:pPr>
          </w:p>
        </w:tc>
        <w:tc>
          <w:tcPr>
            <w:tcW w:w="80" w:type="dxa"/>
            <w:vAlign w:val="bottom"/>
            <w:tcBorders>
              <w:bottom w:val="single" w:sz="8" w:color="1A3FD6"/>
            </w:tcBorders>
          </w:tcPr>
          <w:p>
            <w:pPr>
              <w:spacing w:after="0"/>
              <w:rPr>
                <w:sz w:val="17"/>
                <w:szCs w:val="17"/>
                <w:color w:val="auto"/>
              </w:rPr>
            </w:pPr>
          </w:p>
        </w:tc>
        <w:tc>
          <w:tcPr>
            <w:tcW w:w="1180" w:type="dxa"/>
            <w:vAlign w:val="bottom"/>
            <w:tcBorders>
              <w:bottom w:val="single" w:sz="8" w:color="1A3FD6"/>
            </w:tcBorders>
          </w:tcPr>
          <w:p>
            <w:pPr>
              <w:spacing w:after="0"/>
              <w:rPr>
                <w:sz w:val="17"/>
                <w:szCs w:val="17"/>
                <w:color w:val="auto"/>
              </w:rPr>
            </w:pPr>
          </w:p>
        </w:tc>
        <w:tc>
          <w:tcPr>
            <w:tcW w:w="2440" w:type="dxa"/>
            <w:vAlign w:val="bottom"/>
            <w:tcBorders>
              <w:bottom w:val="single" w:sz="8" w:color="1A3FD6"/>
            </w:tcBorders>
            <w:gridSpan w:val="3"/>
          </w:tcPr>
          <w:p>
            <w:pPr>
              <w:jc w:val="right"/>
              <w:ind w:right="65"/>
              <w:spacing w:after="0"/>
              <w:rPr>
                <w:sz w:val="20"/>
                <w:szCs w:val="20"/>
                <w:color w:val="auto"/>
              </w:rPr>
            </w:pPr>
            <w:r>
              <w:rPr>
                <w:rFonts w:ascii="Arial" w:cs="Arial" w:eastAsia="Arial" w:hAnsi="Arial"/>
                <w:sz w:val="14"/>
                <w:szCs w:val="14"/>
                <w:b w:val="1"/>
                <w:bCs w:val="1"/>
                <w:color w:val="auto"/>
              </w:rPr>
              <w:t>Performance Period: 2022-2025</w:t>
            </w:r>
          </w:p>
        </w:tc>
        <w:tc>
          <w:tcPr>
            <w:tcW w:w="1040" w:type="dxa"/>
            <w:vAlign w:val="bottom"/>
            <w:tcBorders>
              <w:bottom w:val="single" w:sz="8" w:color="1A3FD6"/>
            </w:tcBorders>
          </w:tcPr>
          <w:p>
            <w:pPr>
              <w:spacing w:after="0"/>
              <w:rPr>
                <w:sz w:val="17"/>
                <w:szCs w:val="17"/>
                <w:color w:val="auto"/>
              </w:rPr>
            </w:pPr>
          </w:p>
        </w:tc>
        <w:tc>
          <w:tcPr>
            <w:tcW w:w="100" w:type="dxa"/>
            <w:vAlign w:val="bottom"/>
            <w:tcBorders>
              <w:bottom w:val="single" w:sz="8" w:color="1A3FD6"/>
            </w:tcBorders>
          </w:tcPr>
          <w:p>
            <w:pPr>
              <w:spacing w:after="0"/>
              <w:rPr>
                <w:sz w:val="17"/>
                <w:szCs w:val="17"/>
                <w:color w:val="auto"/>
              </w:rPr>
            </w:pPr>
          </w:p>
        </w:tc>
        <w:tc>
          <w:tcPr>
            <w:tcW w:w="1460" w:type="dxa"/>
            <w:vAlign w:val="bottom"/>
            <w:tcBorders>
              <w:bottom w:val="single" w:sz="8" w:color="1A3FD6"/>
            </w:tcBorders>
          </w:tcPr>
          <w:p>
            <w:pPr>
              <w:spacing w:after="0"/>
              <w:rPr>
                <w:sz w:val="17"/>
                <w:szCs w:val="17"/>
                <w:color w:val="auto"/>
              </w:rPr>
            </w:pPr>
          </w:p>
        </w:tc>
        <w:tc>
          <w:tcPr>
            <w:tcW w:w="940" w:type="dxa"/>
            <w:vAlign w:val="bottom"/>
            <w:tcBorders>
              <w:bottom w:val="single" w:sz="8" w:color="1A3FD6"/>
            </w:tcBorders>
          </w:tcPr>
          <w:p>
            <w:pPr>
              <w:spacing w:after="0"/>
              <w:rPr>
                <w:sz w:val="17"/>
                <w:szCs w:val="17"/>
                <w:color w:val="auto"/>
              </w:rPr>
            </w:pPr>
          </w:p>
        </w:tc>
      </w:tr>
      <w:tr>
        <w:trPr>
          <w:trHeight w:val="223"/>
        </w:trPr>
        <w:tc>
          <w:tcPr>
            <w:tcW w:w="1720" w:type="dxa"/>
            <w:vAlign w:val="bottom"/>
          </w:tcPr>
          <w:p>
            <w:pPr>
              <w:spacing w:after="0"/>
              <w:rPr>
                <w:sz w:val="19"/>
                <w:szCs w:val="19"/>
                <w:color w:val="auto"/>
              </w:rPr>
            </w:pPr>
          </w:p>
        </w:tc>
        <w:tc>
          <w:tcPr>
            <w:tcW w:w="2280" w:type="dxa"/>
            <w:vAlign w:val="bottom"/>
            <w:tcBorders>
              <w:bottom w:val="single" w:sz="8" w:color="1A3FD6"/>
            </w:tcBorders>
            <w:gridSpan w:val="2"/>
          </w:tcPr>
          <w:p>
            <w:pPr>
              <w:jc w:val="right"/>
              <w:ind w:right="725"/>
              <w:spacing w:after="0"/>
              <w:rPr>
                <w:sz w:val="20"/>
                <w:szCs w:val="20"/>
                <w:color w:val="auto"/>
              </w:rPr>
            </w:pPr>
            <w:r>
              <w:rPr>
                <w:rFonts w:ascii="Arial" w:cs="Arial" w:eastAsia="Arial" w:hAnsi="Arial"/>
                <w:sz w:val="14"/>
                <w:szCs w:val="14"/>
                <w:b w:val="1"/>
                <w:bCs w:val="1"/>
                <w:color w:val="auto"/>
              </w:rPr>
              <w:t>Threshold</w:t>
            </w:r>
          </w:p>
        </w:tc>
        <w:tc>
          <w:tcPr>
            <w:tcW w:w="80" w:type="dxa"/>
            <w:vAlign w:val="bottom"/>
          </w:tcPr>
          <w:p>
            <w:pPr>
              <w:spacing w:after="0"/>
              <w:rPr>
                <w:sz w:val="19"/>
                <w:szCs w:val="19"/>
                <w:color w:val="auto"/>
              </w:rPr>
            </w:pPr>
          </w:p>
        </w:tc>
        <w:tc>
          <w:tcPr>
            <w:tcW w:w="2360" w:type="dxa"/>
            <w:vAlign w:val="bottom"/>
            <w:tcBorders>
              <w:bottom w:val="single" w:sz="8" w:color="1A3FD6"/>
            </w:tcBorders>
            <w:gridSpan w:val="2"/>
          </w:tcPr>
          <w:p>
            <w:pPr>
              <w:jc w:val="right"/>
              <w:ind w:right="886"/>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9"/>
                <w:szCs w:val="19"/>
                <w:color w:val="auto"/>
              </w:rPr>
            </w:pPr>
          </w:p>
        </w:tc>
        <w:tc>
          <w:tcPr>
            <w:tcW w:w="2200" w:type="dxa"/>
            <w:vAlign w:val="bottom"/>
            <w:tcBorders>
              <w:bottom w:val="single" w:sz="8" w:color="1A3FD6"/>
            </w:tcBorders>
            <w:gridSpan w:val="2"/>
          </w:tcPr>
          <w:p>
            <w:pPr>
              <w:jc w:val="right"/>
              <w:ind w:right="685"/>
              <w:spacing w:after="0"/>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9"/>
                <w:szCs w:val="19"/>
                <w:color w:val="auto"/>
              </w:rPr>
            </w:pPr>
          </w:p>
        </w:tc>
        <w:tc>
          <w:tcPr>
            <w:tcW w:w="146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Actual</w:t>
            </w:r>
          </w:p>
        </w:tc>
        <w:tc>
          <w:tcPr>
            <w:tcW w:w="940" w:type="dxa"/>
            <w:vAlign w:val="bottom"/>
            <w:tcBorders>
              <w:bottom w:val="single" w:sz="8" w:color="1A3FD6"/>
            </w:tcBorders>
          </w:tcPr>
          <w:p>
            <w:pPr>
              <w:spacing w:after="0"/>
              <w:rPr>
                <w:sz w:val="19"/>
                <w:szCs w:val="19"/>
                <w:color w:val="auto"/>
              </w:rPr>
            </w:pPr>
          </w:p>
        </w:tc>
      </w:tr>
      <w:tr>
        <w:trPr>
          <w:trHeight w:val="193"/>
        </w:trPr>
        <w:tc>
          <w:tcPr>
            <w:tcW w:w="1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Payout (% Of</w:t>
            </w:r>
          </w:p>
        </w:tc>
        <w:tc>
          <w:tcPr>
            <w:tcW w:w="118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Payout (% Of</w:t>
            </w:r>
          </w:p>
        </w:tc>
        <w:tc>
          <w:tcPr>
            <w:tcW w:w="116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Payout (% Of</w:t>
            </w:r>
          </w:p>
        </w:tc>
        <w:tc>
          <w:tcPr>
            <w:tcW w:w="14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Payout (% Of</w:t>
            </w:r>
          </w:p>
        </w:tc>
      </w:tr>
      <w:tr>
        <w:trPr>
          <w:trHeight w:val="205"/>
        </w:trPr>
        <w:tc>
          <w:tcPr>
            <w:tcW w:w="172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Metrics</w:t>
            </w:r>
          </w:p>
        </w:tc>
        <w:tc>
          <w:tcPr>
            <w:tcW w:w="1140" w:type="dxa"/>
            <w:vAlign w:val="bottom"/>
            <w:tcBorders>
              <w:bottom w:val="single" w:sz="8" w:color="1A3FD6"/>
            </w:tcBorders>
          </w:tcPr>
          <w:p>
            <w:pPr>
              <w:jc w:val="right"/>
              <w:ind w:right="145"/>
              <w:spacing w:after="0"/>
              <w:rPr>
                <w:sz w:val="20"/>
                <w:szCs w:val="20"/>
                <w:color w:val="auto"/>
              </w:rPr>
            </w:pPr>
            <w:r>
              <w:rPr>
                <w:rFonts w:ascii="Arial" w:cs="Arial" w:eastAsia="Arial" w:hAnsi="Arial"/>
                <w:sz w:val="14"/>
                <w:szCs w:val="14"/>
                <w:b w:val="1"/>
                <w:bCs w:val="1"/>
                <w:color w:val="auto"/>
              </w:rPr>
              <w:t>Goal</w:t>
            </w:r>
          </w:p>
        </w:tc>
        <w:tc>
          <w:tcPr>
            <w:tcW w:w="1220" w:type="dxa"/>
            <w:vAlign w:val="bottom"/>
            <w:tcBorders>
              <w:bottom w:val="single" w:sz="8" w:color="1A3FD6"/>
            </w:tcBorders>
            <w:gridSpan w:val="2"/>
          </w:tcPr>
          <w:p>
            <w:pPr>
              <w:jc w:val="right"/>
              <w:ind w:right="100"/>
              <w:spacing w:after="0"/>
              <w:rPr>
                <w:sz w:val="20"/>
                <w:szCs w:val="20"/>
                <w:color w:val="auto"/>
              </w:rPr>
            </w:pPr>
            <w:r>
              <w:rPr>
                <w:rFonts w:ascii="Arial" w:cs="Arial" w:eastAsia="Arial" w:hAnsi="Arial"/>
                <w:sz w:val="14"/>
                <w:szCs w:val="14"/>
                <w:b w:val="1"/>
                <w:bCs w:val="1"/>
                <w:color w:val="auto"/>
              </w:rPr>
              <w:t>Opportunity)</w:t>
            </w:r>
          </w:p>
        </w:tc>
        <w:tc>
          <w:tcPr>
            <w:tcW w:w="1180" w:type="dxa"/>
            <w:vAlign w:val="bottom"/>
            <w:tcBorders>
              <w:bottom w:val="single" w:sz="8" w:color="1A3FD6"/>
            </w:tcBorders>
          </w:tcPr>
          <w:p>
            <w:pPr>
              <w:jc w:val="right"/>
              <w:ind w:right="85"/>
              <w:spacing w:after="0"/>
              <w:rPr>
                <w:sz w:val="20"/>
                <w:szCs w:val="20"/>
                <w:color w:val="auto"/>
              </w:rPr>
            </w:pPr>
            <w:r>
              <w:rPr>
                <w:rFonts w:ascii="Arial" w:cs="Arial" w:eastAsia="Arial" w:hAnsi="Arial"/>
                <w:sz w:val="14"/>
                <w:szCs w:val="14"/>
                <w:b w:val="1"/>
                <w:bCs w:val="1"/>
                <w:color w:val="auto"/>
              </w:rPr>
              <w:t>Goal</w:t>
            </w:r>
          </w:p>
        </w:tc>
        <w:tc>
          <w:tcPr>
            <w:tcW w:w="1280" w:type="dxa"/>
            <w:vAlign w:val="bottom"/>
            <w:tcBorders>
              <w:bottom w:val="single" w:sz="8" w:color="1A3FD6"/>
            </w:tcBorders>
            <w:gridSpan w:val="2"/>
          </w:tcPr>
          <w:p>
            <w:pPr>
              <w:jc w:val="right"/>
              <w:ind w:right="120"/>
              <w:spacing w:after="0"/>
              <w:rPr>
                <w:sz w:val="20"/>
                <w:szCs w:val="20"/>
                <w:color w:val="auto"/>
              </w:rPr>
            </w:pPr>
            <w:r>
              <w:rPr>
                <w:rFonts w:ascii="Arial" w:cs="Arial" w:eastAsia="Arial" w:hAnsi="Arial"/>
                <w:sz w:val="14"/>
                <w:szCs w:val="14"/>
                <w:b w:val="1"/>
                <w:bCs w:val="1"/>
                <w:color w:val="auto"/>
              </w:rPr>
              <w:t>Opportunity)</w:t>
            </w:r>
          </w:p>
        </w:tc>
        <w:tc>
          <w:tcPr>
            <w:tcW w:w="1160" w:type="dxa"/>
            <w:vAlign w:val="bottom"/>
            <w:tcBorders>
              <w:bottom w:val="single" w:sz="8" w:color="1A3FD6"/>
            </w:tcBorders>
          </w:tcPr>
          <w:p>
            <w:pPr>
              <w:jc w:val="right"/>
              <w:ind w:right="245"/>
              <w:spacing w:after="0"/>
              <w:rPr>
                <w:sz w:val="20"/>
                <w:szCs w:val="20"/>
                <w:color w:val="auto"/>
              </w:rPr>
            </w:pPr>
            <w:r>
              <w:rPr>
                <w:rFonts w:ascii="Arial" w:cs="Arial" w:eastAsia="Arial" w:hAnsi="Arial"/>
                <w:sz w:val="14"/>
                <w:szCs w:val="14"/>
                <w:b w:val="1"/>
                <w:bCs w:val="1"/>
                <w:color w:val="auto"/>
              </w:rPr>
              <w:t>Goal</w:t>
            </w:r>
          </w:p>
        </w:tc>
        <w:tc>
          <w:tcPr>
            <w:tcW w:w="1140" w:type="dxa"/>
            <w:vAlign w:val="bottom"/>
            <w:tcBorders>
              <w:bottom w:val="single" w:sz="8" w:color="1A3FD6"/>
            </w:tcBorders>
            <w:gridSpan w:val="2"/>
          </w:tcPr>
          <w:p>
            <w:pPr>
              <w:jc w:val="right"/>
              <w:ind w:right="120"/>
              <w:spacing w:after="0"/>
              <w:rPr>
                <w:sz w:val="20"/>
                <w:szCs w:val="20"/>
                <w:color w:val="auto"/>
              </w:rPr>
            </w:pPr>
            <w:r>
              <w:rPr>
                <w:rFonts w:ascii="Arial" w:cs="Arial" w:eastAsia="Arial" w:hAnsi="Arial"/>
                <w:sz w:val="14"/>
                <w:szCs w:val="14"/>
                <w:b w:val="1"/>
                <w:bCs w:val="1"/>
                <w:color w:val="auto"/>
              </w:rPr>
              <w:t>Opportunity)</w:t>
            </w:r>
          </w:p>
        </w:tc>
        <w:tc>
          <w:tcPr>
            <w:tcW w:w="1460" w:type="dxa"/>
            <w:vAlign w:val="bottom"/>
            <w:tcBorders>
              <w:bottom w:val="single" w:sz="8" w:color="1A3FD6"/>
            </w:tcBorders>
          </w:tcPr>
          <w:p>
            <w:pPr>
              <w:jc w:val="right"/>
              <w:ind w:right="225"/>
              <w:spacing w:after="0"/>
              <w:rPr>
                <w:sz w:val="20"/>
                <w:szCs w:val="20"/>
                <w:color w:val="auto"/>
              </w:rPr>
            </w:pPr>
            <w:r>
              <w:rPr>
                <w:rFonts w:ascii="Arial" w:cs="Arial" w:eastAsia="Arial" w:hAnsi="Arial"/>
                <w:sz w:val="14"/>
                <w:szCs w:val="14"/>
                <w:b w:val="1"/>
                <w:bCs w:val="1"/>
                <w:color w:val="auto"/>
              </w:rPr>
              <w:t>Achievement</w:t>
            </w:r>
          </w:p>
        </w:tc>
        <w:tc>
          <w:tcPr>
            <w:tcW w:w="94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Opportunity)</w:t>
            </w:r>
          </w:p>
        </w:tc>
      </w:tr>
      <w:tr>
        <w:trPr>
          <w:trHeight w:val="237"/>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TSR CAGR</w:t>
            </w:r>
          </w:p>
        </w:tc>
        <w:tc>
          <w:tcPr>
            <w:tcW w:w="1140" w:type="dxa"/>
            <w:vAlign w:val="bottom"/>
            <w:tcBorders>
              <w:bottom w:val="single" w:sz="8" w:color="auto"/>
            </w:tcBorders>
          </w:tcPr>
          <w:p>
            <w:pPr>
              <w:jc w:val="right"/>
              <w:ind w:right="145"/>
              <w:spacing w:after="0"/>
              <w:rPr>
                <w:sz w:val="20"/>
                <w:szCs w:val="20"/>
                <w:color w:val="auto"/>
              </w:rPr>
            </w:pPr>
            <w:r>
              <w:rPr>
                <w:rFonts w:ascii="Arial" w:cs="Arial" w:eastAsia="Arial" w:hAnsi="Arial"/>
                <w:sz w:val="16"/>
                <w:szCs w:val="16"/>
                <w:color w:val="auto"/>
              </w:rPr>
              <w:t>8.00%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25 %</w:t>
            </w: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color w:val="auto"/>
              </w:rPr>
              <w:t>10.00%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45"/>
              <w:spacing w:after="0"/>
              <w:rPr>
                <w:sz w:val="20"/>
                <w:szCs w:val="20"/>
                <w:color w:val="auto"/>
              </w:rPr>
            </w:pPr>
            <w:r>
              <w:rPr>
                <w:rFonts w:ascii="Arial" w:cs="Arial" w:eastAsia="Arial" w:hAnsi="Arial"/>
                <w:sz w:val="16"/>
                <w:szCs w:val="16"/>
                <w:color w:val="auto"/>
              </w:rPr>
              <w:t>30.00%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300 %</w:t>
            </w: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25"/>
              <w:spacing w:after="0"/>
              <w:rPr>
                <w:sz w:val="20"/>
                <w:szCs w:val="20"/>
                <w:color w:val="auto"/>
              </w:rPr>
            </w:pPr>
            <w:r>
              <w:rPr>
                <w:rFonts w:ascii="Arial" w:cs="Arial" w:eastAsia="Arial" w:hAnsi="Arial"/>
                <w:sz w:val="16"/>
                <w:szCs w:val="16"/>
                <w:color w:val="auto"/>
              </w:rPr>
              <w:t>4.20%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r>
    </w:tbl>
    <w:p>
      <w:pPr>
        <w:spacing w:after="0" w:line="134"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auto"/>
        </w:rPr>
        <w:t>The TSR CAGR was below threshold performance level, resulting in no payout for the 3-year PSUs granted to each of Messrs. Fernandez, Wiechmann, Pettit, Crum and Gutowski on February 3, 2022.</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1A3FD6"/>
        </w:rPr>
        <w:t>2022 PSO Award Payouts</w:t>
      </w:r>
    </w:p>
    <w:p>
      <w:pPr>
        <w:spacing w:after="0" w:line="85"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The three-year performance period applicable to the PSOs granted to each of Messrs. Fernandez, Wiechmann, Pettit, Crum and Gutowski on February 3, 2022 concluded on December 31, 2024, and the service condition was satisfied on February 3, 2025, and resulted in the following level of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669290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322"/>
        </w:trPr>
        <w:tc>
          <w:tcPr>
            <w:tcW w:w="720" w:type="dxa"/>
            <w:vAlign w:val="bottom"/>
            <w:tcBorders>
              <w:right w:val="single" w:sz="8" w:color="1A3FD6"/>
            </w:tcBorders>
          </w:tcPr>
          <w:p>
            <w:pPr>
              <w:ind w:left="100"/>
              <w:spacing w:after="0"/>
              <w:rPr>
                <w:sz w:val="20"/>
                <w:szCs w:val="20"/>
                <w:color w:val="auto"/>
              </w:rPr>
            </w:pPr>
            <w:r>
              <w:rPr>
                <w:rFonts w:ascii="Arial" w:cs="Arial" w:eastAsia="Arial" w:hAnsi="Arial"/>
                <w:sz w:val="14"/>
                <w:szCs w:val="14"/>
                <w:b w:val="1"/>
                <w:bCs w:val="1"/>
                <w:color w:val="1A3FD6"/>
              </w:rPr>
              <w:t>78</w:t>
            </w:r>
          </w:p>
        </w:tc>
        <w:tc>
          <w:tcPr>
            <w:tcW w:w="2000" w:type="dxa"/>
            <w:vAlign w:val="bottom"/>
            <w:gridSpan w:val="2"/>
          </w:tcPr>
          <w:p>
            <w:pPr>
              <w:jc w:val="right"/>
              <w:ind w:right="84"/>
              <w:spacing w:after="0"/>
              <w:rPr>
                <w:sz w:val="20"/>
                <w:szCs w:val="20"/>
                <w:color w:val="auto"/>
              </w:rPr>
            </w:pPr>
            <w:r>
              <w:rPr>
                <w:rFonts w:ascii="Arial" w:cs="Arial" w:eastAsia="Arial" w:hAnsi="Arial"/>
                <w:sz w:val="14"/>
                <w:szCs w:val="14"/>
                <w:b w:val="1"/>
                <w:bCs w:val="1"/>
                <w:color w:val="1A3FD6"/>
              </w:rPr>
              <w:t>2025 PROXY STATEMENT</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1"/>
        </w:trPr>
        <w:tc>
          <w:tcPr>
            <w:tcW w:w="720" w:type="dxa"/>
            <w:vAlign w:val="bottom"/>
            <w:tcBorders>
              <w:bottom w:val="single" w:sz="8" w:color="1A3FD6"/>
              <w:right w:val="single" w:sz="8" w:color="1A3FD6"/>
            </w:tcBorders>
          </w:tcPr>
          <w:p>
            <w:pPr>
              <w:spacing w:after="0"/>
              <w:rPr>
                <w:sz w:val="16"/>
                <w:szCs w:val="16"/>
                <w:color w:val="auto"/>
              </w:rPr>
            </w:pPr>
          </w:p>
        </w:tc>
        <w:tc>
          <w:tcPr>
            <w:tcW w:w="780" w:type="dxa"/>
            <w:vAlign w:val="bottom"/>
            <w:tcBorders>
              <w:bottom w:val="single" w:sz="8" w:color="1A3FD6"/>
            </w:tcBorders>
          </w:tcPr>
          <w:p>
            <w:pPr>
              <w:spacing w:after="0"/>
              <w:rPr>
                <w:sz w:val="16"/>
                <w:szCs w:val="16"/>
                <w:color w:val="auto"/>
              </w:rPr>
            </w:pPr>
          </w:p>
        </w:tc>
        <w:tc>
          <w:tcPr>
            <w:tcW w:w="1220" w:type="dxa"/>
            <w:vAlign w:val="bottom"/>
            <w:tcBorders>
              <w:bottom w:val="single" w:sz="8" w:color="1A3FD6"/>
            </w:tcBorders>
          </w:tcPr>
          <w:p>
            <w:pPr>
              <w:spacing w:after="0"/>
              <w:rPr>
                <w:sz w:val="16"/>
                <w:szCs w:val="16"/>
                <w:color w:val="auto"/>
              </w:rPr>
            </w:pPr>
          </w:p>
        </w:tc>
        <w:tc>
          <w:tcPr>
            <w:tcW w:w="1300" w:type="dxa"/>
            <w:vAlign w:val="bottom"/>
            <w:tcBorders>
              <w:bottom w:val="single" w:sz="8" w:color="1A3FD6"/>
            </w:tcBorders>
          </w:tcPr>
          <w:p>
            <w:pPr>
              <w:spacing w:after="0"/>
              <w:rPr>
                <w:sz w:val="16"/>
                <w:szCs w:val="16"/>
                <w:color w:val="auto"/>
              </w:rPr>
            </w:pPr>
          </w:p>
        </w:tc>
        <w:tc>
          <w:tcPr>
            <w:tcW w:w="1280" w:type="dxa"/>
            <w:vAlign w:val="bottom"/>
            <w:tcBorders>
              <w:bottom w:val="single" w:sz="8" w:color="1A3FD6"/>
            </w:tcBorders>
          </w:tcPr>
          <w:p>
            <w:pPr>
              <w:spacing w:after="0"/>
              <w:rPr>
                <w:sz w:val="16"/>
                <w:szCs w:val="16"/>
                <w:color w:val="auto"/>
              </w:rPr>
            </w:pPr>
          </w:p>
        </w:tc>
        <w:tc>
          <w:tcPr>
            <w:tcW w:w="2300" w:type="dxa"/>
            <w:vAlign w:val="bottom"/>
            <w:tcBorders>
              <w:bottom w:val="single" w:sz="8" w:color="1A3FD6"/>
            </w:tcBorders>
            <w:gridSpan w:val="2"/>
          </w:tcPr>
          <w:p>
            <w:pPr>
              <w:spacing w:after="0"/>
              <w:rPr>
                <w:sz w:val="16"/>
                <w:szCs w:val="16"/>
                <w:color w:val="auto"/>
              </w:rPr>
            </w:pPr>
          </w:p>
        </w:tc>
        <w:tc>
          <w:tcPr>
            <w:tcW w:w="1280" w:type="dxa"/>
            <w:vAlign w:val="bottom"/>
            <w:tcBorders>
              <w:bottom w:val="single" w:sz="8" w:color="1A3FD6"/>
            </w:tcBorders>
          </w:tcPr>
          <w:p>
            <w:pPr>
              <w:spacing w:after="0"/>
              <w:rPr>
                <w:sz w:val="16"/>
                <w:szCs w:val="16"/>
                <w:color w:val="auto"/>
              </w:rPr>
            </w:pPr>
          </w:p>
        </w:tc>
        <w:tc>
          <w:tcPr>
            <w:tcW w:w="1520" w:type="dxa"/>
            <w:vAlign w:val="bottom"/>
            <w:tcBorders>
              <w:bottom w:val="single" w:sz="8" w:color="1A3FD6"/>
            </w:tcBorders>
          </w:tcPr>
          <w:p>
            <w:pPr>
              <w:spacing w:after="0"/>
              <w:rPr>
                <w:sz w:val="16"/>
                <w:szCs w:val="16"/>
                <w:color w:val="auto"/>
              </w:rPr>
            </w:pPr>
          </w:p>
        </w:tc>
        <w:tc>
          <w:tcPr>
            <w:tcW w:w="840" w:type="dxa"/>
            <w:vAlign w:val="bottom"/>
            <w:tcBorders>
              <w:bottom w:val="single" w:sz="8" w:color="1A3FD6"/>
            </w:tcBorders>
          </w:tcPr>
          <w:p>
            <w:pPr>
              <w:spacing w:after="0"/>
              <w:rPr>
                <w:sz w:val="16"/>
                <w:szCs w:val="16"/>
                <w:color w:val="auto"/>
              </w:rPr>
            </w:pPr>
          </w:p>
        </w:tc>
      </w:tr>
      <w:tr>
        <w:trPr>
          <w:trHeight w:val="662"/>
        </w:trPr>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Borders>
              <w:bottom w:val="single" w:sz="8" w:color="1A3FD6"/>
            </w:tcBorders>
          </w:tcPr>
          <w:p>
            <w:pPr>
              <w:spacing w:after="0"/>
              <w:rPr>
                <w:sz w:val="24"/>
                <w:szCs w:val="24"/>
                <w:color w:val="auto"/>
              </w:rPr>
            </w:pPr>
          </w:p>
        </w:tc>
        <w:tc>
          <w:tcPr>
            <w:tcW w:w="1300" w:type="dxa"/>
            <w:vAlign w:val="bottom"/>
            <w:tcBorders>
              <w:bottom w:val="single" w:sz="8" w:color="1A3FD6"/>
            </w:tcBorders>
          </w:tcPr>
          <w:p>
            <w:pPr>
              <w:spacing w:after="0"/>
              <w:rPr>
                <w:sz w:val="24"/>
                <w:szCs w:val="24"/>
                <w:color w:val="auto"/>
              </w:rPr>
            </w:pPr>
          </w:p>
        </w:tc>
        <w:tc>
          <w:tcPr>
            <w:tcW w:w="1280" w:type="dxa"/>
            <w:vAlign w:val="bottom"/>
            <w:tcBorders>
              <w:bottom w:val="single" w:sz="8" w:color="1A3FD6"/>
            </w:tcBorders>
          </w:tcPr>
          <w:p>
            <w:pPr>
              <w:spacing w:after="0"/>
              <w:rPr>
                <w:sz w:val="24"/>
                <w:szCs w:val="24"/>
                <w:color w:val="auto"/>
              </w:rPr>
            </w:pPr>
          </w:p>
        </w:tc>
        <w:tc>
          <w:tcPr>
            <w:tcW w:w="2300" w:type="dxa"/>
            <w:vAlign w:val="bottom"/>
            <w:tcBorders>
              <w:bottom w:val="single" w:sz="8" w:color="1A3FD6"/>
            </w:tcBorders>
            <w:gridSpan w:val="2"/>
          </w:tcPr>
          <w:p>
            <w:pPr>
              <w:jc w:val="right"/>
              <w:ind w:right="84"/>
              <w:spacing w:after="0"/>
              <w:rPr>
                <w:sz w:val="20"/>
                <w:szCs w:val="20"/>
                <w:color w:val="auto"/>
              </w:rPr>
            </w:pPr>
            <w:r>
              <w:rPr>
                <w:rFonts w:ascii="Arial" w:cs="Arial" w:eastAsia="Arial" w:hAnsi="Arial"/>
                <w:sz w:val="14"/>
                <w:szCs w:val="14"/>
                <w:b w:val="1"/>
                <w:bCs w:val="1"/>
                <w:color w:val="auto"/>
              </w:rPr>
              <w:t>Performance Period: 2022-2025</w:t>
            </w:r>
          </w:p>
        </w:tc>
        <w:tc>
          <w:tcPr>
            <w:tcW w:w="1280" w:type="dxa"/>
            <w:vAlign w:val="bottom"/>
            <w:tcBorders>
              <w:bottom w:val="single" w:sz="8" w:color="1A3FD6"/>
            </w:tcBorders>
          </w:tcPr>
          <w:p>
            <w:pPr>
              <w:spacing w:after="0"/>
              <w:rPr>
                <w:sz w:val="24"/>
                <w:szCs w:val="24"/>
                <w:color w:val="auto"/>
              </w:rPr>
            </w:pPr>
          </w:p>
        </w:tc>
        <w:tc>
          <w:tcPr>
            <w:tcW w:w="1520" w:type="dxa"/>
            <w:vAlign w:val="bottom"/>
            <w:tcBorders>
              <w:bottom w:val="single" w:sz="8" w:color="1A3FD6"/>
            </w:tcBorders>
          </w:tcPr>
          <w:p>
            <w:pPr>
              <w:spacing w:after="0"/>
              <w:rPr>
                <w:sz w:val="24"/>
                <w:szCs w:val="24"/>
                <w:color w:val="auto"/>
              </w:rPr>
            </w:pPr>
          </w:p>
        </w:tc>
        <w:tc>
          <w:tcPr>
            <w:tcW w:w="840" w:type="dxa"/>
            <w:vAlign w:val="bottom"/>
            <w:tcBorders>
              <w:bottom w:val="single" w:sz="8" w:color="1A3FD6"/>
            </w:tcBorders>
          </w:tcPr>
          <w:p>
            <w:pPr>
              <w:spacing w:after="0"/>
              <w:rPr>
                <w:sz w:val="24"/>
                <w:szCs w:val="24"/>
                <w:color w:val="auto"/>
              </w:rPr>
            </w:pPr>
          </w:p>
        </w:tc>
      </w:tr>
      <w:tr>
        <w:trPr>
          <w:trHeight w:val="223"/>
        </w:trPr>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520" w:type="dxa"/>
            <w:vAlign w:val="bottom"/>
            <w:tcBorders>
              <w:bottom w:val="single" w:sz="8" w:color="1A3FD6"/>
            </w:tcBorders>
            <w:gridSpan w:val="2"/>
          </w:tcPr>
          <w:p>
            <w:pPr>
              <w:jc w:val="right"/>
              <w:ind w:right="944"/>
              <w:spacing w:after="0"/>
              <w:rPr>
                <w:sz w:val="20"/>
                <w:szCs w:val="20"/>
                <w:color w:val="auto"/>
              </w:rPr>
            </w:pPr>
            <w:r>
              <w:rPr>
                <w:rFonts w:ascii="Arial" w:cs="Arial" w:eastAsia="Arial" w:hAnsi="Arial"/>
                <w:sz w:val="14"/>
                <w:szCs w:val="14"/>
                <w:b w:val="1"/>
                <w:bCs w:val="1"/>
                <w:color w:val="auto"/>
              </w:rPr>
              <w:t>Threshold</w:t>
            </w:r>
          </w:p>
        </w:tc>
        <w:tc>
          <w:tcPr>
            <w:tcW w:w="128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Target</w:t>
            </w:r>
          </w:p>
        </w:tc>
        <w:tc>
          <w:tcPr>
            <w:tcW w:w="1140" w:type="dxa"/>
            <w:vAlign w:val="bottom"/>
            <w:tcBorders>
              <w:bottom w:val="single" w:sz="8" w:color="1A3FD6"/>
            </w:tcBorders>
          </w:tcPr>
          <w:p>
            <w:pPr>
              <w:spacing w:after="0"/>
              <w:rPr>
                <w:sz w:val="19"/>
                <w:szCs w:val="19"/>
                <w:color w:val="auto"/>
              </w:rPr>
            </w:pPr>
          </w:p>
        </w:tc>
        <w:tc>
          <w:tcPr>
            <w:tcW w:w="2440" w:type="dxa"/>
            <w:vAlign w:val="bottom"/>
            <w:tcBorders>
              <w:bottom w:val="single" w:sz="8" w:color="1A3FD6"/>
            </w:tcBorders>
            <w:gridSpan w:val="2"/>
          </w:tcPr>
          <w:p>
            <w:pPr>
              <w:jc w:val="right"/>
              <w:ind w:right="984"/>
              <w:spacing w:after="0"/>
              <w:rPr>
                <w:sz w:val="20"/>
                <w:szCs w:val="20"/>
                <w:color w:val="auto"/>
              </w:rPr>
            </w:pPr>
            <w:r>
              <w:rPr>
                <w:rFonts w:ascii="Arial" w:cs="Arial" w:eastAsia="Arial" w:hAnsi="Arial"/>
                <w:sz w:val="14"/>
                <w:szCs w:val="14"/>
                <w:b w:val="1"/>
                <w:bCs w:val="1"/>
                <w:color w:val="auto"/>
              </w:rPr>
              <w:t>Maximum</w:t>
            </w:r>
          </w:p>
        </w:tc>
        <w:tc>
          <w:tcPr>
            <w:tcW w:w="1520" w:type="dxa"/>
            <w:vAlign w:val="bottom"/>
            <w:tcBorders>
              <w:bottom w:val="single" w:sz="8" w:color="1A3FD6"/>
            </w:tcBorders>
          </w:tcPr>
          <w:p>
            <w:pPr>
              <w:jc w:val="right"/>
              <w:ind w:right="104"/>
              <w:spacing w:after="0"/>
              <w:rPr>
                <w:sz w:val="20"/>
                <w:szCs w:val="20"/>
                <w:color w:val="auto"/>
              </w:rPr>
            </w:pPr>
            <w:r>
              <w:rPr>
                <w:rFonts w:ascii="Arial" w:cs="Arial" w:eastAsia="Arial" w:hAnsi="Arial"/>
                <w:sz w:val="14"/>
                <w:szCs w:val="14"/>
                <w:b w:val="1"/>
                <w:bCs w:val="1"/>
                <w:color w:val="auto"/>
              </w:rPr>
              <w:t>Actual</w:t>
            </w:r>
          </w:p>
        </w:tc>
        <w:tc>
          <w:tcPr>
            <w:tcW w:w="840" w:type="dxa"/>
            <w:vAlign w:val="bottom"/>
            <w:tcBorders>
              <w:bottom w:val="single" w:sz="8" w:color="1A3FD6"/>
            </w:tcBorders>
          </w:tcPr>
          <w:p>
            <w:pPr>
              <w:spacing w:after="0"/>
              <w:rPr>
                <w:sz w:val="19"/>
                <w:szCs w:val="19"/>
                <w:color w:val="auto"/>
              </w:rPr>
            </w:pPr>
          </w:p>
        </w:tc>
      </w:tr>
      <w:tr>
        <w:trPr>
          <w:trHeight w:val="193"/>
        </w:trPr>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00" w:type="dxa"/>
            <w:vAlign w:val="bottom"/>
          </w:tcPr>
          <w:p>
            <w:pPr>
              <w:jc w:val="right"/>
              <w:ind w:right="144"/>
              <w:spacing w:after="0"/>
              <w:rPr>
                <w:sz w:val="20"/>
                <w:szCs w:val="20"/>
                <w:color w:val="auto"/>
              </w:rPr>
            </w:pPr>
            <w:r>
              <w:rPr>
                <w:rFonts w:ascii="Arial" w:cs="Arial" w:eastAsia="Arial" w:hAnsi="Arial"/>
                <w:sz w:val="14"/>
                <w:szCs w:val="14"/>
                <w:b w:val="1"/>
                <w:bCs w:val="1"/>
                <w:color w:val="auto"/>
              </w:rPr>
              <w:t>Payout (% Of</w:t>
            </w:r>
          </w:p>
        </w:tc>
        <w:tc>
          <w:tcPr>
            <w:tcW w:w="1280" w:type="dxa"/>
            <w:vAlign w:val="bottom"/>
          </w:tcPr>
          <w:p>
            <w:pPr>
              <w:spacing w:after="0"/>
              <w:rPr>
                <w:sz w:val="16"/>
                <w:szCs w:val="16"/>
                <w:color w:val="auto"/>
              </w:rPr>
            </w:pPr>
          </w:p>
        </w:tc>
        <w:tc>
          <w:tcPr>
            <w:tcW w:w="1140" w:type="dxa"/>
            <w:vAlign w:val="bottom"/>
          </w:tcPr>
          <w:p>
            <w:pPr>
              <w:jc w:val="right"/>
              <w:ind w:right="144"/>
              <w:spacing w:after="0"/>
              <w:rPr>
                <w:sz w:val="20"/>
                <w:szCs w:val="20"/>
                <w:color w:val="auto"/>
              </w:rPr>
            </w:pPr>
            <w:r>
              <w:rPr>
                <w:rFonts w:ascii="Arial" w:cs="Arial" w:eastAsia="Arial" w:hAnsi="Arial"/>
                <w:sz w:val="14"/>
                <w:szCs w:val="14"/>
                <w:b w:val="1"/>
                <w:bCs w:val="1"/>
                <w:color w:val="auto"/>
              </w:rPr>
              <w:t>Payout (% Of</w:t>
            </w:r>
          </w:p>
        </w:tc>
        <w:tc>
          <w:tcPr>
            <w:tcW w:w="1160" w:type="dxa"/>
            <w:vAlign w:val="bottom"/>
          </w:tcPr>
          <w:p>
            <w:pPr>
              <w:spacing w:after="0"/>
              <w:rPr>
                <w:sz w:val="16"/>
                <w:szCs w:val="16"/>
                <w:color w:val="auto"/>
              </w:rPr>
            </w:pPr>
          </w:p>
        </w:tc>
        <w:tc>
          <w:tcPr>
            <w:tcW w:w="1280" w:type="dxa"/>
            <w:vAlign w:val="bottom"/>
          </w:tcPr>
          <w:p>
            <w:pPr>
              <w:jc w:val="right"/>
              <w:ind w:right="164"/>
              <w:spacing w:after="0"/>
              <w:rPr>
                <w:sz w:val="20"/>
                <w:szCs w:val="20"/>
                <w:color w:val="auto"/>
              </w:rPr>
            </w:pPr>
            <w:r>
              <w:rPr>
                <w:rFonts w:ascii="Arial" w:cs="Arial" w:eastAsia="Arial" w:hAnsi="Arial"/>
                <w:sz w:val="14"/>
                <w:szCs w:val="14"/>
                <w:b w:val="1"/>
                <w:bCs w:val="1"/>
                <w:color w:val="auto"/>
              </w:rPr>
              <w:t>Payout (% Of</w:t>
            </w: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5"/>
        </w:trPr>
        <w:tc>
          <w:tcPr>
            <w:tcW w:w="72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Metrics</w:t>
            </w:r>
          </w:p>
        </w:tc>
        <w:tc>
          <w:tcPr>
            <w:tcW w:w="780" w:type="dxa"/>
            <w:vAlign w:val="bottom"/>
            <w:tcBorders>
              <w:bottom w:val="single" w:sz="8" w:color="1A3FD6"/>
            </w:tcBorders>
          </w:tcPr>
          <w:p>
            <w:pPr>
              <w:spacing w:after="0"/>
              <w:rPr>
                <w:sz w:val="17"/>
                <w:szCs w:val="17"/>
                <w:color w:val="auto"/>
              </w:rPr>
            </w:pPr>
          </w:p>
        </w:tc>
        <w:tc>
          <w:tcPr>
            <w:tcW w:w="1220" w:type="dxa"/>
            <w:vAlign w:val="bottom"/>
            <w:tcBorders>
              <w:bottom w:val="single" w:sz="8" w:color="1A3FD6"/>
            </w:tcBorders>
          </w:tcPr>
          <w:p>
            <w:pPr>
              <w:jc w:val="right"/>
              <w:ind w:right="184"/>
              <w:spacing w:after="0"/>
              <w:rPr>
                <w:sz w:val="20"/>
                <w:szCs w:val="20"/>
                <w:color w:val="auto"/>
              </w:rPr>
            </w:pPr>
            <w:r>
              <w:rPr>
                <w:rFonts w:ascii="Arial" w:cs="Arial" w:eastAsia="Arial" w:hAnsi="Arial"/>
                <w:sz w:val="14"/>
                <w:szCs w:val="14"/>
                <w:b w:val="1"/>
                <w:bCs w:val="1"/>
                <w:color w:val="auto"/>
              </w:rPr>
              <w:t>Goal</w:t>
            </w:r>
          </w:p>
        </w:tc>
        <w:tc>
          <w:tcPr>
            <w:tcW w:w="1300" w:type="dxa"/>
            <w:vAlign w:val="bottom"/>
            <w:tcBorders>
              <w:bottom w:val="single" w:sz="8" w:color="1A3FD6"/>
            </w:tcBorders>
          </w:tcPr>
          <w:p>
            <w:pPr>
              <w:jc w:val="right"/>
              <w:ind w:right="144"/>
              <w:spacing w:after="0"/>
              <w:rPr>
                <w:sz w:val="20"/>
                <w:szCs w:val="20"/>
                <w:color w:val="auto"/>
              </w:rPr>
            </w:pPr>
            <w:r>
              <w:rPr>
                <w:rFonts w:ascii="Arial" w:cs="Arial" w:eastAsia="Arial" w:hAnsi="Arial"/>
                <w:sz w:val="14"/>
                <w:szCs w:val="14"/>
                <w:b w:val="1"/>
                <w:bCs w:val="1"/>
                <w:color w:val="auto"/>
              </w:rPr>
              <w:t>Opportunity)</w:t>
            </w:r>
          </w:p>
        </w:tc>
        <w:tc>
          <w:tcPr>
            <w:tcW w:w="1280" w:type="dxa"/>
            <w:vAlign w:val="bottom"/>
            <w:tcBorders>
              <w:bottom w:val="single" w:sz="8" w:color="1A3FD6"/>
            </w:tcBorders>
          </w:tcPr>
          <w:p>
            <w:pPr>
              <w:jc w:val="right"/>
              <w:ind w:right="344"/>
              <w:spacing w:after="0"/>
              <w:rPr>
                <w:sz w:val="20"/>
                <w:szCs w:val="20"/>
                <w:color w:val="auto"/>
              </w:rPr>
            </w:pPr>
            <w:r>
              <w:rPr>
                <w:rFonts w:ascii="Arial" w:cs="Arial" w:eastAsia="Arial" w:hAnsi="Arial"/>
                <w:sz w:val="14"/>
                <w:szCs w:val="14"/>
                <w:b w:val="1"/>
                <w:bCs w:val="1"/>
                <w:color w:val="auto"/>
              </w:rPr>
              <w:t>Goal</w:t>
            </w:r>
          </w:p>
        </w:tc>
        <w:tc>
          <w:tcPr>
            <w:tcW w:w="1140" w:type="dxa"/>
            <w:vAlign w:val="bottom"/>
            <w:tcBorders>
              <w:bottom w:val="single" w:sz="8" w:color="1A3FD6"/>
            </w:tcBorders>
          </w:tcPr>
          <w:p>
            <w:pPr>
              <w:jc w:val="right"/>
              <w:ind w:right="144"/>
              <w:spacing w:after="0"/>
              <w:rPr>
                <w:sz w:val="20"/>
                <w:szCs w:val="20"/>
                <w:color w:val="auto"/>
              </w:rPr>
            </w:pPr>
            <w:r>
              <w:rPr>
                <w:rFonts w:ascii="Arial" w:cs="Arial" w:eastAsia="Arial" w:hAnsi="Arial"/>
                <w:sz w:val="14"/>
                <w:szCs w:val="14"/>
                <w:b w:val="1"/>
                <w:bCs w:val="1"/>
                <w:color w:val="auto"/>
              </w:rPr>
              <w:t>Opportunity)</w:t>
            </w:r>
          </w:p>
        </w:tc>
        <w:tc>
          <w:tcPr>
            <w:tcW w:w="1160" w:type="dxa"/>
            <w:vAlign w:val="bottom"/>
            <w:tcBorders>
              <w:bottom w:val="single" w:sz="8" w:color="1A3FD6"/>
            </w:tcBorders>
          </w:tcPr>
          <w:p>
            <w:pPr>
              <w:jc w:val="right"/>
              <w:ind w:right="224"/>
              <w:spacing w:after="0"/>
              <w:rPr>
                <w:sz w:val="20"/>
                <w:szCs w:val="20"/>
                <w:color w:val="auto"/>
              </w:rPr>
            </w:pPr>
            <w:r>
              <w:rPr>
                <w:rFonts w:ascii="Arial" w:cs="Arial" w:eastAsia="Arial" w:hAnsi="Arial"/>
                <w:sz w:val="14"/>
                <w:szCs w:val="14"/>
                <w:b w:val="1"/>
                <w:bCs w:val="1"/>
                <w:color w:val="auto"/>
              </w:rPr>
              <w:t>Goal</w:t>
            </w:r>
          </w:p>
        </w:tc>
        <w:tc>
          <w:tcPr>
            <w:tcW w:w="1280" w:type="dxa"/>
            <w:vAlign w:val="bottom"/>
            <w:tcBorders>
              <w:bottom w:val="single" w:sz="8" w:color="1A3FD6"/>
            </w:tcBorders>
          </w:tcPr>
          <w:p>
            <w:pPr>
              <w:jc w:val="right"/>
              <w:ind w:right="164"/>
              <w:spacing w:after="0"/>
              <w:rPr>
                <w:sz w:val="20"/>
                <w:szCs w:val="20"/>
                <w:color w:val="auto"/>
              </w:rPr>
            </w:pPr>
            <w:r>
              <w:rPr>
                <w:rFonts w:ascii="Arial" w:cs="Arial" w:eastAsia="Arial" w:hAnsi="Arial"/>
                <w:sz w:val="14"/>
                <w:szCs w:val="14"/>
                <w:b w:val="1"/>
                <w:bCs w:val="1"/>
                <w:color w:val="auto"/>
              </w:rPr>
              <w:t>Opportunity)</w:t>
            </w:r>
          </w:p>
        </w:tc>
        <w:tc>
          <w:tcPr>
            <w:tcW w:w="1520" w:type="dxa"/>
            <w:vAlign w:val="bottom"/>
            <w:tcBorders>
              <w:bottom w:val="single" w:sz="8" w:color="1A3FD6"/>
            </w:tcBorders>
          </w:tcPr>
          <w:p>
            <w:pPr>
              <w:jc w:val="right"/>
              <w:ind w:right="324"/>
              <w:spacing w:after="0"/>
              <w:rPr>
                <w:sz w:val="20"/>
                <w:szCs w:val="20"/>
                <w:color w:val="auto"/>
              </w:rPr>
            </w:pPr>
            <w:r>
              <w:rPr>
                <w:rFonts w:ascii="Arial" w:cs="Arial" w:eastAsia="Arial" w:hAnsi="Arial"/>
                <w:sz w:val="14"/>
                <w:szCs w:val="14"/>
                <w:b w:val="1"/>
                <w:bCs w:val="1"/>
                <w:color w:val="auto"/>
              </w:rPr>
              <w:t>Achievement</w:t>
            </w:r>
          </w:p>
        </w:tc>
        <w:tc>
          <w:tcPr>
            <w:tcW w:w="84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 Payout</w:t>
            </w:r>
          </w:p>
        </w:tc>
      </w:tr>
      <w:tr>
        <w:trPr>
          <w:trHeight w:val="202"/>
        </w:trPr>
        <w:tc>
          <w:tcPr>
            <w:tcW w:w="1500" w:type="dxa"/>
            <w:vAlign w:val="bottom"/>
            <w:gridSpan w:val="2"/>
          </w:tcPr>
          <w:p>
            <w:pPr>
              <w:ind w:left="20"/>
              <w:spacing w:after="0"/>
              <w:rPr>
                <w:sz w:val="20"/>
                <w:szCs w:val="20"/>
                <w:color w:val="auto"/>
              </w:rPr>
            </w:pPr>
            <w:r>
              <w:rPr>
                <w:rFonts w:ascii="Arial" w:cs="Arial" w:eastAsia="Arial" w:hAnsi="Arial"/>
                <w:sz w:val="16"/>
                <w:szCs w:val="16"/>
                <w:color w:val="auto"/>
              </w:rPr>
              <w:t>Cumulative</w:t>
            </w:r>
          </w:p>
        </w:tc>
        <w:tc>
          <w:tcPr>
            <w:tcW w:w="1220" w:type="dxa"/>
            <w:vAlign w:val="bottom"/>
          </w:tcPr>
          <w:p>
            <w:pPr>
              <w:jc w:val="right"/>
              <w:ind w:right="184"/>
              <w:spacing w:after="0"/>
              <w:rPr>
                <w:sz w:val="20"/>
                <w:szCs w:val="20"/>
                <w:color w:val="auto"/>
              </w:rPr>
            </w:pPr>
            <w:r>
              <w:rPr>
                <w:rFonts w:ascii="Arial" w:cs="Arial" w:eastAsia="Arial" w:hAnsi="Arial"/>
                <w:sz w:val="16"/>
                <w:szCs w:val="16"/>
                <w:color w:val="auto"/>
              </w:rPr>
              <w:t>$7,860.1</w:t>
            </w:r>
          </w:p>
        </w:tc>
        <w:tc>
          <w:tcPr>
            <w:tcW w:w="1300" w:type="dxa"/>
            <w:vAlign w:val="bottom"/>
          </w:tcPr>
          <w:p>
            <w:pPr>
              <w:jc w:val="right"/>
              <w:ind w:right="144"/>
              <w:spacing w:after="0"/>
              <w:rPr>
                <w:sz w:val="20"/>
                <w:szCs w:val="20"/>
                <w:color w:val="auto"/>
              </w:rPr>
            </w:pPr>
            <w:r>
              <w:rPr>
                <w:rFonts w:ascii="Arial" w:cs="Arial" w:eastAsia="Arial" w:hAnsi="Arial"/>
                <w:sz w:val="16"/>
                <w:szCs w:val="16"/>
                <w:color w:val="auto"/>
              </w:rPr>
              <w:t>25 %</w:t>
            </w:r>
          </w:p>
        </w:tc>
        <w:tc>
          <w:tcPr>
            <w:tcW w:w="1280" w:type="dxa"/>
            <w:vAlign w:val="bottom"/>
          </w:tcPr>
          <w:p>
            <w:pPr>
              <w:jc w:val="right"/>
              <w:ind w:right="344"/>
              <w:spacing w:after="0"/>
              <w:rPr>
                <w:sz w:val="20"/>
                <w:szCs w:val="20"/>
                <w:color w:val="auto"/>
              </w:rPr>
            </w:pPr>
            <w:r>
              <w:rPr>
                <w:rFonts w:ascii="Arial" w:cs="Arial" w:eastAsia="Arial" w:hAnsi="Arial"/>
                <w:sz w:val="16"/>
                <w:szCs w:val="16"/>
                <w:color w:val="auto"/>
              </w:rPr>
              <w:t>$8,103.2</w:t>
            </w:r>
          </w:p>
        </w:tc>
        <w:tc>
          <w:tcPr>
            <w:tcW w:w="1140" w:type="dxa"/>
            <w:vAlign w:val="bottom"/>
          </w:tcPr>
          <w:p>
            <w:pPr>
              <w:jc w:val="right"/>
              <w:ind w:right="144"/>
              <w:spacing w:after="0"/>
              <w:rPr>
                <w:sz w:val="20"/>
                <w:szCs w:val="20"/>
                <w:color w:val="auto"/>
              </w:rPr>
            </w:pPr>
            <w:r>
              <w:rPr>
                <w:rFonts w:ascii="Arial" w:cs="Arial" w:eastAsia="Arial" w:hAnsi="Arial"/>
                <w:sz w:val="16"/>
                <w:szCs w:val="16"/>
                <w:color w:val="auto"/>
              </w:rPr>
              <w:t>50 %</w:t>
            </w:r>
          </w:p>
        </w:tc>
        <w:tc>
          <w:tcPr>
            <w:tcW w:w="1160" w:type="dxa"/>
            <w:vAlign w:val="bottom"/>
          </w:tcPr>
          <w:p>
            <w:pPr>
              <w:jc w:val="right"/>
              <w:ind w:right="224"/>
              <w:spacing w:after="0"/>
              <w:rPr>
                <w:sz w:val="20"/>
                <w:szCs w:val="20"/>
                <w:color w:val="auto"/>
              </w:rPr>
            </w:pPr>
            <w:r>
              <w:rPr>
                <w:rFonts w:ascii="Arial" w:cs="Arial" w:eastAsia="Arial" w:hAnsi="Arial"/>
                <w:sz w:val="16"/>
                <w:szCs w:val="16"/>
                <w:color w:val="auto"/>
              </w:rPr>
              <w:t>$8,346.3</w:t>
            </w:r>
          </w:p>
        </w:tc>
        <w:tc>
          <w:tcPr>
            <w:tcW w:w="1280" w:type="dxa"/>
            <w:vAlign w:val="bottom"/>
          </w:tcPr>
          <w:p>
            <w:pPr>
              <w:jc w:val="right"/>
              <w:ind w:right="164"/>
              <w:spacing w:after="0"/>
              <w:rPr>
                <w:sz w:val="20"/>
                <w:szCs w:val="20"/>
                <w:color w:val="auto"/>
              </w:rPr>
            </w:pPr>
            <w:r>
              <w:rPr>
                <w:rFonts w:ascii="Arial" w:cs="Arial" w:eastAsia="Arial" w:hAnsi="Arial"/>
                <w:sz w:val="16"/>
                <w:szCs w:val="16"/>
                <w:color w:val="auto"/>
              </w:rPr>
              <w:t>100 %</w:t>
            </w:r>
          </w:p>
        </w:tc>
        <w:tc>
          <w:tcPr>
            <w:tcW w:w="1520" w:type="dxa"/>
            <w:vAlign w:val="bottom"/>
          </w:tcPr>
          <w:p>
            <w:pPr>
              <w:jc w:val="right"/>
              <w:ind w:right="324"/>
              <w:spacing w:after="0"/>
              <w:rPr>
                <w:sz w:val="20"/>
                <w:szCs w:val="20"/>
                <w:color w:val="auto"/>
              </w:rPr>
            </w:pPr>
            <w:r>
              <w:rPr>
                <w:rFonts w:ascii="Arial" w:cs="Arial" w:eastAsia="Arial" w:hAnsi="Arial"/>
                <w:sz w:val="16"/>
                <w:szCs w:val="16"/>
                <w:color w:val="auto"/>
              </w:rPr>
              <w:t>$7,633.6</w:t>
            </w:r>
          </w:p>
        </w:tc>
        <w:tc>
          <w:tcPr>
            <w:tcW w:w="84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03"/>
        </w:trPr>
        <w:tc>
          <w:tcPr>
            <w:tcW w:w="720" w:type="dxa"/>
            <w:vAlign w:val="bottom"/>
          </w:tcPr>
          <w:p>
            <w:pPr>
              <w:ind w:left="20"/>
              <w:spacing w:after="0"/>
              <w:rPr>
                <w:sz w:val="20"/>
                <w:szCs w:val="20"/>
                <w:color w:val="auto"/>
              </w:rPr>
            </w:pPr>
            <w:r>
              <w:rPr>
                <w:rFonts w:ascii="Arial" w:cs="Arial" w:eastAsia="Arial" w:hAnsi="Arial"/>
                <w:sz w:val="16"/>
                <w:szCs w:val="16"/>
                <w:color w:val="auto"/>
              </w:rPr>
              <w:t>Revenue</w:t>
            </w: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2"/>
        </w:trPr>
        <w:tc>
          <w:tcPr>
            <w:tcW w:w="1500" w:type="dxa"/>
            <w:vAlign w:val="bottom"/>
            <w:gridSpan w:val="2"/>
          </w:tcPr>
          <w:p>
            <w:pPr>
              <w:ind w:left="20"/>
              <w:spacing w:after="0"/>
              <w:rPr>
                <w:sz w:val="20"/>
                <w:szCs w:val="20"/>
                <w:color w:val="auto"/>
              </w:rPr>
            </w:pPr>
            <w:r>
              <w:rPr>
                <w:rFonts w:ascii="Arial" w:cs="Arial" w:eastAsia="Arial" w:hAnsi="Arial"/>
                <w:sz w:val="16"/>
                <w:szCs w:val="16"/>
                <w:color w:val="auto"/>
              </w:rPr>
              <w:t>(in millions)</w:t>
            </w:r>
          </w:p>
        </w:tc>
        <w:tc>
          <w:tcPr>
            <w:tcW w:w="1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4"/>
        </w:trPr>
        <w:tc>
          <w:tcPr>
            <w:tcW w:w="1500" w:type="dxa"/>
            <w:vAlign w:val="bottom"/>
            <w:tcBorders>
              <w:bottom w:val="single" w:sz="8" w:color="auto"/>
            </w:tcBorders>
            <w:gridSpan w:val="2"/>
            <w:shd w:val="clear" w:color="auto" w:fill="EDF0FC"/>
          </w:tcPr>
          <w:p>
            <w:pPr>
              <w:ind w:left="20"/>
              <w:spacing w:after="0"/>
              <w:rPr>
                <w:sz w:val="20"/>
                <w:szCs w:val="20"/>
                <w:color w:val="auto"/>
              </w:rPr>
            </w:pPr>
            <w:r>
              <w:rPr>
                <w:rFonts w:ascii="Arial" w:cs="Arial" w:eastAsia="Arial" w:hAnsi="Arial"/>
                <w:sz w:val="16"/>
                <w:szCs w:val="16"/>
                <w:color w:val="auto"/>
              </w:rPr>
              <w:t>Adjusted EPS</w:t>
            </w:r>
          </w:p>
        </w:tc>
        <w:tc>
          <w:tcPr>
            <w:tcW w:w="1220" w:type="dxa"/>
            <w:vAlign w:val="bottom"/>
            <w:tcBorders>
              <w:bottom w:val="single" w:sz="8" w:color="auto"/>
            </w:tcBorders>
            <w:shd w:val="clear" w:color="auto" w:fill="EDF0FC"/>
          </w:tcPr>
          <w:p>
            <w:pPr>
              <w:jc w:val="right"/>
              <w:ind w:right="184"/>
              <w:spacing w:after="0"/>
              <w:rPr>
                <w:sz w:val="20"/>
                <w:szCs w:val="20"/>
                <w:color w:val="auto"/>
              </w:rPr>
            </w:pPr>
            <w:r>
              <w:rPr>
                <w:rFonts w:ascii="Arial" w:cs="Arial" w:eastAsia="Arial" w:hAnsi="Arial"/>
                <w:sz w:val="16"/>
                <w:szCs w:val="16"/>
                <w:color w:val="auto"/>
              </w:rPr>
              <w:t>$35.31</w:t>
            </w:r>
          </w:p>
        </w:tc>
        <w:tc>
          <w:tcPr>
            <w:tcW w:w="1300" w:type="dxa"/>
            <w:vAlign w:val="bottom"/>
            <w:tcBorders>
              <w:bottom w:val="single" w:sz="8" w:color="auto"/>
            </w:tcBorders>
            <w:shd w:val="clear" w:color="auto" w:fill="EDF0FC"/>
          </w:tcPr>
          <w:p>
            <w:pPr>
              <w:jc w:val="right"/>
              <w:ind w:right="144"/>
              <w:spacing w:after="0"/>
              <w:rPr>
                <w:sz w:val="20"/>
                <w:szCs w:val="20"/>
                <w:color w:val="auto"/>
              </w:rPr>
            </w:pPr>
            <w:r>
              <w:rPr>
                <w:rFonts w:ascii="Arial" w:cs="Arial" w:eastAsia="Arial" w:hAnsi="Arial"/>
                <w:sz w:val="16"/>
                <w:szCs w:val="16"/>
                <w:color w:val="auto"/>
              </w:rPr>
              <w:t>25 %</w:t>
            </w:r>
          </w:p>
        </w:tc>
        <w:tc>
          <w:tcPr>
            <w:tcW w:w="1280" w:type="dxa"/>
            <w:vAlign w:val="bottom"/>
            <w:tcBorders>
              <w:bottom w:val="single" w:sz="8" w:color="auto"/>
            </w:tcBorders>
            <w:shd w:val="clear" w:color="auto" w:fill="EDF0FC"/>
          </w:tcPr>
          <w:p>
            <w:pPr>
              <w:jc w:val="right"/>
              <w:ind w:right="344"/>
              <w:spacing w:after="0"/>
              <w:rPr>
                <w:sz w:val="20"/>
                <w:szCs w:val="20"/>
                <w:color w:val="auto"/>
              </w:rPr>
            </w:pPr>
            <w:r>
              <w:rPr>
                <w:rFonts w:ascii="Arial" w:cs="Arial" w:eastAsia="Arial" w:hAnsi="Arial"/>
                <w:sz w:val="16"/>
                <w:szCs w:val="16"/>
                <w:color w:val="auto"/>
              </w:rPr>
              <w:t>$37.56</w:t>
            </w:r>
          </w:p>
        </w:tc>
        <w:tc>
          <w:tcPr>
            <w:tcW w:w="1140" w:type="dxa"/>
            <w:vAlign w:val="bottom"/>
            <w:tcBorders>
              <w:bottom w:val="single" w:sz="8" w:color="auto"/>
            </w:tcBorders>
            <w:shd w:val="clear" w:color="auto" w:fill="EDF0FC"/>
          </w:tcPr>
          <w:p>
            <w:pPr>
              <w:jc w:val="right"/>
              <w:ind w:right="144"/>
              <w:spacing w:after="0"/>
              <w:rPr>
                <w:sz w:val="20"/>
                <w:szCs w:val="20"/>
                <w:color w:val="auto"/>
              </w:rPr>
            </w:pPr>
            <w:r>
              <w:rPr>
                <w:rFonts w:ascii="Arial" w:cs="Arial" w:eastAsia="Arial" w:hAnsi="Arial"/>
                <w:sz w:val="16"/>
                <w:szCs w:val="16"/>
                <w:color w:val="auto"/>
              </w:rPr>
              <w:t>50 %</w:t>
            </w:r>
          </w:p>
        </w:tc>
        <w:tc>
          <w:tcPr>
            <w:tcW w:w="1160" w:type="dxa"/>
            <w:vAlign w:val="bottom"/>
            <w:tcBorders>
              <w:bottom w:val="single" w:sz="8" w:color="auto"/>
            </w:tcBorders>
            <w:shd w:val="clear" w:color="auto" w:fill="EDF0FC"/>
          </w:tcPr>
          <w:p>
            <w:pPr>
              <w:jc w:val="right"/>
              <w:ind w:right="224"/>
              <w:spacing w:after="0"/>
              <w:rPr>
                <w:sz w:val="20"/>
                <w:szCs w:val="20"/>
                <w:color w:val="auto"/>
              </w:rPr>
            </w:pPr>
            <w:r>
              <w:rPr>
                <w:rFonts w:ascii="Arial" w:cs="Arial" w:eastAsia="Arial" w:hAnsi="Arial"/>
                <w:sz w:val="16"/>
                <w:szCs w:val="16"/>
                <w:color w:val="auto"/>
              </w:rPr>
              <w:t>$39.81</w:t>
            </w:r>
          </w:p>
        </w:tc>
        <w:tc>
          <w:tcPr>
            <w:tcW w:w="1280" w:type="dxa"/>
            <w:vAlign w:val="bottom"/>
            <w:tcBorders>
              <w:bottom w:val="single" w:sz="8" w:color="auto"/>
            </w:tcBorders>
            <w:shd w:val="clear" w:color="auto" w:fill="EDF0FC"/>
          </w:tcPr>
          <w:p>
            <w:pPr>
              <w:jc w:val="right"/>
              <w:ind w:right="164"/>
              <w:spacing w:after="0"/>
              <w:rPr>
                <w:sz w:val="20"/>
                <w:szCs w:val="20"/>
                <w:color w:val="auto"/>
              </w:rPr>
            </w:pPr>
            <w:r>
              <w:rPr>
                <w:rFonts w:ascii="Arial" w:cs="Arial" w:eastAsia="Arial" w:hAnsi="Arial"/>
                <w:sz w:val="16"/>
                <w:szCs w:val="16"/>
                <w:color w:val="auto"/>
              </w:rPr>
              <w:t>100 %</w:t>
            </w:r>
          </w:p>
        </w:tc>
        <w:tc>
          <w:tcPr>
            <w:tcW w:w="1520" w:type="dxa"/>
            <w:vAlign w:val="bottom"/>
            <w:tcBorders>
              <w:bottom w:val="single" w:sz="8" w:color="auto"/>
            </w:tcBorders>
            <w:shd w:val="clear" w:color="auto" w:fill="EDF0FC"/>
          </w:tcPr>
          <w:p>
            <w:pPr>
              <w:jc w:val="right"/>
              <w:ind w:right="324"/>
              <w:spacing w:after="0"/>
              <w:rPr>
                <w:sz w:val="20"/>
                <w:szCs w:val="20"/>
                <w:color w:val="auto"/>
              </w:rPr>
            </w:pPr>
            <w:r>
              <w:rPr>
                <w:rFonts w:ascii="Arial" w:cs="Arial" w:eastAsia="Arial" w:hAnsi="Arial"/>
                <w:sz w:val="16"/>
                <w:szCs w:val="16"/>
                <w:color w:val="auto"/>
              </w:rPr>
              <w:t>$40.17</w:t>
            </w:r>
          </w:p>
        </w:tc>
        <w:tc>
          <w:tcPr>
            <w:tcW w:w="840" w:type="dxa"/>
            <w:vAlign w:val="bottom"/>
            <w:tcBorders>
              <w:bottom w:val="single" w:sz="8" w:color="auto"/>
            </w:tcBorders>
            <w:shd w:val="clear" w:color="auto" w:fill="EDF0FC"/>
          </w:tcPr>
          <w:p>
            <w:pPr>
              <w:jc w:val="right"/>
              <w:spacing w:after="0"/>
              <w:rPr>
                <w:sz w:val="20"/>
                <w:szCs w:val="20"/>
                <w:color w:val="auto"/>
              </w:rPr>
            </w:pPr>
            <w:r>
              <w:rPr>
                <w:rFonts w:ascii="Arial" w:cs="Arial" w:eastAsia="Arial" w:hAnsi="Arial"/>
                <w:sz w:val="16"/>
                <w:szCs w:val="16"/>
                <w:color w:val="auto"/>
              </w:rPr>
              <w:t>100%</w:t>
            </w:r>
          </w:p>
        </w:tc>
      </w:tr>
    </w:tbl>
    <w:p>
      <w:pPr>
        <w:spacing w:after="0" w:line="134"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Actual achievement of the cumulative revenue performance metric was 0% and the adjusted EPS performance metric was 100%, which resulted in a payout of 100% of the target number of PSOs. Following the performance adjustment certified by the Compensation Committee, Mr. Fernandez received 29,564 options to purchase common stock, Mr. Wiechmann received 2,691 options, Mr. Pettit received 16,260 options, Mr. Crum received 3,415 options and Mr. Gutowski received 2,484 options, all of which vested and became exercisable on February 3, 2025.</w:t>
      </w:r>
    </w:p>
    <w:p>
      <w:pPr>
        <w:spacing w:after="0" w:line="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2025 Long-Term Equity Incentive Compensation Program</w:t>
      </w:r>
    </w:p>
    <w:p>
      <w:pPr>
        <w:spacing w:after="0" w:line="10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believe our executive compensation program continues to effectively align the interests of our NEOs with those of our shareholders by allocating a significant portion of target incentive compensation to long-term equity incentives that emphasize pay-for-performance principles and support long-term value creation. With the assistance of its independent compensation consultant, Semler Brossy, the Compensation Committee considered market practices, shareholder feedback, and MSCI’s strategic and talent priorities in approving the 2025 long-term equity incentive program.</w:t>
      </w:r>
    </w:p>
    <w:p>
      <w:pPr>
        <w:spacing w:after="0" w:line="7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In early 2025, the Compensation Committee reaffirmed its commitment to MSCI’s “owner-operator” culture by maintaining a strong emphasis on performance-based equity awards, with the majority of long-term incentives granted in the form of PSUs and PSOs. The Compensation Committee approved market-based increases in annual long-term incentive compensation for our NEOs after consideration of several factors, including peer group data, the Company’s leading talent priorities and the highly competitive market. The Compensation Committee determined that no changes were necessary to the LTIP structure for 2025, as the existing LTIP continues to effectively align executive compensation with shareholder value creation. The LTIP remains heavily performance-weighted, with both the CEO and President &amp; COO receiving 100% of their LTIP awards in performance-based equity.</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1A3FD6"/>
        </w:rPr>
        <w:t>2025 Equity Mix</w:t>
      </w:r>
    </w:p>
    <w:p>
      <w:pPr>
        <w:spacing w:after="0" w:line="99"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The table below sets forth the allocation of 2025 RSUs, PSUs and PSOs granted to the NEOs. Please see page 75 for the allocation of 2024 RSUs, PSUs and PSOs granted to the NEOs.</w:t>
      </w:r>
    </w:p>
    <w:p>
      <w:pPr>
        <w:spacing w:after="0" w:line="119" w:lineRule="exact"/>
        <w:rPr>
          <w:sz w:val="20"/>
          <w:szCs w:val="20"/>
          <w:color w:val="auto"/>
        </w:rPr>
      </w:pPr>
    </w:p>
    <w:p>
      <w:pPr>
        <w:ind w:left="20"/>
        <w:spacing w:after="0"/>
        <w:tabs>
          <w:tab w:leader="none" w:pos="7760" w:val="left"/>
          <w:tab w:leader="none" w:pos="8540" w:val="left"/>
          <w:tab w:leader="none" w:pos="10380" w:val="left"/>
        </w:tabs>
        <w:rPr>
          <w:sz w:val="20"/>
          <w:szCs w:val="20"/>
          <w:color w:val="auto"/>
        </w:rPr>
      </w:pPr>
      <w:r>
        <w:rPr>
          <w:rFonts w:ascii="Arial" w:cs="Arial" w:eastAsia="Arial" w:hAnsi="Arial"/>
          <w:sz w:val="14"/>
          <w:szCs w:val="14"/>
          <w:b w:val="1"/>
          <w:bCs w:val="1"/>
          <w:color w:val="auto"/>
        </w:rPr>
        <w:t>Vehicle</w:t>
      </w:r>
      <w:r>
        <w:rPr>
          <w:sz w:val="20"/>
          <w:szCs w:val="20"/>
          <w:color w:val="auto"/>
        </w:rPr>
        <w:tab/>
      </w:r>
      <w:r>
        <w:rPr>
          <w:rFonts w:ascii="Arial" w:cs="Arial" w:eastAsia="Arial" w:hAnsi="Arial"/>
          <w:sz w:val="14"/>
          <w:szCs w:val="14"/>
          <w:b w:val="1"/>
          <w:bCs w:val="1"/>
          <w:color w:val="auto"/>
        </w:rPr>
        <w:t>CEO</w:t>
      </w:r>
      <w:r>
        <w:rPr>
          <w:sz w:val="20"/>
          <w:szCs w:val="20"/>
          <w:color w:val="auto"/>
        </w:rPr>
        <w:tab/>
      </w:r>
      <w:r>
        <w:rPr>
          <w:rFonts w:ascii="Arial" w:cs="Arial" w:eastAsia="Arial" w:hAnsi="Arial"/>
          <w:sz w:val="14"/>
          <w:szCs w:val="14"/>
          <w:b w:val="1"/>
          <w:bCs w:val="1"/>
          <w:color w:val="auto"/>
        </w:rPr>
        <w:t>President and COO</w:t>
      </w:r>
      <w:r>
        <w:rPr>
          <w:sz w:val="20"/>
          <w:szCs w:val="20"/>
          <w:color w:val="auto"/>
        </w:rPr>
        <w:tab/>
      </w:r>
      <w:r>
        <w:rPr>
          <w:rFonts w:ascii="Arial" w:cs="Arial" w:eastAsia="Arial" w:hAnsi="Arial"/>
          <w:sz w:val="14"/>
          <w:szCs w:val="14"/>
          <w:b w:val="1"/>
          <w:bCs w:val="1"/>
          <w:color w:val="auto"/>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60" w:type="dxa"/>
            <w:vAlign w:val="bottom"/>
          </w:tcPr>
          <w:p>
            <w:pPr>
              <w:ind w:left="20"/>
              <w:spacing w:after="0"/>
              <w:rPr>
                <w:sz w:val="20"/>
                <w:szCs w:val="20"/>
                <w:color w:val="auto"/>
              </w:rPr>
            </w:pPr>
            <w:r>
              <w:rPr>
                <w:rFonts w:ascii="Arial" w:cs="Arial" w:eastAsia="Arial" w:hAnsi="Arial"/>
                <w:sz w:val="16"/>
                <w:szCs w:val="16"/>
                <w:color w:val="auto"/>
              </w:rPr>
              <w:t>RSUs</w:t>
            </w:r>
          </w:p>
        </w:tc>
        <w:tc>
          <w:tcPr>
            <w:tcW w:w="3280" w:type="dxa"/>
            <w:vAlign w:val="bottom"/>
          </w:tcPr>
          <w:p>
            <w:pPr>
              <w:spacing w:after="0"/>
              <w:rPr>
                <w:sz w:val="19"/>
                <w:szCs w:val="19"/>
                <w:color w:val="auto"/>
              </w:rPr>
            </w:pPr>
          </w:p>
        </w:tc>
        <w:tc>
          <w:tcPr>
            <w:tcW w:w="1340" w:type="dxa"/>
            <w:vAlign w:val="bottom"/>
          </w:tcPr>
          <w:p>
            <w:pPr>
              <w:jc w:val="right"/>
              <w:ind w:right="501"/>
              <w:spacing w:after="0"/>
              <w:rPr>
                <w:sz w:val="20"/>
                <w:szCs w:val="20"/>
                <w:color w:val="auto"/>
              </w:rPr>
            </w:pPr>
            <w:r>
              <w:rPr>
                <w:rFonts w:ascii="Arial" w:cs="Arial" w:eastAsia="Arial" w:hAnsi="Arial"/>
                <w:sz w:val="16"/>
                <w:szCs w:val="16"/>
                <w:color w:val="auto"/>
              </w:rPr>
              <w:t>0%</w:t>
            </w:r>
          </w:p>
        </w:tc>
        <w:tc>
          <w:tcPr>
            <w:tcW w:w="1380" w:type="dxa"/>
            <w:vAlign w:val="bottom"/>
          </w:tcPr>
          <w:p>
            <w:pPr>
              <w:jc w:val="right"/>
              <w:ind w:right="101"/>
              <w:spacing w:after="0"/>
              <w:rPr>
                <w:sz w:val="20"/>
                <w:szCs w:val="20"/>
                <w:color w:val="auto"/>
              </w:rPr>
            </w:pPr>
            <w:r>
              <w:rPr>
                <w:rFonts w:ascii="Arial" w:cs="Arial" w:eastAsia="Arial" w:hAnsi="Arial"/>
                <w:sz w:val="16"/>
                <w:szCs w:val="16"/>
                <w:color w:val="auto"/>
              </w:rPr>
              <w:t>0%</w:t>
            </w:r>
          </w:p>
        </w:tc>
        <w:tc>
          <w:tcPr>
            <w:tcW w:w="118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51"/>
        </w:trPr>
        <w:tc>
          <w:tcPr>
            <w:tcW w:w="4060" w:type="dxa"/>
            <w:vAlign w:val="bottom"/>
            <w:shd w:val="clear" w:color="auto" w:fill="EDF0FC"/>
          </w:tcPr>
          <w:p>
            <w:pPr>
              <w:ind w:left="20"/>
              <w:spacing w:after="0"/>
              <w:rPr>
                <w:sz w:val="20"/>
                <w:szCs w:val="20"/>
                <w:color w:val="auto"/>
              </w:rPr>
            </w:pPr>
            <w:r>
              <w:rPr>
                <w:rFonts w:ascii="Arial" w:cs="Arial" w:eastAsia="Arial" w:hAnsi="Arial"/>
                <w:sz w:val="16"/>
                <w:szCs w:val="16"/>
                <w:color w:val="auto"/>
              </w:rPr>
              <w:t>PSUs</w:t>
            </w:r>
          </w:p>
        </w:tc>
        <w:tc>
          <w:tcPr>
            <w:tcW w:w="3280" w:type="dxa"/>
            <w:vAlign w:val="bottom"/>
            <w:shd w:val="clear" w:color="auto" w:fill="EDF0FC"/>
          </w:tcPr>
          <w:p>
            <w:pPr>
              <w:spacing w:after="0"/>
              <w:rPr>
                <w:sz w:val="21"/>
                <w:szCs w:val="21"/>
                <w:color w:val="auto"/>
              </w:rPr>
            </w:pPr>
          </w:p>
        </w:tc>
        <w:tc>
          <w:tcPr>
            <w:tcW w:w="1340" w:type="dxa"/>
            <w:vAlign w:val="bottom"/>
            <w:shd w:val="clear" w:color="auto" w:fill="EDF0FC"/>
          </w:tcPr>
          <w:p>
            <w:pPr>
              <w:jc w:val="right"/>
              <w:ind w:right="501"/>
              <w:spacing w:after="0"/>
              <w:rPr>
                <w:sz w:val="20"/>
                <w:szCs w:val="20"/>
                <w:color w:val="auto"/>
              </w:rPr>
            </w:pPr>
            <w:r>
              <w:rPr>
                <w:rFonts w:ascii="Arial" w:cs="Arial" w:eastAsia="Arial" w:hAnsi="Arial"/>
                <w:sz w:val="16"/>
                <w:szCs w:val="16"/>
                <w:color w:val="auto"/>
              </w:rPr>
              <w:t>30%</w:t>
            </w:r>
          </w:p>
        </w:tc>
        <w:tc>
          <w:tcPr>
            <w:tcW w:w="1380" w:type="dxa"/>
            <w:vAlign w:val="bottom"/>
            <w:shd w:val="clear" w:color="auto" w:fill="EDF0FC"/>
          </w:tcPr>
          <w:p>
            <w:pPr>
              <w:jc w:val="right"/>
              <w:ind w:right="101"/>
              <w:spacing w:after="0"/>
              <w:rPr>
                <w:sz w:val="20"/>
                <w:szCs w:val="20"/>
                <w:color w:val="auto"/>
              </w:rPr>
            </w:pPr>
            <w:r>
              <w:rPr>
                <w:rFonts w:ascii="Arial" w:cs="Arial" w:eastAsia="Arial" w:hAnsi="Arial"/>
                <w:sz w:val="16"/>
                <w:szCs w:val="16"/>
                <w:color w:val="auto"/>
              </w:rPr>
              <w:t>30%</w:t>
            </w:r>
          </w:p>
        </w:tc>
        <w:tc>
          <w:tcPr>
            <w:tcW w:w="1180" w:type="dxa"/>
            <w:vAlign w:val="bottom"/>
            <w:shd w:val="clear" w:color="auto" w:fill="EDF0FC"/>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7"/>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PSOs</w:t>
            </w:r>
          </w:p>
        </w:tc>
        <w:tc>
          <w:tcPr>
            <w:tcW w:w="3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color w:val="auto"/>
              </w:rPr>
              <w:t>70%</w:t>
            </w:r>
          </w:p>
        </w:tc>
        <w:tc>
          <w:tcPr>
            <w:tcW w:w="13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70%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90"/>
        </w:trPr>
        <w:tc>
          <w:tcPr>
            <w:tcW w:w="7340" w:type="dxa"/>
            <w:vAlign w:val="bottom"/>
            <w:gridSpan w:val="2"/>
          </w:tcPr>
          <w:p>
            <w:pPr>
              <w:spacing w:after="0"/>
              <w:rPr>
                <w:sz w:val="20"/>
                <w:szCs w:val="20"/>
                <w:color w:val="auto"/>
              </w:rPr>
            </w:pPr>
            <w:r>
              <w:rPr>
                <w:rFonts w:ascii="Arial" w:cs="Arial" w:eastAsia="Arial" w:hAnsi="Arial"/>
                <w:sz w:val="16"/>
                <w:szCs w:val="16"/>
                <w:color w:val="auto"/>
              </w:rPr>
              <w:t>The table below sets forth the amounts for each NEO’s 2025 equity awards under the LTIP:</w:t>
            </w: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060" w:type="dxa"/>
            <w:vAlign w:val="bottom"/>
          </w:tcPr>
          <w:p>
            <w:pPr>
              <w:spacing w:after="0"/>
              <w:rPr>
                <w:sz w:val="24"/>
                <w:szCs w:val="24"/>
                <w:color w:val="auto"/>
              </w:rPr>
            </w:pPr>
          </w:p>
        </w:tc>
        <w:tc>
          <w:tcPr>
            <w:tcW w:w="328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RSUs</w:t>
            </w:r>
          </w:p>
        </w:tc>
        <w:tc>
          <w:tcPr>
            <w:tcW w:w="134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PSUs</w:t>
            </w:r>
          </w:p>
        </w:tc>
        <w:tc>
          <w:tcPr>
            <w:tcW w:w="138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PSOs</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328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211"/>
        </w:trPr>
        <w:tc>
          <w:tcPr>
            <w:tcW w:w="406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Name</w:t>
            </w:r>
          </w:p>
        </w:tc>
        <w:tc>
          <w:tcPr>
            <w:tcW w:w="3280" w:type="dxa"/>
            <w:vAlign w:val="bottom"/>
            <w:tcBorders>
              <w:bottom w:val="single" w:sz="8" w:color="1A3FD6"/>
            </w:tcBorders>
          </w:tcPr>
          <w:p>
            <w:pPr>
              <w:jc w:val="right"/>
              <w:ind w:right="262"/>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1A3FD6"/>
            </w:tcBorders>
          </w:tcPr>
          <w:p>
            <w:pPr>
              <w:jc w:val="right"/>
              <w:ind w:right="161"/>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1A3FD6"/>
            </w:tcBorders>
          </w:tcPr>
          <w:p>
            <w:pPr>
              <w:jc w:val="right"/>
              <w:ind w:right="201"/>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4"/>
        </w:trPr>
        <w:tc>
          <w:tcPr>
            <w:tcW w:w="4060" w:type="dxa"/>
            <w:vAlign w:val="bottom"/>
          </w:tcPr>
          <w:p>
            <w:pPr>
              <w:ind w:left="20"/>
              <w:spacing w:after="0"/>
              <w:rPr>
                <w:sz w:val="20"/>
                <w:szCs w:val="20"/>
                <w:color w:val="auto"/>
              </w:rPr>
            </w:pPr>
            <w:r>
              <w:rPr>
                <w:rFonts w:ascii="Arial" w:cs="Arial" w:eastAsia="Arial" w:hAnsi="Arial"/>
                <w:sz w:val="16"/>
                <w:szCs w:val="16"/>
                <w:b w:val="1"/>
                <w:bCs w:val="1"/>
                <w:color w:val="1A3FD6"/>
              </w:rPr>
              <w:t>Henry A. Fernandez</w:t>
            </w:r>
          </w:p>
        </w:tc>
        <w:tc>
          <w:tcPr>
            <w:tcW w:w="328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4,380,000</w:t>
            </w:r>
          </w:p>
        </w:tc>
        <w:tc>
          <w:tcPr>
            <w:tcW w:w="1380" w:type="dxa"/>
            <w:vAlign w:val="bottom"/>
          </w:tcPr>
          <w:p>
            <w:pPr>
              <w:jc w:val="right"/>
              <w:ind w:right="261"/>
              <w:spacing w:after="0"/>
              <w:rPr>
                <w:sz w:val="20"/>
                <w:szCs w:val="20"/>
                <w:color w:val="auto"/>
              </w:rPr>
            </w:pPr>
            <w:r>
              <w:rPr>
                <w:rFonts w:ascii="Arial" w:cs="Arial" w:eastAsia="Arial" w:hAnsi="Arial"/>
                <w:sz w:val="16"/>
                <w:szCs w:val="16"/>
                <w:color w:val="auto"/>
              </w:rPr>
              <w:t>10,220,000</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14,600,000</w:t>
            </w:r>
          </w:p>
        </w:tc>
        <w:tc>
          <w:tcPr>
            <w:tcW w:w="0" w:type="dxa"/>
            <w:vAlign w:val="bottom"/>
          </w:tcPr>
          <w:p>
            <w:pPr>
              <w:spacing w:after="0"/>
              <w:rPr>
                <w:sz w:val="1"/>
                <w:szCs w:val="1"/>
                <w:color w:val="auto"/>
              </w:rPr>
            </w:pPr>
          </w:p>
        </w:tc>
      </w:tr>
      <w:tr>
        <w:trPr>
          <w:trHeight w:val="247"/>
        </w:trPr>
        <w:tc>
          <w:tcPr>
            <w:tcW w:w="406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Andrew C. Wiechmann</w:t>
            </w:r>
          </w:p>
        </w:tc>
        <w:tc>
          <w:tcPr>
            <w:tcW w:w="3280" w:type="dxa"/>
            <w:vAlign w:val="bottom"/>
            <w:shd w:val="clear" w:color="auto" w:fill="EDF0FC"/>
          </w:tcPr>
          <w:p>
            <w:pPr>
              <w:jc w:val="right"/>
              <w:ind w:right="322"/>
              <w:spacing w:after="0"/>
              <w:rPr>
                <w:sz w:val="20"/>
                <w:szCs w:val="20"/>
                <w:color w:val="auto"/>
              </w:rPr>
            </w:pPr>
            <w:r>
              <w:rPr>
                <w:rFonts w:ascii="Arial" w:cs="Arial" w:eastAsia="Arial" w:hAnsi="Arial"/>
                <w:sz w:val="16"/>
                <w:szCs w:val="16"/>
                <w:color w:val="auto"/>
              </w:rPr>
              <w:t>900,000</w:t>
            </w:r>
          </w:p>
        </w:tc>
        <w:tc>
          <w:tcPr>
            <w:tcW w:w="1340" w:type="dxa"/>
            <w:vAlign w:val="bottom"/>
            <w:shd w:val="clear" w:color="auto" w:fill="EDF0FC"/>
          </w:tcPr>
          <w:p>
            <w:pPr>
              <w:jc w:val="right"/>
              <w:ind w:right="221"/>
              <w:spacing w:after="0"/>
              <w:rPr>
                <w:sz w:val="20"/>
                <w:szCs w:val="20"/>
                <w:color w:val="auto"/>
              </w:rPr>
            </w:pPr>
            <w:r>
              <w:rPr>
                <w:rFonts w:ascii="Arial" w:cs="Arial" w:eastAsia="Arial" w:hAnsi="Arial"/>
                <w:sz w:val="16"/>
                <w:szCs w:val="16"/>
                <w:color w:val="auto"/>
              </w:rPr>
              <w:t>900,000</w:t>
            </w:r>
          </w:p>
        </w:tc>
        <w:tc>
          <w:tcPr>
            <w:tcW w:w="1380" w:type="dxa"/>
            <w:vAlign w:val="bottom"/>
            <w:shd w:val="clear" w:color="auto" w:fill="EDF0FC"/>
          </w:tcPr>
          <w:p>
            <w:pPr>
              <w:jc w:val="right"/>
              <w:ind w:right="261"/>
              <w:spacing w:after="0"/>
              <w:rPr>
                <w:sz w:val="20"/>
                <w:szCs w:val="20"/>
                <w:color w:val="auto"/>
              </w:rPr>
            </w:pPr>
            <w:r>
              <w:rPr>
                <w:rFonts w:ascii="Arial" w:cs="Arial" w:eastAsia="Arial" w:hAnsi="Arial"/>
                <w:sz w:val="16"/>
                <w:szCs w:val="16"/>
                <w:color w:val="auto"/>
              </w:rPr>
              <w:t>1,200,000</w:t>
            </w:r>
          </w:p>
        </w:tc>
        <w:tc>
          <w:tcPr>
            <w:tcW w:w="1180" w:type="dxa"/>
            <w:vAlign w:val="bottom"/>
            <w:shd w:val="clear" w:color="auto" w:fill="EDF0FC"/>
          </w:tcPr>
          <w:p>
            <w:pPr>
              <w:jc w:val="right"/>
              <w:ind w:right="1"/>
              <w:spacing w:after="0"/>
              <w:rPr>
                <w:sz w:val="20"/>
                <w:szCs w:val="20"/>
                <w:color w:val="auto"/>
              </w:rPr>
            </w:pPr>
            <w:r>
              <w:rPr>
                <w:rFonts w:ascii="Arial" w:cs="Arial" w:eastAsia="Arial" w:hAnsi="Arial"/>
                <w:sz w:val="16"/>
                <w:szCs w:val="16"/>
                <w:color w:val="auto"/>
              </w:rPr>
              <w:t>3,000,000</w:t>
            </w:r>
          </w:p>
        </w:tc>
        <w:tc>
          <w:tcPr>
            <w:tcW w:w="0" w:type="dxa"/>
            <w:vAlign w:val="bottom"/>
          </w:tcPr>
          <w:p>
            <w:pPr>
              <w:spacing w:after="0"/>
              <w:rPr>
                <w:sz w:val="1"/>
                <w:szCs w:val="1"/>
                <w:color w:val="auto"/>
              </w:rPr>
            </w:pPr>
          </w:p>
        </w:tc>
      </w:tr>
      <w:tr>
        <w:trPr>
          <w:trHeight w:val="239"/>
        </w:trPr>
        <w:tc>
          <w:tcPr>
            <w:tcW w:w="4060" w:type="dxa"/>
            <w:vAlign w:val="bottom"/>
          </w:tcPr>
          <w:p>
            <w:pPr>
              <w:ind w:left="20"/>
              <w:spacing w:after="0"/>
              <w:rPr>
                <w:sz w:val="20"/>
                <w:szCs w:val="20"/>
                <w:color w:val="auto"/>
              </w:rPr>
            </w:pPr>
            <w:r>
              <w:rPr>
                <w:rFonts w:ascii="Arial" w:cs="Arial" w:eastAsia="Arial" w:hAnsi="Arial"/>
                <w:sz w:val="16"/>
                <w:szCs w:val="16"/>
                <w:b w:val="1"/>
                <w:bCs w:val="1"/>
                <w:color w:val="1A3FD6"/>
              </w:rPr>
              <w:t>C.D. Baer Pettit</w:t>
            </w:r>
          </w:p>
        </w:tc>
        <w:tc>
          <w:tcPr>
            <w:tcW w:w="328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21"/>
              <w:spacing w:after="0"/>
              <w:rPr>
                <w:sz w:val="20"/>
                <w:szCs w:val="20"/>
                <w:color w:val="auto"/>
              </w:rPr>
            </w:pPr>
            <w:r>
              <w:rPr>
                <w:rFonts w:ascii="Arial" w:cs="Arial" w:eastAsia="Arial" w:hAnsi="Arial"/>
                <w:sz w:val="16"/>
                <w:szCs w:val="16"/>
                <w:color w:val="auto"/>
              </w:rPr>
              <w:t>2,160,000</w:t>
            </w:r>
          </w:p>
        </w:tc>
        <w:tc>
          <w:tcPr>
            <w:tcW w:w="1380" w:type="dxa"/>
            <w:vAlign w:val="bottom"/>
          </w:tcPr>
          <w:p>
            <w:pPr>
              <w:jc w:val="right"/>
              <w:ind w:right="261"/>
              <w:spacing w:after="0"/>
              <w:rPr>
                <w:sz w:val="20"/>
                <w:szCs w:val="20"/>
                <w:color w:val="auto"/>
              </w:rPr>
            </w:pPr>
            <w:r>
              <w:rPr>
                <w:rFonts w:ascii="Arial" w:cs="Arial" w:eastAsia="Arial" w:hAnsi="Arial"/>
                <w:sz w:val="16"/>
                <w:szCs w:val="16"/>
                <w:color w:val="auto"/>
              </w:rPr>
              <w:t>5,040,000</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7,200,000</w:t>
            </w:r>
          </w:p>
        </w:tc>
        <w:tc>
          <w:tcPr>
            <w:tcW w:w="0" w:type="dxa"/>
            <w:vAlign w:val="bottom"/>
          </w:tcPr>
          <w:p>
            <w:pPr>
              <w:spacing w:after="0"/>
              <w:rPr>
                <w:sz w:val="1"/>
                <w:szCs w:val="1"/>
                <w:color w:val="auto"/>
              </w:rPr>
            </w:pPr>
          </w:p>
        </w:tc>
      </w:tr>
      <w:tr>
        <w:trPr>
          <w:trHeight w:val="247"/>
        </w:trPr>
        <w:tc>
          <w:tcPr>
            <w:tcW w:w="406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Scott A. Crum</w:t>
            </w:r>
          </w:p>
        </w:tc>
        <w:tc>
          <w:tcPr>
            <w:tcW w:w="3280" w:type="dxa"/>
            <w:vAlign w:val="bottom"/>
            <w:shd w:val="clear" w:color="auto" w:fill="EDF0FC"/>
          </w:tcPr>
          <w:p>
            <w:pPr>
              <w:jc w:val="right"/>
              <w:ind w:right="322"/>
              <w:spacing w:after="0"/>
              <w:rPr>
                <w:sz w:val="20"/>
                <w:szCs w:val="20"/>
                <w:color w:val="auto"/>
              </w:rPr>
            </w:pPr>
            <w:r>
              <w:rPr>
                <w:rFonts w:ascii="Arial" w:cs="Arial" w:eastAsia="Arial" w:hAnsi="Arial"/>
                <w:sz w:val="16"/>
                <w:szCs w:val="16"/>
                <w:color w:val="auto"/>
              </w:rPr>
              <w:t>720,000</w:t>
            </w:r>
          </w:p>
        </w:tc>
        <w:tc>
          <w:tcPr>
            <w:tcW w:w="1340" w:type="dxa"/>
            <w:vAlign w:val="bottom"/>
            <w:shd w:val="clear" w:color="auto" w:fill="EDF0FC"/>
          </w:tcPr>
          <w:p>
            <w:pPr>
              <w:jc w:val="right"/>
              <w:ind w:right="221"/>
              <w:spacing w:after="0"/>
              <w:rPr>
                <w:sz w:val="20"/>
                <w:szCs w:val="20"/>
                <w:color w:val="auto"/>
              </w:rPr>
            </w:pPr>
            <w:r>
              <w:rPr>
                <w:rFonts w:ascii="Arial" w:cs="Arial" w:eastAsia="Arial" w:hAnsi="Arial"/>
                <w:sz w:val="16"/>
                <w:szCs w:val="16"/>
                <w:color w:val="auto"/>
              </w:rPr>
              <w:t>720,000</w:t>
            </w:r>
          </w:p>
        </w:tc>
        <w:tc>
          <w:tcPr>
            <w:tcW w:w="1380" w:type="dxa"/>
            <w:vAlign w:val="bottom"/>
            <w:shd w:val="clear" w:color="auto" w:fill="EDF0FC"/>
          </w:tcPr>
          <w:p>
            <w:pPr>
              <w:jc w:val="right"/>
              <w:ind w:right="261"/>
              <w:spacing w:after="0"/>
              <w:rPr>
                <w:sz w:val="20"/>
                <w:szCs w:val="20"/>
                <w:color w:val="auto"/>
              </w:rPr>
            </w:pPr>
            <w:r>
              <w:rPr>
                <w:rFonts w:ascii="Arial" w:cs="Arial" w:eastAsia="Arial" w:hAnsi="Arial"/>
                <w:sz w:val="16"/>
                <w:szCs w:val="16"/>
                <w:color w:val="auto"/>
              </w:rPr>
              <w:t>960,000</w:t>
            </w:r>
          </w:p>
        </w:tc>
        <w:tc>
          <w:tcPr>
            <w:tcW w:w="1180" w:type="dxa"/>
            <w:vAlign w:val="bottom"/>
            <w:shd w:val="clear" w:color="auto" w:fill="EDF0FC"/>
          </w:tcPr>
          <w:p>
            <w:pPr>
              <w:jc w:val="right"/>
              <w:ind w:right="1"/>
              <w:spacing w:after="0"/>
              <w:rPr>
                <w:sz w:val="20"/>
                <w:szCs w:val="20"/>
                <w:color w:val="auto"/>
              </w:rPr>
            </w:pPr>
            <w:r>
              <w:rPr>
                <w:rFonts w:ascii="Arial" w:cs="Arial" w:eastAsia="Arial" w:hAnsi="Arial"/>
                <w:sz w:val="16"/>
                <w:szCs w:val="16"/>
                <w:color w:val="auto"/>
              </w:rPr>
              <w:t>2,400,000</w:t>
            </w:r>
          </w:p>
        </w:tc>
        <w:tc>
          <w:tcPr>
            <w:tcW w:w="0" w:type="dxa"/>
            <w:vAlign w:val="bottom"/>
          </w:tcPr>
          <w:p>
            <w:pPr>
              <w:spacing w:after="0"/>
              <w:rPr>
                <w:sz w:val="1"/>
                <w:szCs w:val="1"/>
                <w:color w:val="auto"/>
              </w:rPr>
            </w:pPr>
          </w:p>
        </w:tc>
      </w:tr>
      <w:tr>
        <w:trPr>
          <w:trHeight w:val="239"/>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1A3FD6"/>
              </w:rPr>
              <w:t>Robert J. Gutowski</w:t>
            </w:r>
          </w:p>
        </w:tc>
        <w:tc>
          <w:tcPr>
            <w:tcW w:w="328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540,000</w:t>
            </w:r>
          </w:p>
        </w:tc>
        <w:tc>
          <w:tcPr>
            <w:tcW w:w="13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540,000</w:t>
            </w:r>
          </w:p>
        </w:tc>
        <w:tc>
          <w:tcPr>
            <w:tcW w:w="13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720,000</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1,800,000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0" w:right="120" w:hanging="192"/>
        <w:spacing w:after="0" w:line="239" w:lineRule="auto"/>
        <w:tabs>
          <w:tab w:leader="none" w:pos="187" w:val="left"/>
        </w:tabs>
        <w:numPr>
          <w:ilvl w:val="0"/>
          <w:numId w:val="86"/>
        </w:numPr>
        <w:rPr>
          <w:rFonts w:ascii="Arial" w:cs="Arial" w:eastAsia="Arial" w:hAnsi="Arial"/>
          <w:sz w:val="19"/>
          <w:szCs w:val="19"/>
          <w:color w:val="auto"/>
          <w:vertAlign w:val="superscript"/>
        </w:rPr>
      </w:pPr>
      <w:r>
        <w:rPr>
          <w:rFonts w:ascii="Arial" w:cs="Arial" w:eastAsia="Arial" w:hAnsi="Arial"/>
          <w:sz w:val="14"/>
          <w:szCs w:val="14"/>
          <w:color w:val="auto"/>
        </w:rPr>
        <w:t>As described below, on page 79 of this Proxy Statement, Mr. Fernandez received a one-time premium-priced stock option award, with a total grant-date value of $15 million, to further incentivize exceptional shareholder returns. See page 72 of this Proxy Statement for additional information on Mr. Fernandez’s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80" w:name="page81"/>
    <w:bookmarkEnd w:id="80"/>
    <w:p>
      <w:pPr>
        <w:ind w:left="8420"/>
        <w:spacing w:after="0"/>
        <w:tabs>
          <w:tab w:leader="none" w:pos="109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Compensation Matters | MSCI</w:t>
      </w:r>
      <w:r>
        <w:rPr>
          <w:sz w:val="20"/>
          <w:szCs w:val="20"/>
          <w:color w:val="auto"/>
        </w:rPr>
        <w:tab/>
      </w:r>
      <w:r>
        <w:rPr>
          <w:rFonts w:ascii="Arial" w:cs="Arial" w:eastAsia="Arial" w:hAnsi="Arial"/>
          <w:sz w:val="14"/>
          <w:szCs w:val="14"/>
          <w:b w:val="1"/>
          <w:bCs w:val="1"/>
          <w:color w:val="1A3FD6"/>
        </w:rPr>
        <w:t>79</w:t>
      </w:r>
    </w:p>
    <w:p>
      <w:pPr>
        <w:sectPr>
          <w:pgSz w:w="11900" w:h="16838" w:orient="portrait"/>
          <w:cols w:equalWidth="0" w:num="1">
            <w:col w:w="11220"/>
          </w:cols>
          <w:pgMar w:left="320" w:top="2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1A3FD6"/>
        </w:rPr>
        <w:t>2025 One-Time Premium-Priced Stock Option CEO Award</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On January 27, 2025, the Compensation Committee approved a one-time premium-priced stock option award (“PPOs”) for our Chairman and CEO, Henry A.</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Fernandez, with a total grant-date value of $15 million. The award consists of three equal tranches with rigorous exercise prices of $1,000, $1,100, and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$1,200—representing significant premiums of approximately 69.3%, 86.2% and 103.1%, respectively, to the Company’s stock price at the time of grant.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options vest on the fifth anniversary of the grant date, subject to Mr. Fernandez’s continued service through the vesting date, subject to customary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termination provisions, and have a ten-year term. The award does not provide for interim vesting opportunities or “realizable” value for stock prices below</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$1,000 per share, reinforcing long-term value creation and shareholder alignment.</w:t>
      </w:r>
    </w:p>
    <w:p>
      <w:pPr>
        <w:spacing w:after="0" w:line="127"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This award reflects the Company’s robust commitment to an “owner-operator” culture by using equity awards that directly link pay and prioritize long-term shareholder value creation, as well as Mr. Fernandez’s exceptional leadership and sustained contributions to MSCI’s growth. The Compensation Committee considered Mr. Fernandez’s proven track record of value creation, including his over 25 years as the Company’s CEO and the more than 37-fold increase in the Company’s share price under his leadership from its initial public offering in 2007 through year-end 2024. This performance reflects a total shareholder return compound annual growth rate (“CAGR”) of 23.5%, significantly exceeding the S&amp;P 500 Index CAGR of 10.6% over the same period. The Compensation Committee, in consultation with its independent compensation consultant, reviewed an in-depth analysis of compensation practices among the Company’s peers and CEO pay opportunities and the performance-based weighting of CEO pay within the Company’s peer group. The Compensation Committee determined that the award appropriately balanced the need to incentivize exceptional shareholder returns while maintaining alignment with market practices and the Company’s pay-for-performance philosophy.</w:t>
      </w:r>
    </w:p>
    <w:p>
      <w:pPr>
        <w:spacing w:after="0" w:line="80"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If Mr. Fernandez’s employment terminates during the vesting period, the award will be forfeited in full, subject to customary provisions for involuntary termination in the event of a change in control, involuntary termination without cause, death and disability. Unlike the Company’s historical equity incentive compensation program, the award does not include any retirement vesting provisions. To that end, the entirety of the award will be “at-risk” and contingent upon Mr. Fernandez’s continued service with the Company.</w:t>
      </w:r>
    </w:p>
    <w:p>
      <w:pPr>
        <w:spacing w:after="0" w:line="59" w:lineRule="exact"/>
        <w:rPr>
          <w:sz w:val="20"/>
          <w:szCs w:val="20"/>
          <w:color w:val="auto"/>
        </w:rPr>
      </w:pPr>
    </w:p>
    <w:p>
      <w:pPr>
        <w:ind w:right="440"/>
        <w:spacing w:after="0" w:line="321" w:lineRule="auto"/>
        <w:rPr>
          <w:sz w:val="20"/>
          <w:szCs w:val="20"/>
          <w:color w:val="auto"/>
        </w:rPr>
      </w:pPr>
      <w:r>
        <w:rPr>
          <w:rFonts w:ascii="Arial" w:cs="Arial" w:eastAsia="Arial" w:hAnsi="Arial"/>
          <w:sz w:val="16"/>
          <w:szCs w:val="16"/>
          <w:color w:val="auto"/>
        </w:rPr>
        <w:t>The grant date fair value of the award will be reflected in the 2025 Summary Compensation Table and in the Grants of Plan-Based Awards Table in our Proxy Statement for our 2026 annual meeting of shareholders.</w:t>
      </w:r>
    </w:p>
    <w:p>
      <w:pPr>
        <w:spacing w:after="0" w:line="14"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Benefits</w:t>
      </w:r>
    </w:p>
    <w:p>
      <w:pPr>
        <w:spacing w:after="0" w:line="200"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The Company provides health, welfare and other benefits to remain competitive in hiring and retaining its employees. Our NEOs are eligible to participate in these benefit plans on the same terms and conditions as all other employees. We do not provide any special or enhanced benefits to our NEOs.</w:t>
      </w:r>
    </w:p>
    <w:p>
      <w:pPr>
        <w:spacing w:after="0" w:line="34"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In the United States and the United Kingdom, the Company has established defined contribution plans for all eligible employees. Contributions by the Company to these defined contribution plans for our NEOs for the applicable period are disclosed in the “All Other Compensation” column in the Summary Compensation Table below.</w:t>
      </w:r>
    </w:p>
    <w:p>
      <w:pPr>
        <w:spacing w:after="0" w:line="51"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Employment Agreements</w:t>
      </w:r>
    </w:p>
    <w:p>
      <w:pPr>
        <w:spacing w:after="0" w:line="186"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All of the NEOs are employed on an “at-will” basis, and the Company does not have any individual employment agreements with the NEOs providing for a fixed duration of employment. As a result, the Company has the flexibility to alter or revise its compensation programs as circumstances dictate.</w:t>
      </w:r>
    </w:p>
    <w:p>
      <w:pPr>
        <w:spacing w:after="0" w:line="48"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Under Mr. Wiechmann’s offer letter with the Company and Mr. Pettit’s employment letter with a subsidiary of the Company, in the event of an involuntary termination of employment without cause, each of Messrs. Wiechmann and Pettit is eligible to receive, subject to his compliance with certain conditions, (i) a lump sum cash payment equal to the sum of his then-current annual base salary plus target annual bonus opportunity and (ii) a prorated cash bonus under the AIP for the year of termination based on actual performance through the date of termination (as of December 31, 2024, assuming 100% achievement of the annual bonus opportunity, such amounts would have equaled $2,050,000 for Mr. Wiechmann and $3,099,124 for Mr. Pettit; the amount for Mr. Pettit is shown as being paid in British pounds sterling and converted to U.S. dollars using the fiscal year average of daily spot rates of £1 to $1.278 for fiscal 2024).</w:t>
      </w:r>
    </w:p>
    <w:p>
      <w:pPr>
        <w:spacing w:after="0" w:line="66"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In addition, we maintain a Change in Control Severance Plan for the benefit of eligible senior executives of the Company (including the NEOs) that provides for severance benefits on a “double-trigger” basis—i.e., in the event of a qualifying termination of the executive’s employment by the Company without “cause” or by the participant for “good reason” in connection with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type w:val="continuous"/>
        </w:sectPr>
      </w:pPr>
    </w:p>
    <w:bookmarkStart w:id="81" w:name="page82"/>
    <w:bookmarkEnd w:id="81"/>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80</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Additional information on post-termination and change in control benefits for our NEOs, assuming a qualifying event occurred as of December 31, 2024, is provided in the section titled “Potential Payments upon Termination or Change in Control,” on page 89 of this Proxy Statement.</w:t>
      </w:r>
    </w:p>
    <w:p>
      <w:pPr>
        <w:spacing w:after="0" w:line="14"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No Excessive Perquisites</w:t>
      </w:r>
    </w:p>
    <w:p>
      <w:pPr>
        <w:spacing w:after="0" w:line="200" w:lineRule="exact"/>
        <w:rPr>
          <w:sz w:val="20"/>
          <w:szCs w:val="20"/>
          <w:color w:val="auto"/>
        </w:rPr>
      </w:pPr>
    </w:p>
    <w:p>
      <w:pPr>
        <w:ind w:right="560"/>
        <w:spacing w:after="0" w:line="304" w:lineRule="auto"/>
        <w:rPr>
          <w:sz w:val="20"/>
          <w:szCs w:val="20"/>
          <w:color w:val="auto"/>
        </w:rPr>
      </w:pPr>
      <w:r>
        <w:rPr>
          <w:rFonts w:ascii="Arial" w:cs="Arial" w:eastAsia="Arial" w:hAnsi="Arial"/>
          <w:sz w:val="16"/>
          <w:szCs w:val="16"/>
          <w:color w:val="auto"/>
        </w:rPr>
        <w:t>Based on the Company’s philosophy that its executive compensation program should be straightforward and directly linked to performance, the compensation program for the NEOs does not include any excessive perquisites, excise tax gross-ups or supplemental executive retirement benefits.</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Stock Ownership Guidelines</w:t>
      </w:r>
    </w:p>
    <w:p>
      <w:pPr>
        <w:spacing w:after="0" w:line="200"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Compensation Committee believes that significant stock ownership at the Executive Committee level, among MSCI’s senior-most leadership, which includes our NEOs, aligns management’s interests with those of our shareholders and encourages an “owner-operator” mindset. As part of the Compensation Committee’s ongoing assessment of the Company’s compensation policies and practices to ensure furtherance of the goals identified above and for alignment with best practices, effective January 1, 2019, the Compensation Committee adopted stock ownership guidelines.</w:t>
      </w:r>
    </w:p>
    <w:p>
      <w:pPr>
        <w:spacing w:after="0" w:line="77"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Our stock ownership guidelines reflect among the highest multiples of base salary in our peer group, as detailed below. As of the date of this Proxy Statement, all Executive Committee members, including our NEOs, are in compliance with the current stock ownership guidelines. Each of our CEO and our President and COO significantly exceeds his applicable stock ownership guidelines (see page 113 of this Proxy Statement for additional details).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20" w:type="dxa"/>
            <w:vAlign w:val="bottom"/>
          </w:tcPr>
          <w:p>
            <w:pPr>
              <w:spacing w:after="0"/>
              <w:rPr>
                <w:sz w:val="15"/>
                <w:szCs w:val="15"/>
                <w:color w:val="auto"/>
              </w:rPr>
            </w:pPr>
          </w:p>
        </w:tc>
        <w:tc>
          <w:tcPr>
            <w:tcW w:w="3920" w:type="dxa"/>
            <w:vAlign w:val="bottom"/>
          </w:tcPr>
          <w:p>
            <w:pPr>
              <w:jc w:val="right"/>
              <w:spacing w:after="0"/>
              <w:rPr>
                <w:sz w:val="20"/>
                <w:szCs w:val="20"/>
                <w:color w:val="auto"/>
              </w:rPr>
            </w:pPr>
            <w:r>
              <w:rPr>
                <w:rFonts w:ascii="Arial" w:cs="Arial" w:eastAsia="Arial" w:hAnsi="Arial"/>
                <w:sz w:val="14"/>
                <w:szCs w:val="14"/>
                <w:b w:val="1"/>
                <w:bCs w:val="1"/>
                <w:color w:val="auto"/>
              </w:rPr>
              <w:t>Stock Ownership</w:t>
            </w:r>
          </w:p>
        </w:tc>
      </w:tr>
      <w:tr>
        <w:trPr>
          <w:trHeight w:val="205"/>
        </w:trPr>
        <w:tc>
          <w:tcPr>
            <w:tcW w:w="732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Position</w:t>
            </w:r>
          </w:p>
        </w:tc>
        <w:tc>
          <w:tcPr>
            <w:tcW w:w="392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Guidelines</w:t>
            </w:r>
          </w:p>
        </w:tc>
      </w:tr>
      <w:tr>
        <w:trPr>
          <w:trHeight w:val="235"/>
        </w:trPr>
        <w:tc>
          <w:tcPr>
            <w:tcW w:w="7320" w:type="dxa"/>
            <w:vAlign w:val="bottom"/>
          </w:tcPr>
          <w:p>
            <w:pPr>
              <w:ind w:left="20"/>
              <w:spacing w:after="0"/>
              <w:rPr>
                <w:sz w:val="20"/>
                <w:szCs w:val="20"/>
                <w:color w:val="auto"/>
              </w:rPr>
            </w:pPr>
            <w:r>
              <w:rPr>
                <w:rFonts w:ascii="Arial" w:cs="Arial" w:eastAsia="Arial" w:hAnsi="Arial"/>
                <w:sz w:val="16"/>
                <w:szCs w:val="16"/>
                <w:color w:val="auto"/>
              </w:rPr>
              <w:t>Chief Executive Officer</w:t>
            </w:r>
          </w:p>
        </w:tc>
        <w:tc>
          <w:tcPr>
            <w:tcW w:w="3920" w:type="dxa"/>
            <w:vAlign w:val="bottom"/>
          </w:tcPr>
          <w:p>
            <w:pPr>
              <w:jc w:val="right"/>
              <w:spacing w:after="0"/>
              <w:rPr>
                <w:sz w:val="20"/>
                <w:szCs w:val="20"/>
                <w:color w:val="auto"/>
              </w:rPr>
            </w:pPr>
            <w:r>
              <w:rPr>
                <w:rFonts w:ascii="Arial" w:cs="Arial" w:eastAsia="Arial" w:hAnsi="Arial"/>
                <w:sz w:val="16"/>
                <w:szCs w:val="16"/>
                <w:color w:val="auto"/>
              </w:rPr>
              <w:t>12x base salary</w:t>
            </w:r>
          </w:p>
        </w:tc>
      </w:tr>
      <w:tr>
        <w:trPr>
          <w:trHeight w:val="251"/>
        </w:trPr>
        <w:tc>
          <w:tcPr>
            <w:tcW w:w="7320" w:type="dxa"/>
            <w:vAlign w:val="bottom"/>
            <w:shd w:val="clear" w:color="auto" w:fill="EDF0FC"/>
          </w:tcPr>
          <w:p>
            <w:pPr>
              <w:ind w:left="20"/>
              <w:spacing w:after="0"/>
              <w:rPr>
                <w:sz w:val="20"/>
                <w:szCs w:val="20"/>
                <w:color w:val="auto"/>
              </w:rPr>
            </w:pPr>
            <w:r>
              <w:rPr>
                <w:rFonts w:ascii="Arial" w:cs="Arial" w:eastAsia="Arial" w:hAnsi="Arial"/>
                <w:sz w:val="16"/>
                <w:szCs w:val="16"/>
                <w:color w:val="auto"/>
              </w:rPr>
              <w:t>President and Chief Operating Officer</w:t>
            </w:r>
          </w:p>
        </w:tc>
        <w:tc>
          <w:tcPr>
            <w:tcW w:w="3920" w:type="dxa"/>
            <w:vAlign w:val="bottom"/>
            <w:shd w:val="clear" w:color="auto" w:fill="EDF0FC"/>
          </w:tcPr>
          <w:p>
            <w:pPr>
              <w:jc w:val="right"/>
              <w:spacing w:after="0"/>
              <w:rPr>
                <w:sz w:val="20"/>
                <w:szCs w:val="20"/>
                <w:color w:val="auto"/>
              </w:rPr>
            </w:pPr>
            <w:r>
              <w:rPr>
                <w:rFonts w:ascii="Arial" w:cs="Arial" w:eastAsia="Arial" w:hAnsi="Arial"/>
                <w:sz w:val="16"/>
                <w:szCs w:val="16"/>
                <w:color w:val="auto"/>
              </w:rPr>
              <w:t>12x base salary</w:t>
            </w:r>
          </w:p>
        </w:tc>
      </w:tr>
      <w:tr>
        <w:trPr>
          <w:trHeight w:val="235"/>
        </w:trPr>
        <w:tc>
          <w:tcPr>
            <w:tcW w:w="7320" w:type="dxa"/>
            <w:vAlign w:val="bottom"/>
          </w:tcPr>
          <w:p>
            <w:pPr>
              <w:ind w:left="20"/>
              <w:spacing w:after="0"/>
              <w:rPr>
                <w:sz w:val="20"/>
                <w:szCs w:val="20"/>
                <w:color w:val="auto"/>
              </w:rPr>
            </w:pPr>
            <w:r>
              <w:rPr>
                <w:rFonts w:ascii="Arial" w:cs="Arial" w:eastAsia="Arial" w:hAnsi="Arial"/>
                <w:sz w:val="16"/>
                <w:szCs w:val="16"/>
                <w:color w:val="auto"/>
              </w:rPr>
              <w:t>Other Management Committee Members, including other NEOs</w:t>
            </w:r>
          </w:p>
        </w:tc>
        <w:tc>
          <w:tcPr>
            <w:tcW w:w="3920" w:type="dxa"/>
            <w:vAlign w:val="bottom"/>
          </w:tcPr>
          <w:p>
            <w:pPr>
              <w:jc w:val="right"/>
              <w:spacing w:after="0"/>
              <w:rPr>
                <w:sz w:val="20"/>
                <w:szCs w:val="20"/>
                <w:color w:val="auto"/>
              </w:rPr>
            </w:pPr>
            <w:r>
              <w:rPr>
                <w:rFonts w:ascii="Arial" w:cs="Arial" w:eastAsia="Arial" w:hAnsi="Arial"/>
                <w:sz w:val="16"/>
                <w:szCs w:val="16"/>
                <w:color w:val="auto"/>
              </w:rPr>
              <w:t>8x base salary</w:t>
            </w:r>
          </w:p>
        </w:tc>
      </w:tr>
      <w:tr>
        <w:trPr>
          <w:trHeight w:val="244"/>
        </w:trPr>
        <w:tc>
          <w:tcPr>
            <w:tcW w:w="7320" w:type="dxa"/>
            <w:vAlign w:val="bottom"/>
            <w:tcBorders>
              <w:bottom w:val="single" w:sz="8" w:color="auto"/>
            </w:tcBorders>
            <w:shd w:val="clear" w:color="auto" w:fill="EDF0FC"/>
          </w:tcPr>
          <w:p>
            <w:pPr>
              <w:ind w:left="20"/>
              <w:spacing w:after="0"/>
              <w:rPr>
                <w:sz w:val="20"/>
                <w:szCs w:val="20"/>
                <w:color w:val="auto"/>
              </w:rPr>
            </w:pPr>
            <w:r>
              <w:rPr>
                <w:rFonts w:ascii="Arial" w:cs="Arial" w:eastAsia="Arial" w:hAnsi="Arial"/>
                <w:sz w:val="16"/>
                <w:szCs w:val="16"/>
                <w:color w:val="auto"/>
              </w:rPr>
              <w:t>Other Executive Committee Members</w:t>
            </w:r>
          </w:p>
        </w:tc>
        <w:tc>
          <w:tcPr>
            <w:tcW w:w="3920" w:type="dxa"/>
            <w:vAlign w:val="bottom"/>
            <w:tcBorders>
              <w:bottom w:val="single" w:sz="8" w:color="auto"/>
            </w:tcBorders>
            <w:shd w:val="clear" w:color="auto" w:fill="EDF0FC"/>
          </w:tcPr>
          <w:p>
            <w:pPr>
              <w:jc w:val="right"/>
              <w:spacing w:after="0"/>
              <w:rPr>
                <w:sz w:val="20"/>
                <w:szCs w:val="20"/>
                <w:color w:val="auto"/>
              </w:rPr>
            </w:pPr>
            <w:r>
              <w:rPr>
                <w:rFonts w:ascii="Arial" w:cs="Arial" w:eastAsia="Arial" w:hAnsi="Arial"/>
                <w:sz w:val="16"/>
                <w:szCs w:val="16"/>
                <w:color w:val="auto"/>
              </w:rPr>
              <w:t>4x base salary</w:t>
            </w:r>
          </w:p>
        </w:tc>
      </w:tr>
    </w:tbl>
    <w:p>
      <w:pPr>
        <w:spacing w:after="0" w:line="175"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All Executive Committee members are required to meet the applicable ownership guidelines under the current stock ownership guidelines within five years following the date of such executive’s appointment to the Executive Committee (or, if later, five years from January 1, 2019). For the purpose of determining whether each individual is in compliance with these stock ownership guidelines and requirements, the following are counted towards satisfaction of the minimum ownership requirements:</w:t>
      </w:r>
    </w:p>
    <w:p>
      <w:pPr>
        <w:spacing w:after="0" w:line="72" w:lineRule="exact"/>
        <w:rPr>
          <w:sz w:val="20"/>
          <w:szCs w:val="20"/>
          <w:color w:val="auto"/>
        </w:rPr>
      </w:pPr>
    </w:p>
    <w:p>
      <w:pPr>
        <w:ind w:left="260" w:hanging="252"/>
        <w:spacing w:after="0"/>
        <w:tabs>
          <w:tab w:leader="none" w:pos="260" w:val="left"/>
        </w:tabs>
        <w:numPr>
          <w:ilvl w:val="0"/>
          <w:numId w:val="87"/>
        </w:numPr>
        <w:rPr>
          <w:rFonts w:ascii="Arial" w:cs="Arial" w:eastAsia="Arial" w:hAnsi="Arial"/>
          <w:sz w:val="16"/>
          <w:szCs w:val="16"/>
          <w:b w:val="1"/>
          <w:bCs w:val="1"/>
          <w:color w:val="1A3FD6"/>
        </w:rPr>
      </w:pPr>
      <w:r>
        <w:rPr>
          <w:rFonts w:ascii="Arial" w:cs="Arial" w:eastAsia="Arial" w:hAnsi="Arial"/>
          <w:sz w:val="16"/>
          <w:szCs w:val="16"/>
          <w:color w:val="auto"/>
        </w:rPr>
        <w:t>shares beneficially owned individually, directly or indirectly;</w:t>
      </w:r>
    </w:p>
    <w:p>
      <w:pPr>
        <w:spacing w:after="0" w:line="72" w:lineRule="exact"/>
        <w:rPr>
          <w:rFonts w:ascii="Arial" w:cs="Arial" w:eastAsia="Arial" w:hAnsi="Arial"/>
          <w:sz w:val="16"/>
          <w:szCs w:val="16"/>
          <w:b w:val="1"/>
          <w:bCs w:val="1"/>
          <w:color w:val="1A3FD6"/>
        </w:rPr>
      </w:pPr>
    </w:p>
    <w:p>
      <w:pPr>
        <w:ind w:left="260" w:hanging="252"/>
        <w:spacing w:after="0"/>
        <w:tabs>
          <w:tab w:leader="none" w:pos="260" w:val="left"/>
        </w:tabs>
        <w:numPr>
          <w:ilvl w:val="0"/>
          <w:numId w:val="87"/>
        </w:numPr>
        <w:rPr>
          <w:rFonts w:ascii="Arial" w:cs="Arial" w:eastAsia="Arial" w:hAnsi="Arial"/>
          <w:sz w:val="16"/>
          <w:szCs w:val="16"/>
          <w:b w:val="1"/>
          <w:bCs w:val="1"/>
          <w:color w:val="1A3FD6"/>
        </w:rPr>
      </w:pPr>
      <w:r>
        <w:rPr>
          <w:rFonts w:ascii="Arial" w:cs="Arial" w:eastAsia="Arial" w:hAnsi="Arial"/>
          <w:sz w:val="16"/>
          <w:szCs w:val="16"/>
          <w:color w:val="auto"/>
        </w:rPr>
        <w:t>shares beneficially owned jointly with, or separately by, immediate family members residing in the same household, either directly or indirectly; and</w:t>
      </w:r>
    </w:p>
    <w:p>
      <w:pPr>
        <w:spacing w:after="0" w:line="86" w:lineRule="exact"/>
        <w:rPr>
          <w:rFonts w:ascii="Arial" w:cs="Arial" w:eastAsia="Arial" w:hAnsi="Arial"/>
          <w:sz w:val="16"/>
          <w:szCs w:val="16"/>
          <w:b w:val="1"/>
          <w:bCs w:val="1"/>
          <w:color w:val="1A3FD6"/>
        </w:rPr>
      </w:pPr>
    </w:p>
    <w:p>
      <w:pPr>
        <w:ind w:left="260" w:hanging="252"/>
        <w:spacing w:after="0"/>
        <w:tabs>
          <w:tab w:leader="none" w:pos="260" w:val="left"/>
        </w:tabs>
        <w:numPr>
          <w:ilvl w:val="0"/>
          <w:numId w:val="87"/>
        </w:numPr>
        <w:rPr>
          <w:rFonts w:ascii="Arial" w:cs="Arial" w:eastAsia="Arial" w:hAnsi="Arial"/>
          <w:sz w:val="16"/>
          <w:szCs w:val="16"/>
          <w:b w:val="1"/>
          <w:bCs w:val="1"/>
          <w:color w:val="1A3FD6"/>
        </w:rPr>
      </w:pPr>
      <w:r>
        <w:rPr>
          <w:rFonts w:ascii="Arial" w:cs="Arial" w:eastAsia="Arial" w:hAnsi="Arial"/>
          <w:sz w:val="16"/>
          <w:szCs w:val="16"/>
          <w:color w:val="auto"/>
        </w:rPr>
        <w:t>shares underlying unvested RSUs.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Unexercised stock options and unearned performance awards do not count toward satisfaction of the minimum ownership requirements.</w:t>
      </w:r>
    </w:p>
    <w:p>
      <w:pPr>
        <w:spacing w:after="0" w:line="127"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Until the expected ownership levels are achieved, each Executive Committee member is required to retain 50% of the Net Shares resulting from the vesting, settlement or exercise, as applicable of all stock options, RSUs, PSUs or other equity awards granted to such executive.</w:t>
      </w:r>
    </w:p>
    <w:p>
      <w:pPr>
        <w:spacing w:after="0" w:line="34"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In addition to the minimum ownership requirements, the share retention requirements of the stock ownership guidelines provide that until an executive ceases to serve on the Company’s Executive Committee, such executive will be required to retain a number of shares equivalent to, in the aggregate, 25% of the “Net Shares” resulting from the vesting, settlement or exercise, as applicable, of all equity incentive awards granted to such executive after January 1, 2022 (or, if later, the date such executive becomes a member of the Executive Committee). The Compensation Committee determined that the addition of this 25% “Net Shares” holding requirement would further enhance our goal of reinforcing an “owner-operator” mindset among senior leaders. This approach will ensure that a portion of the Net Shares received from every award will be retained while an individual serves on the 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82" w:name="page83"/>
    <w:bookmarkEnd w:id="82"/>
    <w:p>
      <w:pPr>
        <w:ind w:left="8420"/>
        <w:spacing w:after="0"/>
        <w:tabs>
          <w:tab w:leader="none" w:pos="109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Compensation Matters | MSCI</w:t>
      </w:r>
      <w:r>
        <w:rPr>
          <w:sz w:val="20"/>
          <w:szCs w:val="20"/>
          <w:color w:val="auto"/>
        </w:rPr>
        <w:tab/>
      </w:r>
      <w:r>
        <w:rPr>
          <w:rFonts w:ascii="Arial" w:cs="Arial" w:eastAsia="Arial" w:hAnsi="Arial"/>
          <w:sz w:val="14"/>
          <w:szCs w:val="14"/>
          <w:b w:val="1"/>
          <w:bCs w:val="1"/>
          <w:color w:val="1A3FD6"/>
        </w:rPr>
        <w:t>81</w:t>
      </w:r>
    </w:p>
    <w:p>
      <w:pPr>
        <w:sectPr>
          <w:pgSz w:w="11900" w:h="16838" w:orient="portrait"/>
          <w:cols w:equalWidth="0" w:num="1">
            <w:col w:w="11200"/>
          </w:cols>
          <w:pgMar w:left="320" w:top="29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1A3FD6"/>
        </w:rPr>
        <w:t>Equity Award Timing</w:t>
      </w:r>
    </w:p>
    <w:p>
      <w:pPr>
        <w:spacing w:after="0" w:line="85" w:lineRule="exact"/>
        <w:rPr>
          <w:sz w:val="20"/>
          <w:szCs w:val="20"/>
          <w:color w:val="auto"/>
        </w:rPr>
      </w:pPr>
    </w:p>
    <w:p>
      <w:pPr>
        <w:jc w:val="both"/>
        <w:ind w:right="80"/>
        <w:spacing w:after="0" w:line="292" w:lineRule="auto"/>
        <w:rPr>
          <w:sz w:val="20"/>
          <w:szCs w:val="20"/>
          <w:color w:val="auto"/>
        </w:rPr>
      </w:pPr>
      <w:r>
        <w:rPr>
          <w:rFonts w:ascii="Arial" w:cs="Arial" w:eastAsia="Arial" w:hAnsi="Arial"/>
          <w:sz w:val="16"/>
          <w:szCs w:val="16"/>
          <w:color w:val="auto"/>
        </w:rPr>
        <w:t>Although we do not have a formal policy with respect to the timing of grants of our LTIP awards, the Compensation Committee has historically granted such awards on a predetermined annual schedule, at its January meeting each year. We also periodically grant off-cycle LTIP awards in connection with specific circumstances such as new hires, promotions, retention efforts or as replacement grants.</w:t>
      </w:r>
    </w:p>
    <w:p>
      <w:pPr>
        <w:spacing w:after="0" w:line="7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Company has never granted, and has no plans to grant, any LTIP award to current or new employees in anticipation of the release of material nonpublic information, and we do not accelerate or delay the release of material nonpublic information based on equity award grant dates or for the purpose of affecting the value of executive compensation. The Company does not backdate stock options or restricted stock units. The exercise price of stock options is no less than the closing price of MSCI stock on the effective date of the grant.</w:t>
      </w:r>
    </w:p>
    <w:p>
      <w:pPr>
        <w:spacing w:after="0" w:line="77"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color w:val="auto"/>
        </w:rPr>
        <w:t>During 2024, no equity awards were granted to named executive officers within four business days preceding or one business day after the filing of any Form 10-K, 10-Q or 8-K disclosing material nonpublic information.</w:t>
      </w:r>
    </w:p>
    <w:p>
      <w:pPr>
        <w:spacing w:after="0" w:line="2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Other Policies</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Clawback Policies</w:t>
      </w:r>
    </w:p>
    <w:p>
      <w:pPr>
        <w:spacing w:after="0" w:line="200"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We seek to recover, to the extent practicable, performance-based compensation from members of our Executive Committee and the Company’s Principal Accounting Officer under certain circumstances. In 2023, the Board adopted the Company’s Financial Statement Compensation Recoupment Policy in accordance with Rule 10D-1 and revised its Executive Committee Compensation Recoupment Policy. Under the Company’s Financial Statement Compensation Recoupment Policy, the Compensation Committee, will, to the extent permitted by law, recoup any incentive compensation (cash and equity) received by the Company’s Executive Officers, in the event of a restatement of financial-based measures (regardless of whether detrimental conduct has occurred). In the case of a restatement of financial-based measures, the Board will reasonably promptly recover the amount by which the incentive compensation received exceeds the amount that would have been received if the error had not been made within the three years preceding the date on which the Board determines that the financial measure contains a material error.</w:t>
      </w:r>
    </w:p>
    <w:p>
      <w:pPr>
        <w:spacing w:after="0" w:line="84"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Under the Company’s revised Executive Committee Compensation Recoupment Policy, the Compensation Committee may, to the extent permitted by applicable law, recoup any incentive compensation (cash and equity) received by members of the Company’s Executive Committee and the Company’s Principal Accounting Officer in the event of a restatement of financial or other performance-based measures (regardless of whether detrimental conduct has occurred) or in the event that detrimental conduct results in an increased level of performance goal achievement or otherwise causes material financial and/or reputational harm to the Company, as described below. In the case of a restatement of financial or other performance-based measures, the Board may recover up to the amount by which the incentive compensation received exceeds the amount that would have been received if the error had not been made within the two years preceding the date on which the Board determines that the financial or other measure contains a material error.</w:t>
      </w:r>
    </w:p>
    <w:p>
      <w:pPr>
        <w:spacing w:after="0" w:line="82"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Under the Company’s revised Executive Committee Compensation Recoupment Policy, in the case of detrimental conduct that, in the sole discretion of the Compensation Committee, has resulted in a level of achievement of a performance-based measure or caused material financial or reputational harm to the Company, the Board may recover incentive compensation, including service-vesting awards, received by the person during the two-year period immediately preceding the date on which such person engaged in such detrimental conduct (or the date on which the Compensation Committee discovers that such person engaged in detrimental conduct). Detrimental conduct consists of:</w:t>
      </w:r>
    </w:p>
    <w:p>
      <w:pPr>
        <w:spacing w:after="0" w:line="80" w:lineRule="exact"/>
        <w:rPr>
          <w:sz w:val="20"/>
          <w:szCs w:val="20"/>
          <w:color w:val="auto"/>
        </w:rPr>
      </w:pPr>
    </w:p>
    <w:p>
      <w:pPr>
        <w:ind w:left="200" w:hanging="192"/>
        <w:spacing w:after="0"/>
        <w:tabs>
          <w:tab w:leader="none" w:pos="200" w:val="left"/>
        </w:tabs>
        <w:numPr>
          <w:ilvl w:val="0"/>
          <w:numId w:val="88"/>
        </w:numPr>
        <w:rPr>
          <w:rFonts w:ascii="Arial" w:cs="Arial" w:eastAsia="Arial" w:hAnsi="Arial"/>
          <w:sz w:val="16"/>
          <w:szCs w:val="16"/>
          <w:color w:val="1A3FD6"/>
        </w:rPr>
      </w:pPr>
      <w:r>
        <w:rPr>
          <w:rFonts w:ascii="Arial" w:cs="Arial" w:eastAsia="Arial" w:hAnsi="Arial"/>
          <w:sz w:val="16"/>
          <w:szCs w:val="16"/>
          <w:color w:val="auto"/>
        </w:rPr>
        <w:t>willful misconduct or breach of a fiduciary duty with respect to the Company or any of its subsidiaries;</w:t>
      </w:r>
    </w:p>
    <w:p>
      <w:pPr>
        <w:spacing w:after="0" w:line="72" w:lineRule="exact"/>
        <w:rPr>
          <w:rFonts w:ascii="Arial" w:cs="Arial" w:eastAsia="Arial" w:hAnsi="Arial"/>
          <w:sz w:val="16"/>
          <w:szCs w:val="16"/>
          <w:color w:val="1A3FD6"/>
        </w:rPr>
      </w:pPr>
    </w:p>
    <w:p>
      <w:pPr>
        <w:ind w:left="200" w:right="500" w:hanging="192"/>
        <w:spacing w:after="0" w:line="316" w:lineRule="auto"/>
        <w:tabs>
          <w:tab w:leader="none" w:pos="197" w:val="left"/>
        </w:tabs>
        <w:numPr>
          <w:ilvl w:val="0"/>
          <w:numId w:val="88"/>
        </w:numPr>
        <w:rPr>
          <w:rFonts w:ascii="Arial" w:cs="Arial" w:eastAsia="Arial" w:hAnsi="Arial"/>
          <w:sz w:val="16"/>
          <w:szCs w:val="16"/>
          <w:color w:val="1A3FD6"/>
        </w:rPr>
      </w:pPr>
      <w:r>
        <w:rPr>
          <w:rFonts w:ascii="Arial" w:cs="Arial" w:eastAsia="Arial" w:hAnsi="Arial"/>
          <w:sz w:val="16"/>
          <w:szCs w:val="16"/>
          <w:color w:val="auto"/>
        </w:rPr>
        <w:t>conviction of, or having entered a plea bargain or settlement admitting guilt for, any crime of moral turpitude or felony under any applicable law with respect to the Company or any of its subsidiaries;</w:t>
      </w:r>
    </w:p>
    <w:p>
      <w:pPr>
        <w:spacing w:after="0" w:line="1" w:lineRule="exact"/>
        <w:rPr>
          <w:rFonts w:ascii="Arial" w:cs="Arial" w:eastAsia="Arial" w:hAnsi="Arial"/>
          <w:sz w:val="16"/>
          <w:szCs w:val="16"/>
          <w:color w:val="1A3FD6"/>
        </w:rPr>
      </w:pPr>
    </w:p>
    <w:p>
      <w:pPr>
        <w:ind w:left="200" w:hanging="192"/>
        <w:spacing w:after="0"/>
        <w:tabs>
          <w:tab w:leader="none" w:pos="200" w:val="left"/>
        </w:tabs>
        <w:numPr>
          <w:ilvl w:val="0"/>
          <w:numId w:val="88"/>
        </w:numPr>
        <w:rPr>
          <w:rFonts w:ascii="Arial" w:cs="Arial" w:eastAsia="Arial" w:hAnsi="Arial"/>
          <w:sz w:val="16"/>
          <w:szCs w:val="16"/>
          <w:color w:val="1A3FD6"/>
        </w:rPr>
      </w:pPr>
      <w:r>
        <w:rPr>
          <w:rFonts w:ascii="Arial" w:cs="Arial" w:eastAsia="Arial" w:hAnsi="Arial"/>
          <w:sz w:val="16"/>
          <w:szCs w:val="16"/>
          <w:color w:val="auto"/>
        </w:rPr>
        <w:t>commission of an act of fraud, embezzlement or misappropriation, with respect to the Company or any of its subsidiaries;</w:t>
      </w:r>
    </w:p>
    <w:p>
      <w:pPr>
        <w:spacing w:after="0" w:line="72" w:lineRule="exact"/>
        <w:rPr>
          <w:rFonts w:ascii="Arial" w:cs="Arial" w:eastAsia="Arial" w:hAnsi="Arial"/>
          <w:sz w:val="16"/>
          <w:szCs w:val="16"/>
          <w:color w:val="1A3FD6"/>
        </w:rPr>
      </w:pPr>
    </w:p>
    <w:p>
      <w:pPr>
        <w:ind w:left="200" w:right="100" w:hanging="192"/>
        <w:spacing w:after="0" w:line="308" w:lineRule="auto"/>
        <w:tabs>
          <w:tab w:leader="none" w:pos="197" w:val="left"/>
        </w:tabs>
        <w:numPr>
          <w:ilvl w:val="0"/>
          <w:numId w:val="88"/>
        </w:numPr>
        <w:rPr>
          <w:rFonts w:ascii="Arial" w:cs="Arial" w:eastAsia="Arial" w:hAnsi="Arial"/>
          <w:sz w:val="16"/>
          <w:szCs w:val="16"/>
          <w:color w:val="1A3FD6"/>
        </w:rPr>
      </w:pPr>
      <w:r>
        <w:rPr>
          <w:rFonts w:ascii="Arial" w:cs="Arial" w:eastAsia="Arial" w:hAnsi="Arial"/>
          <w:sz w:val="16"/>
          <w:szCs w:val="16"/>
          <w:color w:val="auto"/>
        </w:rPr>
        <w:t>breach of any restrictive covenant to which such person is subject contained in any applicable agreement or arrangement with the Company or any of its subsidiaries; and</w:t>
      </w:r>
    </w:p>
    <w:p>
      <w:pPr>
        <w:ind w:left="200" w:right="340" w:hanging="192"/>
        <w:spacing w:after="0" w:line="321" w:lineRule="auto"/>
        <w:tabs>
          <w:tab w:leader="none" w:pos="197" w:val="left"/>
        </w:tabs>
        <w:numPr>
          <w:ilvl w:val="0"/>
          <w:numId w:val="88"/>
        </w:numPr>
        <w:rPr>
          <w:rFonts w:ascii="Arial" w:cs="Arial" w:eastAsia="Arial" w:hAnsi="Arial"/>
          <w:sz w:val="16"/>
          <w:szCs w:val="16"/>
          <w:color w:val="1A3FD6"/>
        </w:rPr>
      </w:pPr>
      <w:r>
        <w:rPr>
          <w:rFonts w:ascii="Arial" w:cs="Arial" w:eastAsia="Arial" w:hAnsi="Arial"/>
          <w:sz w:val="16"/>
          <w:szCs w:val="16"/>
          <w:color w:val="auto"/>
        </w:rPr>
        <w:t>failure to take action with respect to any acts or conduct described above when taken by another person that such person has actual knowledge of or directing any other person to take any of the actions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712470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2" w:right="379" w:bottom="1440" w:gutter="0" w:footer="0" w:header="0"/>
          <w:type w:val="continuous"/>
        </w:sectPr>
      </w:pPr>
    </w:p>
    <w:bookmarkStart w:id="83" w:name="page84"/>
    <w:bookmarkEnd w:id="83"/>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82</w:t>
      </w:r>
      <w:r>
        <w:rPr>
          <w:sz w:val="20"/>
          <w:szCs w:val="20"/>
          <w:color w:val="auto"/>
        </w:rPr>
        <w:tab/>
      </w:r>
      <w:r>
        <w:rPr>
          <w:rFonts w:ascii="Arial" w:cs="Arial" w:eastAsia="Arial" w:hAnsi="Arial"/>
          <w:sz w:val="14"/>
          <w:szCs w:val="14"/>
          <w:b w:val="1"/>
          <w:bCs w:val="1"/>
          <w:color w:val="1A3FD6"/>
        </w:rPr>
        <w:t>2025 PROXY STATEMENT</w:t>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Executive Committee Compensation Recoupment Policy applies to all incentive compensation (cash and equity, including service-vesting awards in the case of detrimental conduct) granted on or after February 7, 2019. The Financial Statement Compensation Recoupment Policy applies to all incentive compensation (cash and equity) that is determined based on goals attained in any of the three completed fiscal years (i.e., compensation is “received”), beginning with the fiscal year ended December 31, 2023.</w:t>
      </w:r>
    </w:p>
    <w:p>
      <w:pPr>
        <w:spacing w:after="0" w:line="39"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Anti-Hedging and Anti-Pledging Policy</w:t>
      </w:r>
    </w:p>
    <w:p>
      <w:pPr>
        <w:spacing w:after="0" w:line="200"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We prohibit all directors and employees, including all NEOs, from hedging or pledging the Company’s common stock or engaging in short sales, purchases or sales of options, puts or calls, as well as derivatives such as swaps, forwards or futures and trading on a short-term basis in the Company’s common stock.</w:t>
      </w:r>
    </w:p>
    <w:p>
      <w:pPr>
        <w:spacing w:after="0" w:line="6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Tax Considerations</w:t>
      </w:r>
    </w:p>
    <w:p>
      <w:pPr>
        <w:spacing w:after="0" w:line="181" w:lineRule="exact"/>
        <w:rPr>
          <w:sz w:val="20"/>
          <w:szCs w:val="20"/>
          <w:color w:val="auto"/>
        </w:rPr>
      </w:pPr>
    </w:p>
    <w:p>
      <w:pPr>
        <w:ind w:right="620"/>
        <w:spacing w:after="0" w:line="321" w:lineRule="auto"/>
        <w:rPr>
          <w:sz w:val="20"/>
          <w:szCs w:val="20"/>
          <w:color w:val="auto"/>
        </w:rPr>
      </w:pPr>
      <w:r>
        <w:rPr>
          <w:rFonts w:ascii="Arial" w:cs="Arial" w:eastAsia="Arial" w:hAnsi="Arial"/>
          <w:sz w:val="16"/>
          <w:szCs w:val="16"/>
          <w:color w:val="auto"/>
        </w:rPr>
        <w:t>The Compensation Committee takes into consideration the tax implications of our executive compensation program, including with respect to the tax deductibility of compensation paid under Section 162(m) of the Internal Revenue Code.</w:t>
      </w:r>
    </w:p>
    <w:p>
      <w:pPr>
        <w:spacing w:after="0" w:line="34"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In the exercise of its business judgment, and in accordance with its compensation philosophy, the Compensation Committee continues to have flexibility to award compensation that is not tax deductible if it determines that such award is in our shareholders’ best interests and is necessary to comply with contractual commitments, or to maintain flexibility needed to attract talent, promote retention or recognize and reward desired performance.</w:t>
      </w:r>
    </w:p>
    <w:p>
      <w:pPr>
        <w:spacing w:after="0" w:line="6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Compensation Risk Assessment</w:t>
      </w:r>
    </w:p>
    <w:p>
      <w:pPr>
        <w:spacing w:after="0" w:line="181" w:lineRule="exact"/>
        <w:rPr>
          <w:sz w:val="20"/>
          <w:szCs w:val="20"/>
          <w:color w:val="auto"/>
        </w:rPr>
      </w:pPr>
    </w:p>
    <w:p>
      <w:pPr>
        <w:jc w:val="both"/>
        <w:ind w:right="260"/>
        <w:spacing w:after="0" w:line="292" w:lineRule="auto"/>
        <w:rPr>
          <w:sz w:val="20"/>
          <w:szCs w:val="20"/>
          <w:color w:val="auto"/>
        </w:rPr>
      </w:pPr>
      <w:r>
        <w:rPr>
          <w:rFonts w:ascii="Arial" w:cs="Arial" w:eastAsia="Arial" w:hAnsi="Arial"/>
          <w:sz w:val="16"/>
          <w:szCs w:val="16"/>
          <w:color w:val="auto"/>
        </w:rPr>
        <w:t>The Compensation Committee believes that the design, implementation and governance of our executive compensation program are consistent with high standards of risk management. Our executive compensation program reflects an appropriate mix of compensation elements, balancing current and long-term performance objectives, cash and equity compensation, and risks and rewards.</w:t>
      </w:r>
    </w:p>
    <w:p>
      <w:pPr>
        <w:spacing w:after="0" w:line="71" w:lineRule="exact"/>
        <w:rPr>
          <w:sz w:val="20"/>
          <w:szCs w:val="20"/>
          <w:color w:val="auto"/>
        </w:rPr>
      </w:pPr>
    </w:p>
    <w:p>
      <w:pPr>
        <w:ind w:left="200" w:right="20" w:hanging="192"/>
        <w:spacing w:after="0" w:line="304" w:lineRule="auto"/>
        <w:tabs>
          <w:tab w:leader="none" w:pos="197" w:val="left"/>
        </w:tabs>
        <w:numPr>
          <w:ilvl w:val="0"/>
          <w:numId w:val="89"/>
        </w:numPr>
        <w:rPr>
          <w:rFonts w:ascii="Arial" w:cs="Arial" w:eastAsia="Arial" w:hAnsi="Arial"/>
          <w:sz w:val="16"/>
          <w:szCs w:val="16"/>
          <w:color w:val="1A3FD6"/>
        </w:rPr>
      </w:pPr>
      <w:r>
        <w:rPr>
          <w:rFonts w:ascii="Arial" w:cs="Arial" w:eastAsia="Arial" w:hAnsi="Arial"/>
          <w:sz w:val="16"/>
          <w:szCs w:val="16"/>
          <w:color w:val="auto"/>
        </w:rPr>
        <w:t>The compensation framework used for making compensation decisions is multi-faceted as it incorporates multiple metrics over varying time periods and is subject to the application of informed judgment by the Compensation Committee.</w:t>
      </w:r>
    </w:p>
    <w:p>
      <w:pPr>
        <w:spacing w:after="0" w:line="6" w:lineRule="exact"/>
        <w:rPr>
          <w:rFonts w:ascii="Arial" w:cs="Arial" w:eastAsia="Arial" w:hAnsi="Arial"/>
          <w:sz w:val="16"/>
          <w:szCs w:val="16"/>
          <w:color w:val="1A3FD6"/>
        </w:rPr>
      </w:pPr>
    </w:p>
    <w:p>
      <w:pPr>
        <w:ind w:left="200" w:right="80" w:hanging="192"/>
        <w:spacing w:after="0" w:line="292" w:lineRule="auto"/>
        <w:tabs>
          <w:tab w:leader="none" w:pos="197" w:val="left"/>
        </w:tabs>
        <w:numPr>
          <w:ilvl w:val="0"/>
          <w:numId w:val="89"/>
        </w:numPr>
        <w:rPr>
          <w:rFonts w:ascii="Arial" w:cs="Arial" w:eastAsia="Arial" w:hAnsi="Arial"/>
          <w:sz w:val="16"/>
          <w:szCs w:val="16"/>
          <w:color w:val="1A3FD6"/>
        </w:rPr>
      </w:pPr>
      <w:r>
        <w:rPr>
          <w:rFonts w:ascii="Arial" w:cs="Arial" w:eastAsia="Arial" w:hAnsi="Arial"/>
          <w:sz w:val="16"/>
          <w:szCs w:val="16"/>
          <w:color w:val="auto"/>
        </w:rPr>
        <w:t>To further ensure that the interests of our NEOs are aligned with those of our shareholders, a significant portion of executive officer long-term incentive compensation is awarded as equity subject to vesting requirements. Awards vest over a multi-year period, and in the case of performance-based awards, vest based on achievement of applicable performance goals at the end of a relevant performance period.</w:t>
      </w:r>
    </w:p>
    <w:p>
      <w:pPr>
        <w:spacing w:after="0" w:line="16" w:lineRule="exact"/>
        <w:rPr>
          <w:rFonts w:ascii="Arial" w:cs="Arial" w:eastAsia="Arial" w:hAnsi="Arial"/>
          <w:sz w:val="16"/>
          <w:szCs w:val="16"/>
          <w:color w:val="1A3FD6"/>
        </w:rPr>
      </w:pPr>
    </w:p>
    <w:p>
      <w:pPr>
        <w:ind w:left="200" w:hanging="192"/>
        <w:spacing w:after="0" w:line="304" w:lineRule="auto"/>
        <w:tabs>
          <w:tab w:leader="none" w:pos="197" w:val="left"/>
        </w:tabs>
        <w:numPr>
          <w:ilvl w:val="0"/>
          <w:numId w:val="89"/>
        </w:numPr>
        <w:rPr>
          <w:rFonts w:ascii="Arial" w:cs="Arial" w:eastAsia="Arial" w:hAnsi="Arial"/>
          <w:sz w:val="16"/>
          <w:szCs w:val="16"/>
          <w:color w:val="1A3FD6"/>
        </w:rPr>
      </w:pPr>
      <w:r>
        <w:rPr>
          <w:rFonts w:ascii="Arial" w:cs="Arial" w:eastAsia="Arial" w:hAnsi="Arial"/>
          <w:sz w:val="16"/>
          <w:szCs w:val="16"/>
          <w:color w:val="auto"/>
        </w:rPr>
        <w:t>Executive Committee members are required to meet the applicable stock ownership guidelines described under “Stock Ownership Guidelines” on page 80 of this Proxy Statement.</w:t>
      </w:r>
    </w:p>
    <w:p>
      <w:pPr>
        <w:spacing w:after="0" w:line="6" w:lineRule="exact"/>
        <w:rPr>
          <w:rFonts w:ascii="Arial" w:cs="Arial" w:eastAsia="Arial" w:hAnsi="Arial"/>
          <w:sz w:val="16"/>
          <w:szCs w:val="16"/>
          <w:color w:val="1A3FD6"/>
        </w:rPr>
      </w:pPr>
    </w:p>
    <w:p>
      <w:pPr>
        <w:ind w:left="200" w:hanging="192"/>
        <w:spacing w:after="0"/>
        <w:tabs>
          <w:tab w:leader="none" w:pos="200" w:val="left"/>
        </w:tabs>
        <w:numPr>
          <w:ilvl w:val="0"/>
          <w:numId w:val="89"/>
        </w:numPr>
        <w:rPr>
          <w:rFonts w:ascii="Arial" w:cs="Arial" w:eastAsia="Arial" w:hAnsi="Arial"/>
          <w:sz w:val="16"/>
          <w:szCs w:val="16"/>
          <w:color w:val="1A3FD6"/>
        </w:rPr>
      </w:pPr>
      <w:r>
        <w:rPr>
          <w:rFonts w:ascii="Arial" w:cs="Arial" w:eastAsia="Arial" w:hAnsi="Arial"/>
          <w:sz w:val="16"/>
          <w:szCs w:val="16"/>
          <w:color w:val="auto"/>
        </w:rPr>
        <w:t>Incentive compensation is subject to the clawback policies described under “Clawback Policies” on page 81 of this Proxy Statement.</w:t>
      </w:r>
    </w:p>
    <w:p>
      <w:pPr>
        <w:spacing w:after="0" w:line="140" w:lineRule="exact"/>
        <w:rPr>
          <w:sz w:val="20"/>
          <w:szCs w:val="20"/>
          <w:color w:val="auto"/>
        </w:rPr>
      </w:pPr>
    </w:p>
    <w:p>
      <w:pPr>
        <w:jc w:val="both"/>
        <w:ind w:right="360"/>
        <w:spacing w:after="0" w:line="292" w:lineRule="auto"/>
        <w:rPr>
          <w:sz w:val="20"/>
          <w:szCs w:val="20"/>
          <w:color w:val="auto"/>
        </w:rPr>
      </w:pPr>
      <w:r>
        <w:rPr>
          <w:rFonts w:ascii="Arial" w:cs="Arial" w:eastAsia="Arial" w:hAnsi="Arial"/>
          <w:sz w:val="16"/>
          <w:szCs w:val="16"/>
          <w:color w:val="auto"/>
        </w:rPr>
        <w:t>Based on these features, we believe our executive compensation program effectively (i) ensures that our compensation opportunities do not encourage excessive risk taking, (ii) keeps our NEOs focused on the creation of long-term, sustainable value for our shareholders and (iii) provides competitive and appropriate levels of compensation over time.</w:t>
      </w:r>
    </w:p>
    <w:p>
      <w:pPr>
        <w:spacing w:after="0" w:line="57"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In 2024, the Compensation Committee reviewed our compensation policies as generally applicable to all of our employees and believes that our policies do not encourage excessive or unnecessary risk-taking and that any level of risk they do encourage is not reasonably likely to have a material adverse effect on the Company. Semler Brossy assisted the Compensation Committee with its review of our compensation program, and the Compensation Committee reviewed materials previously prepared by Semler Brossy related to our compensation program, including the Company’s LTIP. The Compensation Committee also reviewed materials previously prepared by a third-party consultant related to certain of the Company’s variable incentive plans, including the AIP, from a risk and governance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8420"/>
              <w:spacing w:after="0"/>
              <w:rPr>
                <w:sz w:val="20"/>
                <w:szCs w:val="20"/>
                <w:color w:val="auto"/>
              </w:rPr>
            </w:pPr>
            <w:r>
              <w:rPr>
                <w:rFonts w:ascii="Arial" w:cs="Arial" w:eastAsia="Arial" w:hAnsi="Arial"/>
                <w:sz w:val="14"/>
                <w:szCs w:val="14"/>
                <w:b w:val="1"/>
                <w:bCs w:val="1"/>
                <w:color w:val="1A3FD6"/>
              </w:rPr>
              <w:t>Compensation Matters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83</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Compensation, Talent and Culture Committee Report</w:t>
      </w:r>
    </w:p>
    <w:p>
      <w:pPr>
        <w:spacing w:after="0" w:line="18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the Compensation Committee of the Board of Directors of MSCI Inc., have reviewed and discussed with management the Compensation Discussion and Analysis above. Based on this review and these discussions, the Compensation Committee recommended to the Board that the Compensation Discussion and Analysis be included in this Proxy Statement and incorporated by reference into the Company’s 2024 Annual Report on Form 10-K filed with the Securities and Exchange Commission.</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 xml:space="preserve">Jacques P. Perold </w:t>
      </w:r>
      <w:r>
        <w:rPr>
          <w:rFonts w:ascii="Arial" w:cs="Arial" w:eastAsia="Arial" w:hAnsi="Arial"/>
          <w:sz w:val="16"/>
          <w:szCs w:val="16"/>
          <w:color w:val="000000"/>
        </w:rPr>
        <w:t>(Chair)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Wayne Edmunds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Robin L. Matlock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Linda H. Riefler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Paula Volent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689610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85" w:name="page86"/>
    <w:bookmarkEnd w:id="85"/>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84</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Executive Compensation Tables</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Summary Compensation Table</w:t>
      </w:r>
    </w:p>
    <w:p>
      <w:pPr>
        <w:spacing w:after="0" w:line="146"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auto"/>
        </w:rPr>
        <w:t>The following table sets forth information regarding compensation paid or awarded by MSCI to the Company’s NEOs during fiscal years 2024, 2023 and 2022.</w:t>
      </w:r>
    </w:p>
    <w:p>
      <w:pPr>
        <w:spacing w:after="0" w:line="60" w:lineRule="exact"/>
        <w:rPr>
          <w:sz w:val="20"/>
          <w:szCs w:val="20"/>
          <w:color w:val="auto"/>
        </w:rPr>
      </w:pPr>
    </w:p>
    <w:p>
      <w:pPr>
        <w:ind w:right="240"/>
        <w:spacing w:after="0" w:line="321" w:lineRule="auto"/>
        <w:rPr>
          <w:sz w:val="20"/>
          <w:szCs w:val="20"/>
          <w:color w:val="auto"/>
        </w:rPr>
      </w:pPr>
      <w:r>
        <w:rPr>
          <w:rFonts w:ascii="Arial" w:cs="Arial" w:eastAsia="Arial" w:hAnsi="Arial"/>
          <w:sz w:val="16"/>
          <w:szCs w:val="16"/>
          <w:color w:val="auto"/>
        </w:rPr>
        <w:t>Certain amounts paid to Mr. Pettit accrued in British Pounds Sterling. In the tables below, where applicable, these amounts were converted to U.S. dollars using the fiscal year average of daily spot rates of £1 to $1.278, $1.243 and $1.237 for fiscal 2024, 2023 and 2022, respectively.</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20" w:type="dxa"/>
            <w:vAlign w:val="bottom"/>
          </w:tcPr>
          <w:p>
            <w:pPr>
              <w:jc w:val="right"/>
              <w:ind w:right="101"/>
              <w:spacing w:after="0"/>
              <w:rPr>
                <w:sz w:val="20"/>
                <w:szCs w:val="20"/>
                <w:color w:val="auto"/>
              </w:rPr>
            </w:pPr>
            <w:r>
              <w:rPr>
                <w:rFonts w:ascii="Arial" w:cs="Arial" w:eastAsia="Arial" w:hAnsi="Arial"/>
                <w:sz w:val="14"/>
                <w:szCs w:val="14"/>
                <w:b w:val="1"/>
                <w:bCs w:val="1"/>
                <w:color w:val="auto"/>
              </w:rPr>
              <w:t>Non-Equity</w:t>
            </w:r>
          </w:p>
        </w:tc>
        <w:tc>
          <w:tcPr>
            <w:tcW w:w="1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Fiscal</w:t>
            </w: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Salary</w:t>
            </w:r>
          </w:p>
        </w:tc>
        <w:tc>
          <w:tcPr>
            <w:tcW w:w="7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Bonus</w:t>
            </w:r>
          </w:p>
        </w:tc>
        <w:tc>
          <w:tcPr>
            <w:tcW w:w="1080" w:type="dxa"/>
            <w:vAlign w:val="bottom"/>
          </w:tcPr>
          <w:p>
            <w:pPr>
              <w:jc w:val="right"/>
              <w:ind w:right="81"/>
              <w:spacing w:after="0"/>
              <w:rPr>
                <w:sz w:val="20"/>
                <w:szCs w:val="20"/>
                <w:color w:val="auto"/>
              </w:rPr>
            </w:pPr>
            <w:r>
              <w:rPr>
                <w:rFonts w:ascii="Arial" w:cs="Arial" w:eastAsia="Arial" w:hAnsi="Arial"/>
                <w:sz w:val="14"/>
                <w:szCs w:val="14"/>
                <w:b w:val="1"/>
                <w:bCs w:val="1"/>
                <w:color w:val="auto"/>
              </w:rPr>
              <w:t>Stock</w:t>
            </w:r>
          </w:p>
        </w:tc>
        <w:tc>
          <w:tcPr>
            <w:tcW w:w="1140" w:type="dxa"/>
            <w:vAlign w:val="bottom"/>
          </w:tcPr>
          <w:p>
            <w:pPr>
              <w:jc w:val="right"/>
              <w:ind w:right="141"/>
              <w:spacing w:after="0"/>
              <w:rPr>
                <w:sz w:val="20"/>
                <w:szCs w:val="20"/>
                <w:color w:val="auto"/>
              </w:rPr>
            </w:pPr>
            <w:r>
              <w:rPr>
                <w:rFonts w:ascii="Arial" w:cs="Arial" w:eastAsia="Arial" w:hAnsi="Arial"/>
                <w:sz w:val="14"/>
                <w:szCs w:val="14"/>
                <w:b w:val="1"/>
                <w:bCs w:val="1"/>
                <w:color w:val="auto"/>
              </w:rPr>
              <w:t>Option</w:t>
            </w:r>
          </w:p>
        </w:tc>
        <w:tc>
          <w:tcPr>
            <w:tcW w:w="1420" w:type="dxa"/>
            <w:vAlign w:val="bottom"/>
          </w:tcPr>
          <w:p>
            <w:pPr>
              <w:jc w:val="right"/>
              <w:ind w:right="101"/>
              <w:spacing w:after="0"/>
              <w:rPr>
                <w:sz w:val="20"/>
                <w:szCs w:val="20"/>
                <w:color w:val="auto"/>
              </w:rPr>
            </w:pPr>
            <w:r>
              <w:rPr>
                <w:rFonts w:ascii="Arial" w:cs="Arial" w:eastAsia="Arial" w:hAnsi="Arial"/>
                <w:sz w:val="14"/>
                <w:szCs w:val="14"/>
                <w:b w:val="1"/>
                <w:bCs w:val="1"/>
                <w:color w:val="auto"/>
              </w:rPr>
              <w:t>Incentive Plan</w:t>
            </w:r>
          </w:p>
        </w:tc>
        <w:tc>
          <w:tcPr>
            <w:tcW w:w="1340" w:type="dxa"/>
            <w:vAlign w:val="bottom"/>
          </w:tcPr>
          <w:p>
            <w:pPr>
              <w:jc w:val="right"/>
              <w:ind w:right="62"/>
              <w:spacing w:after="0"/>
              <w:rPr>
                <w:sz w:val="20"/>
                <w:szCs w:val="20"/>
                <w:color w:val="auto"/>
              </w:rPr>
            </w:pPr>
            <w:r>
              <w:rPr>
                <w:rFonts w:ascii="Arial" w:cs="Arial" w:eastAsia="Arial" w:hAnsi="Arial"/>
                <w:sz w:val="14"/>
                <w:szCs w:val="14"/>
                <w:b w:val="1"/>
                <w:bCs w:val="1"/>
                <w:color w:val="auto"/>
              </w:rPr>
              <w:t>All Other</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5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080" w:type="dxa"/>
            <w:vAlign w:val="bottom"/>
          </w:tcPr>
          <w:p>
            <w:pPr>
              <w:jc w:val="right"/>
              <w:ind w:right="81"/>
              <w:spacing w:after="0" w:line="159" w:lineRule="exact"/>
              <w:rPr>
                <w:sz w:val="20"/>
                <w:szCs w:val="20"/>
                <w:color w:val="auto"/>
              </w:rPr>
            </w:pPr>
            <w:r>
              <w:rPr>
                <w:rFonts w:ascii="Arial" w:cs="Arial" w:eastAsia="Arial" w:hAnsi="Arial"/>
                <w:sz w:val="14"/>
                <w:szCs w:val="14"/>
                <w:b w:val="1"/>
                <w:bCs w:val="1"/>
                <w:color w:val="auto"/>
              </w:rPr>
              <w:t>Awards</w:t>
            </w:r>
          </w:p>
        </w:tc>
        <w:tc>
          <w:tcPr>
            <w:tcW w:w="1140" w:type="dxa"/>
            <w:vAlign w:val="bottom"/>
          </w:tcPr>
          <w:p>
            <w:pPr>
              <w:jc w:val="right"/>
              <w:ind w:right="141"/>
              <w:spacing w:after="0" w:line="159" w:lineRule="exact"/>
              <w:rPr>
                <w:sz w:val="20"/>
                <w:szCs w:val="20"/>
                <w:color w:val="auto"/>
              </w:rPr>
            </w:pPr>
            <w:r>
              <w:rPr>
                <w:rFonts w:ascii="Arial" w:cs="Arial" w:eastAsia="Arial" w:hAnsi="Arial"/>
                <w:sz w:val="14"/>
                <w:szCs w:val="14"/>
                <w:b w:val="1"/>
                <w:bCs w:val="1"/>
                <w:color w:val="auto"/>
              </w:rPr>
              <w:t>Awards</w:t>
            </w:r>
          </w:p>
        </w:tc>
        <w:tc>
          <w:tcPr>
            <w:tcW w:w="1420" w:type="dxa"/>
            <w:vAlign w:val="bottom"/>
          </w:tcPr>
          <w:p>
            <w:pPr>
              <w:jc w:val="right"/>
              <w:ind w:right="101"/>
              <w:spacing w:after="0" w:line="159" w:lineRule="exact"/>
              <w:rPr>
                <w:sz w:val="20"/>
                <w:szCs w:val="20"/>
                <w:color w:val="auto"/>
              </w:rPr>
            </w:pPr>
            <w:r>
              <w:rPr>
                <w:rFonts w:ascii="Arial" w:cs="Arial" w:eastAsia="Arial" w:hAnsi="Arial"/>
                <w:sz w:val="14"/>
                <w:szCs w:val="14"/>
                <w:b w:val="1"/>
                <w:bCs w:val="1"/>
                <w:color w:val="auto"/>
              </w:rPr>
              <w:t>Compensation</w:t>
            </w:r>
          </w:p>
        </w:tc>
        <w:tc>
          <w:tcPr>
            <w:tcW w:w="1340" w:type="dxa"/>
            <w:vAlign w:val="bottom"/>
          </w:tcPr>
          <w:p>
            <w:pPr>
              <w:jc w:val="right"/>
              <w:ind w:right="62"/>
              <w:spacing w:after="0" w:line="159" w:lineRule="exact"/>
              <w:rPr>
                <w:sz w:val="20"/>
                <w:szCs w:val="20"/>
                <w:color w:val="auto"/>
              </w:rPr>
            </w:pPr>
            <w:r>
              <w:rPr>
                <w:rFonts w:ascii="Arial" w:cs="Arial" w:eastAsia="Arial" w:hAnsi="Arial"/>
                <w:sz w:val="14"/>
                <w:szCs w:val="14"/>
                <w:b w:val="1"/>
                <w:bCs w:val="1"/>
                <w:color w:val="auto"/>
              </w:rPr>
              <w:t>Compensation</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56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Principal Position</w:t>
            </w:r>
          </w:p>
        </w:tc>
        <w:tc>
          <w:tcPr>
            <w:tcW w:w="76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Year</w:t>
            </w:r>
          </w:p>
        </w:tc>
        <w:tc>
          <w:tcPr>
            <w:tcW w:w="1200" w:type="dxa"/>
            <w:vAlign w:val="bottom"/>
            <w:tcBorders>
              <w:bottom w:val="single" w:sz="8" w:color="1A3FD6"/>
            </w:tcBorders>
            <w:gridSpan w:val="2"/>
          </w:tcPr>
          <w:p>
            <w:pPr>
              <w:jc w:val="right"/>
              <w:ind w:right="1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700" w:type="dxa"/>
            <w:vAlign w:val="bottom"/>
            <w:tcBorders>
              <w:bottom w:val="single" w:sz="8" w:color="1A3FD6"/>
            </w:tcBorders>
          </w:tcPr>
          <w:p>
            <w:pPr>
              <w:jc w:val="right"/>
              <w:ind w:right="8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1A3FD6"/>
            </w:tcBorders>
          </w:tcPr>
          <w:p>
            <w:pPr>
              <w:jc w:val="right"/>
              <w:ind w:right="81"/>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(2)</w:t>
            </w:r>
          </w:p>
        </w:tc>
        <w:tc>
          <w:tcPr>
            <w:tcW w:w="1140" w:type="dxa"/>
            <w:vAlign w:val="bottom"/>
            <w:tcBorders>
              <w:bottom w:val="single" w:sz="8" w:color="1A3FD6"/>
            </w:tcBorders>
          </w:tcPr>
          <w:p>
            <w:pPr>
              <w:jc w:val="right"/>
              <w:ind w:right="141"/>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(2)</w:t>
            </w:r>
          </w:p>
        </w:tc>
        <w:tc>
          <w:tcPr>
            <w:tcW w:w="1420" w:type="dxa"/>
            <w:vAlign w:val="bottom"/>
            <w:tcBorders>
              <w:bottom w:val="single" w:sz="8" w:color="1A3FD6"/>
            </w:tcBorders>
          </w:tcPr>
          <w:p>
            <w:pPr>
              <w:jc w:val="right"/>
              <w:ind w:right="101"/>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(3)</w:t>
            </w:r>
          </w:p>
        </w:tc>
        <w:tc>
          <w:tcPr>
            <w:tcW w:w="1340" w:type="dxa"/>
            <w:vAlign w:val="bottom"/>
            <w:tcBorders>
              <w:bottom w:val="single" w:sz="8" w:color="1A3FD6"/>
            </w:tcBorders>
          </w:tcPr>
          <w:p>
            <w:pPr>
              <w:jc w:val="right"/>
              <w:ind w:right="62"/>
              <w:spacing w:after="0" w:line="214"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9"/>
                <w:szCs w:val="9"/>
                <w:b w:val="1"/>
                <w:bCs w:val="1"/>
                <w:color w:val="auto"/>
              </w:rPr>
              <w:t>(4)(5)(6)(7)</w:t>
            </w:r>
          </w:p>
        </w:tc>
        <w:tc>
          <w:tcPr>
            <w:tcW w:w="104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2560" w:type="dxa"/>
            <w:vAlign w:val="bottom"/>
          </w:tcPr>
          <w:p>
            <w:pPr>
              <w:ind w:left="20"/>
              <w:spacing w:after="0"/>
              <w:rPr>
                <w:sz w:val="20"/>
                <w:szCs w:val="20"/>
                <w:color w:val="auto"/>
              </w:rPr>
            </w:pPr>
            <w:r>
              <w:rPr>
                <w:rFonts w:ascii="Arial" w:cs="Arial" w:eastAsia="Arial" w:hAnsi="Arial"/>
                <w:sz w:val="16"/>
                <w:szCs w:val="16"/>
                <w:b w:val="1"/>
                <w:bCs w:val="1"/>
                <w:color w:val="1A3FD6"/>
              </w:rPr>
              <w:t>Henry A. Fernandez</w:t>
            </w:r>
          </w:p>
        </w:tc>
        <w:tc>
          <w:tcPr>
            <w:tcW w:w="760" w:type="dxa"/>
            <w:vAlign w:val="bottom"/>
          </w:tcPr>
          <w:p>
            <w:pPr>
              <w:jc w:val="right"/>
              <w:spacing w:after="0"/>
              <w:rPr>
                <w:sz w:val="20"/>
                <w:szCs w:val="20"/>
                <w:color w:val="auto"/>
              </w:rPr>
            </w:pPr>
            <w:r>
              <w:rPr>
                <w:rFonts w:ascii="Arial" w:cs="Arial" w:eastAsia="Arial" w:hAnsi="Arial"/>
                <w:sz w:val="16"/>
                <w:szCs w:val="16"/>
                <w:color w:val="auto"/>
              </w:rPr>
              <w:t>2024</w:t>
            </w:r>
          </w:p>
        </w:tc>
        <w:tc>
          <w:tcPr>
            <w:tcW w:w="1080" w:type="dxa"/>
            <w:vAlign w:val="bottom"/>
          </w:tcPr>
          <w:p>
            <w:pPr>
              <w:jc w:val="right"/>
              <w:spacing w:after="0"/>
              <w:rPr>
                <w:sz w:val="20"/>
                <w:szCs w:val="20"/>
                <w:color w:val="auto"/>
              </w:rPr>
            </w:pPr>
            <w:r>
              <w:rPr>
                <w:rFonts w:ascii="Arial" w:cs="Arial" w:eastAsia="Arial" w:hAnsi="Arial"/>
                <w:sz w:val="16"/>
                <w:szCs w:val="16"/>
                <w:color w:val="auto"/>
              </w:rPr>
              <w:t>1,000,000</w:t>
            </w:r>
          </w:p>
        </w:tc>
        <w:tc>
          <w:tcPr>
            <w:tcW w:w="12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3,480,002</w:t>
            </w: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8,120,159</w:t>
            </w:r>
          </w:p>
        </w:tc>
        <w:tc>
          <w:tcPr>
            <w:tcW w:w="1420" w:type="dxa"/>
            <w:vAlign w:val="bottom"/>
          </w:tcPr>
          <w:p>
            <w:pPr>
              <w:jc w:val="right"/>
              <w:ind w:right="161"/>
              <w:spacing w:after="0"/>
              <w:rPr>
                <w:sz w:val="20"/>
                <w:szCs w:val="20"/>
                <w:color w:val="auto"/>
              </w:rPr>
            </w:pPr>
            <w:r>
              <w:rPr>
                <w:rFonts w:ascii="Arial" w:cs="Arial" w:eastAsia="Arial" w:hAnsi="Arial"/>
                <w:sz w:val="16"/>
                <w:szCs w:val="16"/>
                <w:color w:val="auto"/>
              </w:rPr>
              <w:t>1,357,720</w:t>
            </w: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1,738,726</w:t>
            </w:r>
          </w:p>
        </w:tc>
        <w:tc>
          <w:tcPr>
            <w:tcW w:w="1040" w:type="dxa"/>
            <w:vAlign w:val="bottom"/>
          </w:tcPr>
          <w:p>
            <w:pPr>
              <w:jc w:val="right"/>
              <w:spacing w:after="0"/>
              <w:rPr>
                <w:sz w:val="20"/>
                <w:szCs w:val="20"/>
                <w:color w:val="auto"/>
              </w:rPr>
            </w:pPr>
            <w:r>
              <w:rPr>
                <w:rFonts w:ascii="Arial" w:cs="Arial" w:eastAsia="Arial" w:hAnsi="Arial"/>
                <w:sz w:val="16"/>
                <w:szCs w:val="16"/>
                <w:color w:val="auto"/>
              </w:rPr>
              <w:t>15,696,607</w:t>
            </w:r>
          </w:p>
        </w:tc>
        <w:tc>
          <w:tcPr>
            <w:tcW w:w="0" w:type="dxa"/>
            <w:vAlign w:val="bottom"/>
          </w:tcPr>
          <w:p>
            <w:pPr>
              <w:spacing w:after="0"/>
              <w:rPr>
                <w:sz w:val="1"/>
                <w:szCs w:val="1"/>
                <w:color w:val="auto"/>
              </w:rPr>
            </w:pPr>
          </w:p>
        </w:tc>
      </w:tr>
      <w:tr>
        <w:trPr>
          <w:trHeight w:val="203"/>
        </w:trPr>
        <w:tc>
          <w:tcPr>
            <w:tcW w:w="2560" w:type="dxa"/>
            <w:vAlign w:val="bottom"/>
          </w:tcPr>
          <w:p>
            <w:pPr>
              <w:ind w:left="220"/>
              <w:spacing w:after="0"/>
              <w:rPr>
                <w:sz w:val="20"/>
                <w:szCs w:val="20"/>
                <w:color w:val="auto"/>
              </w:rPr>
            </w:pPr>
            <w:r>
              <w:rPr>
                <w:rFonts w:ascii="Arial" w:cs="Arial" w:eastAsia="Arial" w:hAnsi="Arial"/>
                <w:sz w:val="16"/>
                <w:szCs w:val="16"/>
                <w:color w:val="auto"/>
              </w:rPr>
              <w:t>Chairman and</w:t>
            </w:r>
          </w:p>
        </w:tc>
        <w:tc>
          <w:tcPr>
            <w:tcW w:w="760" w:type="dxa"/>
            <w:vAlign w:val="bottom"/>
          </w:tcPr>
          <w:p>
            <w:pPr>
              <w:jc w:val="right"/>
              <w:spacing w:after="0"/>
              <w:rPr>
                <w:sz w:val="20"/>
                <w:szCs w:val="20"/>
                <w:color w:val="auto"/>
              </w:rPr>
            </w:pPr>
            <w:r>
              <w:rPr>
                <w:rFonts w:ascii="Arial" w:cs="Arial" w:eastAsia="Arial" w:hAnsi="Arial"/>
                <w:sz w:val="16"/>
                <w:szCs w:val="16"/>
                <w:color w:val="auto"/>
              </w:rPr>
              <w:t>2023</w:t>
            </w:r>
          </w:p>
        </w:tc>
        <w:tc>
          <w:tcPr>
            <w:tcW w:w="1080" w:type="dxa"/>
            <w:vAlign w:val="bottom"/>
          </w:tcPr>
          <w:p>
            <w:pPr>
              <w:jc w:val="right"/>
              <w:spacing w:after="0"/>
              <w:rPr>
                <w:sz w:val="20"/>
                <w:szCs w:val="20"/>
                <w:color w:val="auto"/>
              </w:rPr>
            </w:pPr>
            <w:r>
              <w:rPr>
                <w:rFonts w:ascii="Arial" w:cs="Arial" w:eastAsia="Arial" w:hAnsi="Arial"/>
                <w:sz w:val="16"/>
                <w:szCs w:val="16"/>
                <w:color w:val="auto"/>
              </w:rPr>
              <w:t>1,000,000</w:t>
            </w:r>
          </w:p>
        </w:tc>
        <w:tc>
          <w:tcPr>
            <w:tcW w:w="12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5,500,207</w:t>
            </w: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5,500,190</w:t>
            </w:r>
          </w:p>
        </w:tc>
        <w:tc>
          <w:tcPr>
            <w:tcW w:w="1420" w:type="dxa"/>
            <w:vAlign w:val="bottom"/>
          </w:tcPr>
          <w:p>
            <w:pPr>
              <w:jc w:val="right"/>
              <w:ind w:right="161"/>
              <w:spacing w:after="0"/>
              <w:rPr>
                <w:sz w:val="20"/>
                <w:szCs w:val="20"/>
                <w:color w:val="auto"/>
              </w:rPr>
            </w:pPr>
            <w:r>
              <w:rPr>
                <w:rFonts w:ascii="Arial" w:cs="Arial" w:eastAsia="Arial" w:hAnsi="Arial"/>
                <w:sz w:val="16"/>
                <w:szCs w:val="16"/>
                <w:color w:val="auto"/>
              </w:rPr>
              <w:t>1,449,830</w:t>
            </w: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342,918</w:t>
            </w:r>
          </w:p>
        </w:tc>
        <w:tc>
          <w:tcPr>
            <w:tcW w:w="1040" w:type="dxa"/>
            <w:vAlign w:val="bottom"/>
          </w:tcPr>
          <w:p>
            <w:pPr>
              <w:jc w:val="right"/>
              <w:spacing w:after="0"/>
              <w:rPr>
                <w:sz w:val="20"/>
                <w:szCs w:val="20"/>
                <w:color w:val="auto"/>
              </w:rPr>
            </w:pPr>
            <w:r>
              <w:rPr>
                <w:rFonts w:ascii="Arial" w:cs="Arial" w:eastAsia="Arial" w:hAnsi="Arial"/>
                <w:sz w:val="16"/>
                <w:szCs w:val="16"/>
                <w:color w:val="auto"/>
              </w:rPr>
              <w:t>13,793,145</w:t>
            </w:r>
          </w:p>
        </w:tc>
        <w:tc>
          <w:tcPr>
            <w:tcW w:w="0" w:type="dxa"/>
            <w:vAlign w:val="bottom"/>
          </w:tcPr>
          <w:p>
            <w:pPr>
              <w:spacing w:after="0"/>
              <w:rPr>
                <w:sz w:val="1"/>
                <w:szCs w:val="1"/>
                <w:color w:val="auto"/>
              </w:rPr>
            </w:pPr>
          </w:p>
        </w:tc>
      </w:tr>
      <w:tr>
        <w:trPr>
          <w:trHeight w:val="215"/>
        </w:trPr>
        <w:tc>
          <w:tcPr>
            <w:tcW w:w="2560" w:type="dxa"/>
            <w:vAlign w:val="bottom"/>
          </w:tcPr>
          <w:p>
            <w:pPr>
              <w:ind w:left="220"/>
              <w:spacing w:after="0"/>
              <w:rPr>
                <w:sz w:val="20"/>
                <w:szCs w:val="20"/>
                <w:color w:val="auto"/>
              </w:rPr>
            </w:pPr>
            <w:r>
              <w:rPr>
                <w:rFonts w:ascii="Arial" w:cs="Arial" w:eastAsia="Arial" w:hAnsi="Arial"/>
                <w:sz w:val="16"/>
                <w:szCs w:val="16"/>
                <w:color w:val="auto"/>
              </w:rPr>
              <w:t>Chief Executive Officer</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2022</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1,000,000</w:t>
            </w:r>
          </w:p>
        </w:tc>
        <w:tc>
          <w:tcPr>
            <w:tcW w:w="120" w:type="dxa"/>
            <w:vAlign w:val="bottom"/>
          </w:tcPr>
          <w:p>
            <w:pPr>
              <w:spacing w:after="0"/>
              <w:rPr>
                <w:sz w:val="18"/>
                <w:szCs w:val="18"/>
                <w:color w:val="auto"/>
              </w:rPr>
            </w:pPr>
          </w:p>
        </w:tc>
        <w:tc>
          <w:tcPr>
            <w:tcW w:w="700" w:type="dxa"/>
            <w:vAlign w:val="bottom"/>
            <w:vMerge w:val="restart"/>
          </w:tcPr>
          <w:p>
            <w:pPr>
              <w:ind w:left="340"/>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141"/>
              <w:spacing w:after="0"/>
              <w:rPr>
                <w:sz w:val="20"/>
                <w:szCs w:val="20"/>
                <w:color w:val="auto"/>
              </w:rPr>
            </w:pPr>
            <w:r>
              <w:rPr>
                <w:rFonts w:ascii="Arial" w:cs="Arial" w:eastAsia="Arial" w:hAnsi="Arial"/>
                <w:sz w:val="16"/>
                <w:szCs w:val="16"/>
                <w:color w:val="auto"/>
              </w:rPr>
              <w:t>5,000,359</w:t>
            </w:r>
          </w:p>
        </w:tc>
        <w:tc>
          <w:tcPr>
            <w:tcW w:w="1140" w:type="dxa"/>
            <w:vAlign w:val="bottom"/>
            <w:vMerge w:val="restart"/>
          </w:tcPr>
          <w:p>
            <w:pPr>
              <w:jc w:val="right"/>
              <w:ind w:right="181"/>
              <w:spacing w:after="0"/>
              <w:rPr>
                <w:sz w:val="20"/>
                <w:szCs w:val="20"/>
                <w:color w:val="auto"/>
              </w:rPr>
            </w:pPr>
            <w:r>
              <w:rPr>
                <w:rFonts w:ascii="Arial" w:cs="Arial" w:eastAsia="Arial" w:hAnsi="Arial"/>
                <w:sz w:val="16"/>
                <w:szCs w:val="16"/>
                <w:color w:val="auto"/>
              </w:rPr>
              <w:t>5,000,159</w:t>
            </w:r>
          </w:p>
        </w:tc>
        <w:tc>
          <w:tcPr>
            <w:tcW w:w="1420" w:type="dxa"/>
            <w:vAlign w:val="bottom"/>
            <w:vMerge w:val="restart"/>
          </w:tcPr>
          <w:p>
            <w:pPr>
              <w:jc w:val="right"/>
              <w:ind w:right="161"/>
              <w:spacing w:after="0"/>
              <w:rPr>
                <w:sz w:val="20"/>
                <w:szCs w:val="20"/>
                <w:color w:val="auto"/>
              </w:rPr>
            </w:pPr>
            <w:r>
              <w:rPr>
                <w:rFonts w:ascii="Arial" w:cs="Arial" w:eastAsia="Arial" w:hAnsi="Arial"/>
                <w:sz w:val="16"/>
                <w:szCs w:val="16"/>
                <w:color w:val="auto"/>
              </w:rPr>
              <w:t>1,246,410</w:t>
            </w:r>
          </w:p>
        </w:tc>
        <w:tc>
          <w:tcPr>
            <w:tcW w:w="1340" w:type="dxa"/>
            <w:vAlign w:val="bottom"/>
            <w:vMerge w:val="restart"/>
          </w:tcPr>
          <w:p>
            <w:pPr>
              <w:jc w:val="right"/>
              <w:ind w:right="122"/>
              <w:spacing w:after="0"/>
              <w:rPr>
                <w:sz w:val="20"/>
                <w:szCs w:val="20"/>
                <w:color w:val="auto"/>
              </w:rPr>
            </w:pPr>
            <w:r>
              <w:rPr>
                <w:rFonts w:ascii="Arial" w:cs="Arial" w:eastAsia="Arial" w:hAnsi="Arial"/>
                <w:sz w:val="16"/>
                <w:szCs w:val="16"/>
                <w:color w:val="auto"/>
              </w:rPr>
              <w:t>751,888</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12,998,816</w:t>
            </w:r>
          </w:p>
        </w:tc>
        <w:tc>
          <w:tcPr>
            <w:tcW w:w="0" w:type="dxa"/>
            <w:vAlign w:val="bottom"/>
          </w:tcPr>
          <w:p>
            <w:pPr>
              <w:spacing w:after="0"/>
              <w:rPr>
                <w:sz w:val="1"/>
                <w:szCs w:val="1"/>
                <w:color w:val="auto"/>
              </w:rPr>
            </w:pPr>
          </w:p>
        </w:tc>
      </w:tr>
      <w:tr>
        <w:trPr>
          <w:trHeight w:val="88"/>
        </w:trPr>
        <w:tc>
          <w:tcPr>
            <w:tcW w:w="25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56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Andrew C. Wiechmann</w:t>
            </w:r>
          </w:p>
        </w:tc>
        <w:tc>
          <w:tcPr>
            <w:tcW w:w="760" w:type="dxa"/>
            <w:vAlign w:val="bottom"/>
            <w:shd w:val="clear" w:color="auto" w:fill="EDF0FC"/>
          </w:tcPr>
          <w:p>
            <w:pPr>
              <w:jc w:val="right"/>
              <w:spacing w:after="0"/>
              <w:rPr>
                <w:sz w:val="20"/>
                <w:szCs w:val="20"/>
                <w:color w:val="auto"/>
              </w:rPr>
            </w:pPr>
            <w:r>
              <w:rPr>
                <w:rFonts w:ascii="Arial" w:cs="Arial" w:eastAsia="Arial" w:hAnsi="Arial"/>
                <w:sz w:val="16"/>
                <w:szCs w:val="16"/>
                <w:color w:val="auto"/>
              </w:rPr>
              <w:t>2024</w:t>
            </w:r>
          </w:p>
        </w:tc>
        <w:tc>
          <w:tcPr>
            <w:tcW w:w="1080" w:type="dxa"/>
            <w:vAlign w:val="bottom"/>
            <w:shd w:val="clear" w:color="auto" w:fill="EDF0FC"/>
          </w:tcPr>
          <w:p>
            <w:pPr>
              <w:jc w:val="right"/>
              <w:spacing w:after="0"/>
              <w:rPr>
                <w:sz w:val="20"/>
                <w:szCs w:val="20"/>
                <w:color w:val="auto"/>
              </w:rPr>
            </w:pPr>
            <w:r>
              <w:rPr>
                <w:rFonts w:ascii="Arial" w:cs="Arial" w:eastAsia="Arial" w:hAnsi="Arial"/>
                <w:sz w:val="16"/>
                <w:szCs w:val="16"/>
                <w:color w:val="auto"/>
              </w:rPr>
              <w:t>550,000</w:t>
            </w:r>
          </w:p>
        </w:tc>
        <w:tc>
          <w:tcPr>
            <w:tcW w:w="120" w:type="dxa"/>
            <w:vAlign w:val="bottom"/>
            <w:shd w:val="clear" w:color="auto" w:fill="EDF0FC"/>
          </w:tcPr>
          <w:p>
            <w:pPr>
              <w:spacing w:after="0"/>
              <w:rPr>
                <w:sz w:val="19"/>
                <w:szCs w:val="19"/>
                <w:color w:val="auto"/>
              </w:rPr>
            </w:pPr>
          </w:p>
        </w:tc>
        <w:tc>
          <w:tcPr>
            <w:tcW w:w="700" w:type="dxa"/>
            <w:vAlign w:val="bottom"/>
            <w:shd w:val="clear" w:color="auto" w:fill="EDF0FC"/>
          </w:tcPr>
          <w:p>
            <w:pPr>
              <w:ind w:left="3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DF0FC"/>
          </w:tcPr>
          <w:p>
            <w:pPr>
              <w:jc w:val="right"/>
              <w:ind w:right="141"/>
              <w:spacing w:after="0"/>
              <w:rPr>
                <w:sz w:val="20"/>
                <w:szCs w:val="20"/>
                <w:color w:val="auto"/>
              </w:rPr>
            </w:pPr>
            <w:r>
              <w:rPr>
                <w:rFonts w:ascii="Arial" w:cs="Arial" w:eastAsia="Arial" w:hAnsi="Arial"/>
                <w:sz w:val="16"/>
                <w:szCs w:val="16"/>
                <w:color w:val="auto"/>
              </w:rPr>
              <w:t>1,590,679</w:t>
            </w:r>
          </w:p>
        </w:tc>
        <w:tc>
          <w:tcPr>
            <w:tcW w:w="1140" w:type="dxa"/>
            <w:vAlign w:val="bottom"/>
            <w:shd w:val="clear" w:color="auto" w:fill="EDF0FC"/>
          </w:tcPr>
          <w:p>
            <w:pPr>
              <w:jc w:val="right"/>
              <w:ind w:right="181"/>
              <w:spacing w:after="0"/>
              <w:rPr>
                <w:sz w:val="20"/>
                <w:szCs w:val="20"/>
                <w:color w:val="auto"/>
              </w:rPr>
            </w:pPr>
            <w:r>
              <w:rPr>
                <w:rFonts w:ascii="Arial" w:cs="Arial" w:eastAsia="Arial" w:hAnsi="Arial"/>
                <w:sz w:val="16"/>
                <w:szCs w:val="16"/>
                <w:color w:val="auto"/>
              </w:rPr>
              <w:t>1,060,070</w:t>
            </w:r>
          </w:p>
        </w:tc>
        <w:tc>
          <w:tcPr>
            <w:tcW w:w="1420" w:type="dxa"/>
            <w:vAlign w:val="bottom"/>
            <w:shd w:val="clear" w:color="auto" w:fill="EDF0FC"/>
          </w:tcPr>
          <w:p>
            <w:pPr>
              <w:jc w:val="right"/>
              <w:ind w:right="161"/>
              <w:spacing w:after="0"/>
              <w:rPr>
                <w:sz w:val="20"/>
                <w:szCs w:val="20"/>
                <w:color w:val="auto"/>
              </w:rPr>
            </w:pPr>
            <w:r>
              <w:rPr>
                <w:rFonts w:ascii="Arial" w:cs="Arial" w:eastAsia="Arial" w:hAnsi="Arial"/>
                <w:sz w:val="16"/>
                <w:szCs w:val="16"/>
                <w:color w:val="auto"/>
              </w:rPr>
              <w:t>727,350</w:t>
            </w:r>
          </w:p>
        </w:tc>
        <w:tc>
          <w:tcPr>
            <w:tcW w:w="1340" w:type="dxa"/>
            <w:vAlign w:val="bottom"/>
            <w:shd w:val="clear" w:color="auto" w:fill="EDF0FC"/>
          </w:tcPr>
          <w:p>
            <w:pPr>
              <w:jc w:val="right"/>
              <w:ind w:right="122"/>
              <w:spacing w:after="0"/>
              <w:rPr>
                <w:sz w:val="20"/>
                <w:szCs w:val="20"/>
                <w:color w:val="auto"/>
              </w:rPr>
            </w:pPr>
            <w:r>
              <w:rPr>
                <w:rFonts w:ascii="Arial" w:cs="Arial" w:eastAsia="Arial" w:hAnsi="Arial"/>
                <w:sz w:val="16"/>
                <w:szCs w:val="16"/>
                <w:color w:val="auto"/>
              </w:rPr>
              <w:t>83,756</w:t>
            </w:r>
          </w:p>
        </w:tc>
        <w:tc>
          <w:tcPr>
            <w:tcW w:w="10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4,011,855</w:t>
            </w:r>
          </w:p>
        </w:tc>
        <w:tc>
          <w:tcPr>
            <w:tcW w:w="0" w:type="dxa"/>
            <w:vAlign w:val="bottom"/>
          </w:tcPr>
          <w:p>
            <w:pPr>
              <w:spacing w:after="0"/>
              <w:rPr>
                <w:sz w:val="1"/>
                <w:szCs w:val="1"/>
                <w:color w:val="auto"/>
              </w:rPr>
            </w:pPr>
          </w:p>
        </w:tc>
      </w:tr>
      <w:tr>
        <w:trPr>
          <w:trHeight w:val="255"/>
        </w:trPr>
        <w:tc>
          <w:tcPr>
            <w:tcW w:w="2560" w:type="dxa"/>
            <w:vAlign w:val="bottom"/>
            <w:shd w:val="clear" w:color="auto" w:fill="EDF0FC"/>
          </w:tcPr>
          <w:p>
            <w:pPr>
              <w:ind w:left="220"/>
              <w:spacing w:after="0"/>
              <w:rPr>
                <w:sz w:val="20"/>
                <w:szCs w:val="20"/>
                <w:color w:val="auto"/>
              </w:rPr>
            </w:pPr>
            <w:r>
              <w:rPr>
                <w:rFonts w:ascii="Arial" w:cs="Arial" w:eastAsia="Arial" w:hAnsi="Arial"/>
                <w:sz w:val="16"/>
                <w:szCs w:val="16"/>
                <w:color w:val="auto"/>
              </w:rPr>
              <w:t>Chief Financial Officer</w:t>
            </w:r>
          </w:p>
        </w:tc>
        <w:tc>
          <w:tcPr>
            <w:tcW w:w="760" w:type="dxa"/>
            <w:vAlign w:val="bottom"/>
            <w:shd w:val="clear" w:color="auto" w:fill="EDF0FC"/>
          </w:tcPr>
          <w:p>
            <w:pPr>
              <w:jc w:val="right"/>
              <w:spacing w:after="0"/>
              <w:rPr>
                <w:sz w:val="20"/>
                <w:szCs w:val="20"/>
                <w:color w:val="auto"/>
              </w:rPr>
            </w:pPr>
            <w:r>
              <w:rPr>
                <w:rFonts w:ascii="Arial" w:cs="Arial" w:eastAsia="Arial" w:hAnsi="Arial"/>
                <w:sz w:val="16"/>
                <w:szCs w:val="16"/>
                <w:color w:val="auto"/>
              </w:rPr>
              <w:t>2023</w:t>
            </w:r>
          </w:p>
        </w:tc>
        <w:tc>
          <w:tcPr>
            <w:tcW w:w="1080" w:type="dxa"/>
            <w:vAlign w:val="bottom"/>
            <w:shd w:val="clear" w:color="auto" w:fill="EDF0FC"/>
          </w:tcPr>
          <w:p>
            <w:pPr>
              <w:jc w:val="right"/>
              <w:spacing w:after="0"/>
              <w:rPr>
                <w:sz w:val="20"/>
                <w:szCs w:val="20"/>
                <w:color w:val="auto"/>
              </w:rPr>
            </w:pPr>
            <w:r>
              <w:rPr>
                <w:rFonts w:ascii="Arial" w:cs="Arial" w:eastAsia="Arial" w:hAnsi="Arial"/>
                <w:sz w:val="16"/>
                <w:szCs w:val="16"/>
                <w:color w:val="auto"/>
              </w:rPr>
              <w:t>550,000</w:t>
            </w:r>
          </w:p>
        </w:tc>
        <w:tc>
          <w:tcPr>
            <w:tcW w:w="120" w:type="dxa"/>
            <w:vAlign w:val="bottom"/>
            <w:shd w:val="clear" w:color="auto" w:fill="EDF0FC"/>
          </w:tcPr>
          <w:p>
            <w:pPr>
              <w:spacing w:after="0"/>
              <w:rPr>
                <w:sz w:val="22"/>
                <w:szCs w:val="22"/>
                <w:color w:val="auto"/>
              </w:rPr>
            </w:pPr>
          </w:p>
        </w:tc>
        <w:tc>
          <w:tcPr>
            <w:tcW w:w="700" w:type="dxa"/>
            <w:vAlign w:val="bottom"/>
            <w:shd w:val="clear" w:color="auto" w:fill="EDF0FC"/>
          </w:tcPr>
          <w:p>
            <w:pPr>
              <w:ind w:left="3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DF0FC"/>
          </w:tcPr>
          <w:p>
            <w:pPr>
              <w:jc w:val="right"/>
              <w:ind w:right="141"/>
              <w:spacing w:after="0"/>
              <w:rPr>
                <w:sz w:val="20"/>
                <w:szCs w:val="20"/>
                <w:color w:val="auto"/>
              </w:rPr>
            </w:pPr>
            <w:r>
              <w:rPr>
                <w:rFonts w:ascii="Arial" w:cs="Arial" w:eastAsia="Arial" w:hAnsi="Arial"/>
                <w:sz w:val="16"/>
                <w:szCs w:val="16"/>
                <w:color w:val="auto"/>
              </w:rPr>
              <w:t>1,366,050</w:t>
            </w:r>
          </w:p>
        </w:tc>
        <w:tc>
          <w:tcPr>
            <w:tcW w:w="1140" w:type="dxa"/>
            <w:vAlign w:val="bottom"/>
            <w:shd w:val="clear" w:color="auto" w:fill="EDF0FC"/>
          </w:tcPr>
          <w:p>
            <w:pPr>
              <w:jc w:val="right"/>
              <w:ind w:right="181"/>
              <w:spacing w:after="0"/>
              <w:rPr>
                <w:sz w:val="20"/>
                <w:szCs w:val="20"/>
                <w:color w:val="auto"/>
              </w:rPr>
            </w:pPr>
            <w:r>
              <w:rPr>
                <w:rFonts w:ascii="Arial" w:cs="Arial" w:eastAsia="Arial" w:hAnsi="Arial"/>
                <w:sz w:val="16"/>
                <w:szCs w:val="16"/>
                <w:color w:val="auto"/>
              </w:rPr>
              <w:t>735,092</w:t>
            </w:r>
          </w:p>
        </w:tc>
        <w:tc>
          <w:tcPr>
            <w:tcW w:w="1420" w:type="dxa"/>
            <w:vAlign w:val="bottom"/>
            <w:shd w:val="clear" w:color="auto" w:fill="EDF0FC"/>
          </w:tcPr>
          <w:p>
            <w:pPr>
              <w:jc w:val="right"/>
              <w:ind w:right="161"/>
              <w:spacing w:after="0"/>
              <w:rPr>
                <w:sz w:val="20"/>
                <w:szCs w:val="20"/>
                <w:color w:val="auto"/>
              </w:rPr>
            </w:pPr>
            <w:r>
              <w:rPr>
                <w:rFonts w:ascii="Arial" w:cs="Arial" w:eastAsia="Arial" w:hAnsi="Arial"/>
                <w:sz w:val="16"/>
                <w:szCs w:val="16"/>
                <w:color w:val="auto"/>
              </w:rPr>
              <w:t>776,700</w:t>
            </w:r>
          </w:p>
        </w:tc>
        <w:tc>
          <w:tcPr>
            <w:tcW w:w="1340" w:type="dxa"/>
            <w:vAlign w:val="bottom"/>
            <w:shd w:val="clear" w:color="auto" w:fill="EDF0FC"/>
          </w:tcPr>
          <w:p>
            <w:pPr>
              <w:jc w:val="right"/>
              <w:ind w:right="122"/>
              <w:spacing w:after="0"/>
              <w:rPr>
                <w:sz w:val="20"/>
                <w:szCs w:val="20"/>
                <w:color w:val="auto"/>
              </w:rPr>
            </w:pPr>
            <w:r>
              <w:rPr>
                <w:rFonts w:ascii="Arial" w:cs="Arial" w:eastAsia="Arial" w:hAnsi="Arial"/>
                <w:sz w:val="16"/>
                <w:szCs w:val="16"/>
                <w:color w:val="auto"/>
              </w:rPr>
              <w:t>55,616</w:t>
            </w:r>
          </w:p>
        </w:tc>
        <w:tc>
          <w:tcPr>
            <w:tcW w:w="10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3,483,458</w:t>
            </w:r>
          </w:p>
        </w:tc>
        <w:tc>
          <w:tcPr>
            <w:tcW w:w="0" w:type="dxa"/>
            <w:vAlign w:val="bottom"/>
          </w:tcPr>
          <w:p>
            <w:pPr>
              <w:spacing w:after="0"/>
              <w:rPr>
                <w:sz w:val="1"/>
                <w:szCs w:val="1"/>
                <w:color w:val="auto"/>
              </w:rPr>
            </w:pPr>
          </w:p>
        </w:tc>
      </w:tr>
      <w:tr>
        <w:trPr>
          <w:trHeight w:val="259"/>
        </w:trPr>
        <w:tc>
          <w:tcPr>
            <w:tcW w:w="2560" w:type="dxa"/>
            <w:vAlign w:val="bottom"/>
            <w:shd w:val="clear" w:color="auto" w:fill="EDF0FC"/>
          </w:tcPr>
          <w:p>
            <w:pPr>
              <w:spacing w:after="0"/>
              <w:rPr>
                <w:sz w:val="22"/>
                <w:szCs w:val="22"/>
                <w:color w:val="auto"/>
              </w:rPr>
            </w:pPr>
          </w:p>
        </w:tc>
        <w:tc>
          <w:tcPr>
            <w:tcW w:w="760" w:type="dxa"/>
            <w:vAlign w:val="bottom"/>
            <w:shd w:val="clear" w:color="auto" w:fill="EDF0FC"/>
          </w:tcPr>
          <w:p>
            <w:pPr>
              <w:jc w:val="right"/>
              <w:spacing w:after="0"/>
              <w:rPr>
                <w:sz w:val="20"/>
                <w:szCs w:val="20"/>
                <w:color w:val="auto"/>
              </w:rPr>
            </w:pPr>
            <w:r>
              <w:rPr>
                <w:rFonts w:ascii="Arial" w:cs="Arial" w:eastAsia="Arial" w:hAnsi="Arial"/>
                <w:sz w:val="16"/>
                <w:szCs w:val="16"/>
                <w:color w:val="auto"/>
              </w:rPr>
              <w:t>2022</w:t>
            </w:r>
          </w:p>
        </w:tc>
        <w:tc>
          <w:tcPr>
            <w:tcW w:w="1080" w:type="dxa"/>
            <w:vAlign w:val="bottom"/>
            <w:shd w:val="clear" w:color="auto" w:fill="EDF0FC"/>
          </w:tcPr>
          <w:p>
            <w:pPr>
              <w:jc w:val="right"/>
              <w:spacing w:after="0"/>
              <w:rPr>
                <w:sz w:val="20"/>
                <w:szCs w:val="20"/>
                <w:color w:val="auto"/>
              </w:rPr>
            </w:pPr>
            <w:r>
              <w:rPr>
                <w:rFonts w:ascii="Arial" w:cs="Arial" w:eastAsia="Arial" w:hAnsi="Arial"/>
                <w:sz w:val="16"/>
                <w:szCs w:val="16"/>
                <w:color w:val="auto"/>
              </w:rPr>
              <w:t>550,000</w:t>
            </w:r>
          </w:p>
        </w:tc>
        <w:tc>
          <w:tcPr>
            <w:tcW w:w="120" w:type="dxa"/>
            <w:vAlign w:val="bottom"/>
            <w:shd w:val="clear" w:color="auto" w:fill="EDF0FC"/>
          </w:tcPr>
          <w:p>
            <w:pPr>
              <w:spacing w:after="0"/>
              <w:rPr>
                <w:sz w:val="22"/>
                <w:szCs w:val="22"/>
                <w:color w:val="auto"/>
              </w:rPr>
            </w:pPr>
          </w:p>
        </w:tc>
        <w:tc>
          <w:tcPr>
            <w:tcW w:w="700" w:type="dxa"/>
            <w:vAlign w:val="bottom"/>
            <w:shd w:val="clear" w:color="auto" w:fill="EDF0FC"/>
          </w:tcPr>
          <w:p>
            <w:pPr>
              <w:ind w:left="3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DF0FC"/>
          </w:tcPr>
          <w:p>
            <w:pPr>
              <w:jc w:val="right"/>
              <w:ind w:right="141"/>
              <w:spacing w:after="0"/>
              <w:rPr>
                <w:sz w:val="20"/>
                <w:szCs w:val="20"/>
                <w:color w:val="auto"/>
              </w:rPr>
            </w:pPr>
            <w:r>
              <w:rPr>
                <w:rFonts w:ascii="Arial" w:cs="Arial" w:eastAsia="Arial" w:hAnsi="Arial"/>
                <w:sz w:val="16"/>
                <w:szCs w:val="16"/>
                <w:color w:val="auto"/>
              </w:rPr>
              <w:t>845,907</w:t>
            </w:r>
          </w:p>
        </w:tc>
        <w:tc>
          <w:tcPr>
            <w:tcW w:w="1140" w:type="dxa"/>
            <w:vAlign w:val="bottom"/>
            <w:shd w:val="clear" w:color="auto" w:fill="EDF0FC"/>
          </w:tcPr>
          <w:p>
            <w:pPr>
              <w:jc w:val="right"/>
              <w:ind w:right="181"/>
              <w:spacing w:after="0"/>
              <w:rPr>
                <w:sz w:val="20"/>
                <w:szCs w:val="20"/>
                <w:color w:val="auto"/>
              </w:rPr>
            </w:pPr>
            <w:r>
              <w:rPr>
                <w:rFonts w:ascii="Arial" w:cs="Arial" w:eastAsia="Arial" w:hAnsi="Arial"/>
                <w:sz w:val="16"/>
                <w:szCs w:val="16"/>
                <w:color w:val="auto"/>
              </w:rPr>
              <w:t>455,129</w:t>
            </w:r>
          </w:p>
        </w:tc>
        <w:tc>
          <w:tcPr>
            <w:tcW w:w="1420" w:type="dxa"/>
            <w:vAlign w:val="bottom"/>
            <w:shd w:val="clear" w:color="auto" w:fill="EDF0FC"/>
          </w:tcPr>
          <w:p>
            <w:pPr>
              <w:jc w:val="right"/>
              <w:ind w:right="161"/>
              <w:spacing w:after="0"/>
              <w:rPr>
                <w:sz w:val="20"/>
                <w:szCs w:val="20"/>
                <w:color w:val="auto"/>
              </w:rPr>
            </w:pPr>
            <w:r>
              <w:rPr>
                <w:rFonts w:ascii="Arial" w:cs="Arial" w:eastAsia="Arial" w:hAnsi="Arial"/>
                <w:sz w:val="16"/>
                <w:szCs w:val="16"/>
                <w:color w:val="auto"/>
              </w:rPr>
              <w:t>667,720</w:t>
            </w:r>
          </w:p>
        </w:tc>
        <w:tc>
          <w:tcPr>
            <w:tcW w:w="1340" w:type="dxa"/>
            <w:vAlign w:val="bottom"/>
            <w:shd w:val="clear" w:color="auto" w:fill="EDF0FC"/>
          </w:tcPr>
          <w:p>
            <w:pPr>
              <w:jc w:val="right"/>
              <w:ind w:right="122"/>
              <w:spacing w:after="0"/>
              <w:rPr>
                <w:sz w:val="20"/>
                <w:szCs w:val="20"/>
                <w:color w:val="auto"/>
              </w:rPr>
            </w:pPr>
            <w:r>
              <w:rPr>
                <w:rFonts w:ascii="Arial" w:cs="Arial" w:eastAsia="Arial" w:hAnsi="Arial"/>
                <w:sz w:val="16"/>
                <w:szCs w:val="16"/>
                <w:color w:val="auto"/>
              </w:rPr>
              <w:t>59,999</w:t>
            </w:r>
          </w:p>
        </w:tc>
        <w:tc>
          <w:tcPr>
            <w:tcW w:w="10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2,578,755</w:t>
            </w:r>
          </w:p>
        </w:tc>
        <w:tc>
          <w:tcPr>
            <w:tcW w:w="0" w:type="dxa"/>
            <w:vAlign w:val="bottom"/>
          </w:tcPr>
          <w:p>
            <w:pPr>
              <w:spacing w:after="0"/>
              <w:rPr>
                <w:sz w:val="1"/>
                <w:szCs w:val="1"/>
                <w:color w:val="auto"/>
              </w:rPr>
            </w:pPr>
          </w:p>
        </w:tc>
      </w:tr>
      <w:tr>
        <w:trPr>
          <w:trHeight w:val="215"/>
        </w:trPr>
        <w:tc>
          <w:tcPr>
            <w:tcW w:w="2560" w:type="dxa"/>
            <w:vAlign w:val="bottom"/>
          </w:tcPr>
          <w:p>
            <w:pPr>
              <w:ind w:left="20"/>
              <w:spacing w:after="0"/>
              <w:rPr>
                <w:sz w:val="20"/>
                <w:szCs w:val="20"/>
                <w:color w:val="auto"/>
              </w:rPr>
            </w:pPr>
            <w:r>
              <w:rPr>
                <w:rFonts w:ascii="Arial" w:cs="Arial" w:eastAsia="Arial" w:hAnsi="Arial"/>
                <w:sz w:val="16"/>
                <w:szCs w:val="16"/>
                <w:b w:val="1"/>
                <w:bCs w:val="1"/>
                <w:color w:val="1A3FD6"/>
              </w:rPr>
              <w:t>C.D. Baer Pettit</w:t>
            </w:r>
          </w:p>
        </w:tc>
        <w:tc>
          <w:tcPr>
            <w:tcW w:w="760" w:type="dxa"/>
            <w:vAlign w:val="bottom"/>
          </w:tcPr>
          <w:p>
            <w:pPr>
              <w:jc w:val="right"/>
              <w:spacing w:after="0"/>
              <w:rPr>
                <w:sz w:val="20"/>
                <w:szCs w:val="20"/>
                <w:color w:val="auto"/>
              </w:rPr>
            </w:pPr>
            <w:r>
              <w:rPr>
                <w:rFonts w:ascii="Arial" w:cs="Arial" w:eastAsia="Arial" w:hAnsi="Arial"/>
                <w:sz w:val="16"/>
                <w:szCs w:val="16"/>
                <w:color w:val="auto"/>
              </w:rPr>
              <w:t>2024</w:t>
            </w:r>
          </w:p>
        </w:tc>
        <w:tc>
          <w:tcPr>
            <w:tcW w:w="1080" w:type="dxa"/>
            <w:vAlign w:val="bottom"/>
          </w:tcPr>
          <w:p>
            <w:pPr>
              <w:jc w:val="right"/>
              <w:spacing w:after="0"/>
              <w:rPr>
                <w:sz w:val="20"/>
                <w:szCs w:val="20"/>
                <w:color w:val="auto"/>
              </w:rPr>
            </w:pPr>
            <w:r>
              <w:rPr>
                <w:rFonts w:ascii="Arial" w:cs="Arial" w:eastAsia="Arial" w:hAnsi="Arial"/>
                <w:sz w:val="16"/>
                <w:szCs w:val="16"/>
                <w:color w:val="auto"/>
              </w:rPr>
              <w:t>798,743</w:t>
            </w:r>
          </w:p>
        </w:tc>
        <w:tc>
          <w:tcPr>
            <w:tcW w:w="12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1,950,088</w:t>
            </w: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4,550,206</w:t>
            </w:r>
          </w:p>
        </w:tc>
        <w:tc>
          <w:tcPr>
            <w:tcW w:w="1420" w:type="dxa"/>
            <w:vAlign w:val="bottom"/>
          </w:tcPr>
          <w:p>
            <w:pPr>
              <w:jc w:val="right"/>
              <w:ind w:right="161"/>
              <w:spacing w:after="0"/>
              <w:rPr>
                <w:sz w:val="20"/>
                <w:szCs w:val="20"/>
                <w:color w:val="auto"/>
              </w:rPr>
            </w:pPr>
            <w:r>
              <w:rPr>
                <w:rFonts w:ascii="Arial" w:cs="Arial" w:eastAsia="Arial" w:hAnsi="Arial"/>
                <w:sz w:val="16"/>
                <w:szCs w:val="16"/>
                <w:color w:val="auto"/>
              </w:rPr>
              <w:t>1,109,703</w:t>
            </w: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586,225</w:t>
            </w:r>
          </w:p>
        </w:tc>
        <w:tc>
          <w:tcPr>
            <w:tcW w:w="1040" w:type="dxa"/>
            <w:vAlign w:val="bottom"/>
          </w:tcPr>
          <w:p>
            <w:pPr>
              <w:jc w:val="right"/>
              <w:spacing w:after="0"/>
              <w:rPr>
                <w:sz w:val="20"/>
                <w:szCs w:val="20"/>
                <w:color w:val="auto"/>
              </w:rPr>
            </w:pPr>
            <w:r>
              <w:rPr>
                <w:rFonts w:ascii="Arial" w:cs="Arial" w:eastAsia="Arial" w:hAnsi="Arial"/>
                <w:sz w:val="16"/>
                <w:szCs w:val="16"/>
                <w:color w:val="auto"/>
              </w:rPr>
              <w:t>8,994,965</w:t>
            </w:r>
          </w:p>
        </w:tc>
        <w:tc>
          <w:tcPr>
            <w:tcW w:w="0" w:type="dxa"/>
            <w:vAlign w:val="bottom"/>
          </w:tcPr>
          <w:p>
            <w:pPr>
              <w:spacing w:after="0"/>
              <w:rPr>
                <w:sz w:val="1"/>
                <w:szCs w:val="1"/>
                <w:color w:val="auto"/>
              </w:rPr>
            </w:pPr>
          </w:p>
        </w:tc>
      </w:tr>
      <w:tr>
        <w:trPr>
          <w:trHeight w:val="203"/>
        </w:trPr>
        <w:tc>
          <w:tcPr>
            <w:tcW w:w="2560" w:type="dxa"/>
            <w:vAlign w:val="bottom"/>
          </w:tcPr>
          <w:p>
            <w:pPr>
              <w:ind w:left="220"/>
              <w:spacing w:after="0"/>
              <w:rPr>
                <w:sz w:val="20"/>
                <w:szCs w:val="20"/>
                <w:color w:val="auto"/>
              </w:rPr>
            </w:pPr>
            <w:r>
              <w:rPr>
                <w:rFonts w:ascii="Arial" w:cs="Arial" w:eastAsia="Arial" w:hAnsi="Arial"/>
                <w:sz w:val="16"/>
                <w:szCs w:val="16"/>
                <w:color w:val="auto"/>
              </w:rPr>
              <w:t>President and</w:t>
            </w:r>
          </w:p>
        </w:tc>
        <w:tc>
          <w:tcPr>
            <w:tcW w:w="760" w:type="dxa"/>
            <w:vAlign w:val="bottom"/>
          </w:tcPr>
          <w:p>
            <w:pPr>
              <w:jc w:val="right"/>
              <w:spacing w:after="0"/>
              <w:rPr>
                <w:sz w:val="20"/>
                <w:szCs w:val="20"/>
                <w:color w:val="auto"/>
              </w:rPr>
            </w:pPr>
            <w:r>
              <w:rPr>
                <w:rFonts w:ascii="Arial" w:cs="Arial" w:eastAsia="Arial" w:hAnsi="Arial"/>
                <w:sz w:val="16"/>
                <w:szCs w:val="16"/>
                <w:color w:val="auto"/>
              </w:rPr>
              <w:t>2023</w:t>
            </w:r>
          </w:p>
        </w:tc>
        <w:tc>
          <w:tcPr>
            <w:tcW w:w="1080" w:type="dxa"/>
            <w:vAlign w:val="bottom"/>
          </w:tcPr>
          <w:p>
            <w:pPr>
              <w:jc w:val="right"/>
              <w:spacing w:after="0"/>
              <w:rPr>
                <w:sz w:val="20"/>
                <w:szCs w:val="20"/>
                <w:color w:val="auto"/>
              </w:rPr>
            </w:pPr>
            <w:r>
              <w:rPr>
                <w:rFonts w:ascii="Arial" w:cs="Arial" w:eastAsia="Arial" w:hAnsi="Arial"/>
                <w:sz w:val="16"/>
                <w:szCs w:val="16"/>
                <w:color w:val="auto"/>
              </w:rPr>
              <w:t>777,076</w:t>
            </w:r>
          </w:p>
        </w:tc>
        <w:tc>
          <w:tcPr>
            <w:tcW w:w="12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3,100,354</w:t>
            </w: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3,100,111</w:t>
            </w:r>
          </w:p>
        </w:tc>
        <w:tc>
          <w:tcPr>
            <w:tcW w:w="1420" w:type="dxa"/>
            <w:vAlign w:val="bottom"/>
          </w:tcPr>
          <w:p>
            <w:pPr>
              <w:jc w:val="right"/>
              <w:ind w:right="161"/>
              <w:spacing w:after="0"/>
              <w:rPr>
                <w:sz w:val="20"/>
                <w:szCs w:val="20"/>
                <w:color w:val="auto"/>
              </w:rPr>
            </w:pPr>
            <w:r>
              <w:rPr>
                <w:rFonts w:ascii="Arial" w:cs="Arial" w:eastAsia="Arial" w:hAnsi="Arial"/>
                <w:sz w:val="16"/>
                <w:szCs w:val="16"/>
                <w:color w:val="auto"/>
              </w:rPr>
              <w:t>1,158,826</w:t>
            </w: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295,318</w:t>
            </w:r>
          </w:p>
        </w:tc>
        <w:tc>
          <w:tcPr>
            <w:tcW w:w="1040" w:type="dxa"/>
            <w:vAlign w:val="bottom"/>
          </w:tcPr>
          <w:p>
            <w:pPr>
              <w:jc w:val="right"/>
              <w:spacing w:after="0"/>
              <w:rPr>
                <w:sz w:val="20"/>
                <w:szCs w:val="20"/>
                <w:color w:val="auto"/>
              </w:rPr>
            </w:pPr>
            <w:r>
              <w:rPr>
                <w:rFonts w:ascii="Arial" w:cs="Arial" w:eastAsia="Arial" w:hAnsi="Arial"/>
                <w:sz w:val="16"/>
                <w:szCs w:val="16"/>
                <w:color w:val="auto"/>
              </w:rPr>
              <w:t>8,431,685</w:t>
            </w:r>
          </w:p>
        </w:tc>
        <w:tc>
          <w:tcPr>
            <w:tcW w:w="0" w:type="dxa"/>
            <w:vAlign w:val="bottom"/>
          </w:tcPr>
          <w:p>
            <w:pPr>
              <w:spacing w:after="0"/>
              <w:rPr>
                <w:sz w:val="1"/>
                <w:szCs w:val="1"/>
                <w:color w:val="auto"/>
              </w:rPr>
            </w:pPr>
          </w:p>
        </w:tc>
      </w:tr>
      <w:tr>
        <w:trPr>
          <w:trHeight w:val="215"/>
        </w:trPr>
        <w:tc>
          <w:tcPr>
            <w:tcW w:w="2560" w:type="dxa"/>
            <w:vAlign w:val="bottom"/>
          </w:tcPr>
          <w:p>
            <w:pPr>
              <w:ind w:left="220"/>
              <w:spacing w:after="0"/>
              <w:rPr>
                <w:sz w:val="20"/>
                <w:szCs w:val="20"/>
                <w:color w:val="auto"/>
              </w:rPr>
            </w:pPr>
            <w:r>
              <w:rPr>
                <w:rFonts w:ascii="Arial" w:cs="Arial" w:eastAsia="Arial" w:hAnsi="Arial"/>
                <w:sz w:val="16"/>
                <w:szCs w:val="16"/>
                <w:color w:val="auto"/>
              </w:rPr>
              <w:t>Chief Operating Officer</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2022</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773,397</w:t>
            </w:r>
          </w:p>
        </w:tc>
        <w:tc>
          <w:tcPr>
            <w:tcW w:w="120" w:type="dxa"/>
            <w:vAlign w:val="bottom"/>
          </w:tcPr>
          <w:p>
            <w:pPr>
              <w:spacing w:after="0"/>
              <w:rPr>
                <w:sz w:val="18"/>
                <w:szCs w:val="18"/>
                <w:color w:val="auto"/>
              </w:rPr>
            </w:pPr>
          </w:p>
        </w:tc>
        <w:tc>
          <w:tcPr>
            <w:tcW w:w="700" w:type="dxa"/>
            <w:vAlign w:val="bottom"/>
            <w:vMerge w:val="restart"/>
          </w:tcPr>
          <w:p>
            <w:pPr>
              <w:ind w:left="340"/>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141"/>
              <w:spacing w:after="0"/>
              <w:rPr>
                <w:sz w:val="20"/>
                <w:szCs w:val="20"/>
                <w:color w:val="auto"/>
              </w:rPr>
            </w:pPr>
            <w:r>
              <w:rPr>
                <w:rFonts w:ascii="Arial" w:cs="Arial" w:eastAsia="Arial" w:hAnsi="Arial"/>
                <w:sz w:val="16"/>
                <w:szCs w:val="16"/>
                <w:color w:val="auto"/>
              </w:rPr>
              <w:t>2,750,574</w:t>
            </w:r>
          </w:p>
        </w:tc>
        <w:tc>
          <w:tcPr>
            <w:tcW w:w="1140" w:type="dxa"/>
            <w:vAlign w:val="bottom"/>
            <w:vMerge w:val="restart"/>
          </w:tcPr>
          <w:p>
            <w:pPr>
              <w:jc w:val="right"/>
              <w:ind w:right="181"/>
              <w:spacing w:after="0"/>
              <w:rPr>
                <w:sz w:val="20"/>
                <w:szCs w:val="20"/>
                <w:color w:val="auto"/>
              </w:rPr>
            </w:pPr>
            <w:r>
              <w:rPr>
                <w:rFonts w:ascii="Arial" w:cs="Arial" w:eastAsia="Arial" w:hAnsi="Arial"/>
                <w:sz w:val="16"/>
                <w:szCs w:val="16"/>
                <w:color w:val="auto"/>
              </w:rPr>
              <w:t>2,750,054</w:t>
            </w:r>
          </w:p>
        </w:tc>
        <w:tc>
          <w:tcPr>
            <w:tcW w:w="1420" w:type="dxa"/>
            <w:vAlign w:val="bottom"/>
            <w:vMerge w:val="restart"/>
          </w:tcPr>
          <w:p>
            <w:pPr>
              <w:jc w:val="right"/>
              <w:ind w:right="161"/>
              <w:spacing w:after="0"/>
              <w:rPr>
                <w:sz w:val="20"/>
                <w:szCs w:val="20"/>
                <w:color w:val="auto"/>
              </w:rPr>
            </w:pPr>
            <w:r>
              <w:rPr>
                <w:rFonts w:ascii="Arial" w:cs="Arial" w:eastAsia="Arial" w:hAnsi="Arial"/>
                <w:sz w:val="16"/>
                <w:szCs w:val="16"/>
                <w:color w:val="auto"/>
              </w:rPr>
              <w:t>985,951</w:t>
            </w:r>
          </w:p>
        </w:tc>
        <w:tc>
          <w:tcPr>
            <w:tcW w:w="1340" w:type="dxa"/>
            <w:vAlign w:val="bottom"/>
            <w:vMerge w:val="restart"/>
          </w:tcPr>
          <w:p>
            <w:pPr>
              <w:jc w:val="right"/>
              <w:ind w:right="122"/>
              <w:spacing w:after="0"/>
              <w:rPr>
                <w:sz w:val="20"/>
                <w:szCs w:val="20"/>
                <w:color w:val="auto"/>
              </w:rPr>
            </w:pPr>
            <w:r>
              <w:rPr>
                <w:rFonts w:ascii="Arial" w:cs="Arial" w:eastAsia="Arial" w:hAnsi="Arial"/>
                <w:sz w:val="16"/>
                <w:szCs w:val="16"/>
                <w:color w:val="auto"/>
              </w:rPr>
              <w:t>419,430</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7,679,406</w:t>
            </w:r>
          </w:p>
        </w:tc>
        <w:tc>
          <w:tcPr>
            <w:tcW w:w="0" w:type="dxa"/>
            <w:vAlign w:val="bottom"/>
          </w:tcPr>
          <w:p>
            <w:pPr>
              <w:spacing w:after="0"/>
              <w:rPr>
                <w:sz w:val="1"/>
                <w:szCs w:val="1"/>
                <w:color w:val="auto"/>
              </w:rPr>
            </w:pPr>
          </w:p>
        </w:tc>
      </w:tr>
      <w:tr>
        <w:trPr>
          <w:trHeight w:val="88"/>
        </w:trPr>
        <w:tc>
          <w:tcPr>
            <w:tcW w:w="25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56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Scott A. Crum</w:t>
            </w:r>
          </w:p>
        </w:tc>
        <w:tc>
          <w:tcPr>
            <w:tcW w:w="760" w:type="dxa"/>
            <w:vAlign w:val="bottom"/>
            <w:shd w:val="clear" w:color="auto" w:fill="EDF0FC"/>
          </w:tcPr>
          <w:p>
            <w:pPr>
              <w:jc w:val="right"/>
              <w:spacing w:after="0"/>
              <w:rPr>
                <w:sz w:val="20"/>
                <w:szCs w:val="20"/>
                <w:color w:val="auto"/>
              </w:rPr>
            </w:pPr>
            <w:r>
              <w:rPr>
                <w:rFonts w:ascii="Arial" w:cs="Arial" w:eastAsia="Arial" w:hAnsi="Arial"/>
                <w:sz w:val="16"/>
                <w:szCs w:val="16"/>
                <w:color w:val="auto"/>
              </w:rPr>
              <w:t>2024</w:t>
            </w:r>
          </w:p>
        </w:tc>
        <w:tc>
          <w:tcPr>
            <w:tcW w:w="1080" w:type="dxa"/>
            <w:vAlign w:val="bottom"/>
            <w:shd w:val="clear" w:color="auto" w:fill="EDF0FC"/>
          </w:tcPr>
          <w:p>
            <w:pPr>
              <w:jc w:val="right"/>
              <w:spacing w:after="0"/>
              <w:rPr>
                <w:sz w:val="20"/>
                <w:szCs w:val="20"/>
                <w:color w:val="auto"/>
              </w:rPr>
            </w:pPr>
            <w:r>
              <w:rPr>
                <w:rFonts w:ascii="Arial" w:cs="Arial" w:eastAsia="Arial" w:hAnsi="Arial"/>
                <w:sz w:val="16"/>
                <w:szCs w:val="16"/>
                <w:color w:val="auto"/>
              </w:rPr>
              <w:t>550,000</w:t>
            </w:r>
          </w:p>
        </w:tc>
        <w:tc>
          <w:tcPr>
            <w:tcW w:w="120" w:type="dxa"/>
            <w:vAlign w:val="bottom"/>
            <w:shd w:val="clear" w:color="auto" w:fill="EDF0FC"/>
          </w:tcPr>
          <w:p>
            <w:pPr>
              <w:spacing w:after="0"/>
              <w:rPr>
                <w:sz w:val="19"/>
                <w:szCs w:val="19"/>
                <w:color w:val="auto"/>
              </w:rPr>
            </w:pPr>
          </w:p>
        </w:tc>
        <w:tc>
          <w:tcPr>
            <w:tcW w:w="700" w:type="dxa"/>
            <w:vAlign w:val="bottom"/>
            <w:shd w:val="clear" w:color="auto" w:fill="EDF0FC"/>
          </w:tcPr>
          <w:p>
            <w:pPr>
              <w:ind w:left="3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DF0FC"/>
          </w:tcPr>
          <w:p>
            <w:pPr>
              <w:jc w:val="right"/>
              <w:ind w:right="141"/>
              <w:spacing w:after="0"/>
              <w:rPr>
                <w:sz w:val="20"/>
                <w:szCs w:val="20"/>
                <w:color w:val="auto"/>
              </w:rPr>
            </w:pPr>
            <w:r>
              <w:rPr>
                <w:rFonts w:ascii="Arial" w:cs="Arial" w:eastAsia="Arial" w:hAnsi="Arial"/>
                <w:sz w:val="16"/>
                <w:szCs w:val="16"/>
                <w:color w:val="auto"/>
              </w:rPr>
              <w:t>1,200,520</w:t>
            </w:r>
          </w:p>
        </w:tc>
        <w:tc>
          <w:tcPr>
            <w:tcW w:w="1140" w:type="dxa"/>
            <w:vAlign w:val="bottom"/>
            <w:shd w:val="clear" w:color="auto" w:fill="EDF0FC"/>
          </w:tcPr>
          <w:p>
            <w:pPr>
              <w:jc w:val="right"/>
              <w:ind w:right="181"/>
              <w:spacing w:after="0"/>
              <w:rPr>
                <w:sz w:val="20"/>
                <w:szCs w:val="20"/>
                <w:color w:val="auto"/>
              </w:rPr>
            </w:pPr>
            <w:r>
              <w:rPr>
                <w:rFonts w:ascii="Arial" w:cs="Arial" w:eastAsia="Arial" w:hAnsi="Arial"/>
                <w:sz w:val="16"/>
                <w:szCs w:val="16"/>
                <w:color w:val="auto"/>
              </w:rPr>
              <w:t>800,166</w:t>
            </w:r>
          </w:p>
        </w:tc>
        <w:tc>
          <w:tcPr>
            <w:tcW w:w="1420" w:type="dxa"/>
            <w:vAlign w:val="bottom"/>
            <w:shd w:val="clear" w:color="auto" w:fill="EDF0FC"/>
          </w:tcPr>
          <w:p>
            <w:pPr>
              <w:jc w:val="right"/>
              <w:ind w:right="161"/>
              <w:spacing w:after="0"/>
              <w:rPr>
                <w:sz w:val="20"/>
                <w:szCs w:val="20"/>
                <w:color w:val="auto"/>
              </w:rPr>
            </w:pPr>
            <w:r>
              <w:rPr>
                <w:rFonts w:ascii="Arial" w:cs="Arial" w:eastAsia="Arial" w:hAnsi="Arial"/>
                <w:sz w:val="16"/>
                <w:szCs w:val="16"/>
                <w:color w:val="auto"/>
              </w:rPr>
              <w:t>678,860</w:t>
            </w:r>
          </w:p>
        </w:tc>
        <w:tc>
          <w:tcPr>
            <w:tcW w:w="1340" w:type="dxa"/>
            <w:vAlign w:val="bottom"/>
            <w:shd w:val="clear" w:color="auto" w:fill="EDF0FC"/>
          </w:tcPr>
          <w:p>
            <w:pPr>
              <w:jc w:val="right"/>
              <w:ind w:right="122"/>
              <w:spacing w:after="0"/>
              <w:rPr>
                <w:sz w:val="20"/>
                <w:szCs w:val="20"/>
                <w:color w:val="auto"/>
              </w:rPr>
            </w:pPr>
            <w:r>
              <w:rPr>
                <w:rFonts w:ascii="Arial" w:cs="Arial" w:eastAsia="Arial" w:hAnsi="Arial"/>
                <w:sz w:val="16"/>
                <w:szCs w:val="16"/>
                <w:color w:val="auto"/>
              </w:rPr>
              <w:t>168,588</w:t>
            </w:r>
          </w:p>
        </w:tc>
        <w:tc>
          <w:tcPr>
            <w:tcW w:w="10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3,398,134</w:t>
            </w:r>
          </w:p>
        </w:tc>
        <w:tc>
          <w:tcPr>
            <w:tcW w:w="0" w:type="dxa"/>
            <w:vAlign w:val="bottom"/>
          </w:tcPr>
          <w:p>
            <w:pPr>
              <w:spacing w:after="0"/>
              <w:rPr>
                <w:sz w:val="1"/>
                <w:szCs w:val="1"/>
                <w:color w:val="auto"/>
              </w:rPr>
            </w:pPr>
          </w:p>
        </w:tc>
      </w:tr>
      <w:tr>
        <w:trPr>
          <w:trHeight w:val="203"/>
        </w:trPr>
        <w:tc>
          <w:tcPr>
            <w:tcW w:w="2560" w:type="dxa"/>
            <w:vAlign w:val="bottom"/>
            <w:shd w:val="clear" w:color="auto" w:fill="EDF0FC"/>
          </w:tcPr>
          <w:p>
            <w:pPr>
              <w:ind w:left="220"/>
              <w:spacing w:after="0"/>
              <w:rPr>
                <w:sz w:val="20"/>
                <w:szCs w:val="20"/>
                <w:color w:val="auto"/>
              </w:rPr>
            </w:pPr>
            <w:r>
              <w:rPr>
                <w:rFonts w:ascii="Arial" w:cs="Arial" w:eastAsia="Arial" w:hAnsi="Arial"/>
                <w:sz w:val="16"/>
                <w:szCs w:val="16"/>
                <w:color w:val="auto"/>
              </w:rPr>
              <w:t>Chief Human</w:t>
            </w:r>
          </w:p>
        </w:tc>
        <w:tc>
          <w:tcPr>
            <w:tcW w:w="760" w:type="dxa"/>
            <w:vAlign w:val="bottom"/>
            <w:shd w:val="clear" w:color="auto" w:fill="EDF0FC"/>
          </w:tcPr>
          <w:p>
            <w:pPr>
              <w:jc w:val="right"/>
              <w:spacing w:after="0"/>
              <w:rPr>
                <w:sz w:val="20"/>
                <w:szCs w:val="20"/>
                <w:color w:val="auto"/>
              </w:rPr>
            </w:pPr>
            <w:r>
              <w:rPr>
                <w:rFonts w:ascii="Arial" w:cs="Arial" w:eastAsia="Arial" w:hAnsi="Arial"/>
                <w:sz w:val="16"/>
                <w:szCs w:val="16"/>
                <w:color w:val="auto"/>
              </w:rPr>
              <w:t>2023</w:t>
            </w:r>
          </w:p>
        </w:tc>
        <w:tc>
          <w:tcPr>
            <w:tcW w:w="1080" w:type="dxa"/>
            <w:vAlign w:val="bottom"/>
            <w:shd w:val="clear" w:color="auto" w:fill="EDF0FC"/>
          </w:tcPr>
          <w:p>
            <w:pPr>
              <w:jc w:val="right"/>
              <w:spacing w:after="0"/>
              <w:rPr>
                <w:sz w:val="20"/>
                <w:szCs w:val="20"/>
                <w:color w:val="auto"/>
              </w:rPr>
            </w:pPr>
            <w:r>
              <w:rPr>
                <w:rFonts w:ascii="Arial" w:cs="Arial" w:eastAsia="Arial" w:hAnsi="Arial"/>
                <w:sz w:val="16"/>
                <w:szCs w:val="16"/>
                <w:color w:val="auto"/>
              </w:rPr>
              <w:t>550,000</w:t>
            </w:r>
          </w:p>
        </w:tc>
        <w:tc>
          <w:tcPr>
            <w:tcW w:w="120" w:type="dxa"/>
            <w:vAlign w:val="bottom"/>
            <w:shd w:val="clear" w:color="auto" w:fill="EDF0FC"/>
          </w:tcPr>
          <w:p>
            <w:pPr>
              <w:spacing w:after="0"/>
              <w:rPr>
                <w:sz w:val="17"/>
                <w:szCs w:val="17"/>
                <w:color w:val="auto"/>
              </w:rPr>
            </w:pPr>
          </w:p>
        </w:tc>
        <w:tc>
          <w:tcPr>
            <w:tcW w:w="700" w:type="dxa"/>
            <w:vAlign w:val="bottom"/>
            <w:shd w:val="clear" w:color="auto" w:fill="EDF0FC"/>
          </w:tcPr>
          <w:p>
            <w:pPr>
              <w:ind w:left="3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DF0FC"/>
          </w:tcPr>
          <w:p>
            <w:pPr>
              <w:jc w:val="right"/>
              <w:ind w:right="141"/>
              <w:spacing w:after="0"/>
              <w:rPr>
                <w:sz w:val="20"/>
                <w:szCs w:val="20"/>
                <w:color w:val="auto"/>
              </w:rPr>
            </w:pPr>
            <w:r>
              <w:rPr>
                <w:rFonts w:ascii="Arial" w:cs="Arial" w:eastAsia="Arial" w:hAnsi="Arial"/>
                <w:sz w:val="16"/>
                <w:szCs w:val="16"/>
                <w:color w:val="auto"/>
              </w:rPr>
              <w:t>1,202,643</w:t>
            </w:r>
          </w:p>
        </w:tc>
        <w:tc>
          <w:tcPr>
            <w:tcW w:w="1140" w:type="dxa"/>
            <w:vAlign w:val="bottom"/>
            <w:shd w:val="clear" w:color="auto" w:fill="EDF0FC"/>
          </w:tcPr>
          <w:p>
            <w:pPr>
              <w:jc w:val="right"/>
              <w:ind w:right="181"/>
              <w:spacing w:after="0"/>
              <w:rPr>
                <w:sz w:val="20"/>
                <w:szCs w:val="20"/>
                <w:color w:val="auto"/>
              </w:rPr>
            </w:pPr>
            <w:r>
              <w:rPr>
                <w:rFonts w:ascii="Arial" w:cs="Arial" w:eastAsia="Arial" w:hAnsi="Arial"/>
                <w:sz w:val="16"/>
                <w:szCs w:val="16"/>
                <w:color w:val="auto"/>
              </w:rPr>
              <w:t>647,637</w:t>
            </w:r>
          </w:p>
        </w:tc>
        <w:tc>
          <w:tcPr>
            <w:tcW w:w="1420" w:type="dxa"/>
            <w:vAlign w:val="bottom"/>
            <w:shd w:val="clear" w:color="auto" w:fill="EDF0FC"/>
          </w:tcPr>
          <w:p>
            <w:pPr>
              <w:jc w:val="right"/>
              <w:ind w:right="161"/>
              <w:spacing w:after="0"/>
              <w:rPr>
                <w:sz w:val="20"/>
                <w:szCs w:val="20"/>
                <w:color w:val="auto"/>
              </w:rPr>
            </w:pPr>
            <w:r>
              <w:rPr>
                <w:rFonts w:ascii="Arial" w:cs="Arial" w:eastAsia="Arial" w:hAnsi="Arial"/>
                <w:sz w:val="16"/>
                <w:szCs w:val="16"/>
                <w:color w:val="auto"/>
              </w:rPr>
              <w:t>724,920</w:t>
            </w:r>
          </w:p>
        </w:tc>
        <w:tc>
          <w:tcPr>
            <w:tcW w:w="1340" w:type="dxa"/>
            <w:vAlign w:val="bottom"/>
            <w:shd w:val="clear" w:color="auto" w:fill="EDF0FC"/>
          </w:tcPr>
          <w:p>
            <w:pPr>
              <w:jc w:val="right"/>
              <w:ind w:right="122"/>
              <w:spacing w:after="0"/>
              <w:rPr>
                <w:sz w:val="20"/>
                <w:szCs w:val="20"/>
                <w:color w:val="auto"/>
              </w:rPr>
            </w:pPr>
            <w:r>
              <w:rPr>
                <w:rFonts w:ascii="Arial" w:cs="Arial" w:eastAsia="Arial" w:hAnsi="Arial"/>
                <w:sz w:val="16"/>
                <w:szCs w:val="16"/>
                <w:color w:val="auto"/>
              </w:rPr>
              <w:t>83,436</w:t>
            </w:r>
          </w:p>
        </w:tc>
        <w:tc>
          <w:tcPr>
            <w:tcW w:w="10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3,208,636</w:t>
            </w:r>
          </w:p>
        </w:tc>
        <w:tc>
          <w:tcPr>
            <w:tcW w:w="0" w:type="dxa"/>
            <w:vAlign w:val="bottom"/>
          </w:tcPr>
          <w:p>
            <w:pPr>
              <w:spacing w:after="0"/>
              <w:rPr>
                <w:sz w:val="1"/>
                <w:szCs w:val="1"/>
                <w:color w:val="auto"/>
              </w:rPr>
            </w:pPr>
          </w:p>
        </w:tc>
      </w:tr>
      <w:tr>
        <w:trPr>
          <w:trHeight w:val="215"/>
        </w:trPr>
        <w:tc>
          <w:tcPr>
            <w:tcW w:w="2560" w:type="dxa"/>
            <w:vAlign w:val="bottom"/>
            <w:shd w:val="clear" w:color="auto" w:fill="EDF0FC"/>
          </w:tcPr>
          <w:p>
            <w:pPr>
              <w:ind w:left="220"/>
              <w:spacing w:after="0"/>
              <w:rPr>
                <w:sz w:val="20"/>
                <w:szCs w:val="20"/>
                <w:color w:val="auto"/>
              </w:rPr>
            </w:pPr>
            <w:r>
              <w:rPr>
                <w:rFonts w:ascii="Arial" w:cs="Arial" w:eastAsia="Arial" w:hAnsi="Arial"/>
                <w:sz w:val="16"/>
                <w:szCs w:val="16"/>
                <w:color w:val="auto"/>
              </w:rPr>
              <w:t>Resources Officer</w:t>
            </w:r>
          </w:p>
        </w:tc>
        <w:tc>
          <w:tcPr>
            <w:tcW w:w="760" w:type="dxa"/>
            <w:vAlign w:val="bottom"/>
            <w:vMerge w:val="restart"/>
            <w:shd w:val="clear" w:color="auto" w:fill="EDF0FC"/>
          </w:tcPr>
          <w:p>
            <w:pPr>
              <w:jc w:val="right"/>
              <w:spacing w:after="0"/>
              <w:rPr>
                <w:sz w:val="20"/>
                <w:szCs w:val="20"/>
                <w:color w:val="auto"/>
              </w:rPr>
            </w:pPr>
            <w:r>
              <w:rPr>
                <w:rFonts w:ascii="Arial" w:cs="Arial" w:eastAsia="Arial" w:hAnsi="Arial"/>
                <w:sz w:val="16"/>
                <w:szCs w:val="16"/>
                <w:color w:val="auto"/>
              </w:rPr>
              <w:t>2022</w:t>
            </w:r>
          </w:p>
        </w:tc>
        <w:tc>
          <w:tcPr>
            <w:tcW w:w="1080" w:type="dxa"/>
            <w:vAlign w:val="bottom"/>
            <w:vMerge w:val="restart"/>
            <w:shd w:val="clear" w:color="auto" w:fill="EDF0FC"/>
          </w:tcPr>
          <w:p>
            <w:pPr>
              <w:jc w:val="right"/>
              <w:spacing w:after="0"/>
              <w:rPr>
                <w:sz w:val="20"/>
                <w:szCs w:val="20"/>
                <w:color w:val="auto"/>
              </w:rPr>
            </w:pPr>
            <w:r>
              <w:rPr>
                <w:rFonts w:ascii="Arial" w:cs="Arial" w:eastAsia="Arial" w:hAnsi="Arial"/>
                <w:sz w:val="16"/>
                <w:szCs w:val="16"/>
                <w:color w:val="auto"/>
              </w:rPr>
              <w:t>550,000</w:t>
            </w:r>
          </w:p>
        </w:tc>
        <w:tc>
          <w:tcPr>
            <w:tcW w:w="120" w:type="dxa"/>
            <w:vAlign w:val="bottom"/>
            <w:shd w:val="clear" w:color="auto" w:fill="EDF0FC"/>
          </w:tcPr>
          <w:p>
            <w:pPr>
              <w:spacing w:after="0"/>
              <w:rPr>
                <w:sz w:val="18"/>
                <w:szCs w:val="18"/>
                <w:color w:val="auto"/>
              </w:rPr>
            </w:pPr>
          </w:p>
        </w:tc>
        <w:tc>
          <w:tcPr>
            <w:tcW w:w="700" w:type="dxa"/>
            <w:vAlign w:val="bottom"/>
            <w:vMerge w:val="restart"/>
            <w:shd w:val="clear" w:color="auto" w:fill="EDF0FC"/>
          </w:tcPr>
          <w:p>
            <w:pPr>
              <w:ind w:left="34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EDF0FC"/>
          </w:tcPr>
          <w:p>
            <w:pPr>
              <w:jc w:val="right"/>
              <w:ind w:right="141"/>
              <w:spacing w:after="0"/>
              <w:rPr>
                <w:sz w:val="20"/>
                <w:szCs w:val="20"/>
                <w:color w:val="auto"/>
              </w:rPr>
            </w:pPr>
            <w:r>
              <w:rPr>
                <w:rFonts w:ascii="Arial" w:cs="Arial" w:eastAsia="Arial" w:hAnsi="Arial"/>
                <w:sz w:val="16"/>
                <w:szCs w:val="16"/>
                <w:color w:val="auto"/>
              </w:rPr>
              <w:t>1,073,366</w:t>
            </w:r>
          </w:p>
        </w:tc>
        <w:tc>
          <w:tcPr>
            <w:tcW w:w="1140" w:type="dxa"/>
            <w:vAlign w:val="bottom"/>
            <w:vMerge w:val="restart"/>
            <w:shd w:val="clear" w:color="auto" w:fill="EDF0FC"/>
          </w:tcPr>
          <w:p>
            <w:pPr>
              <w:jc w:val="right"/>
              <w:ind w:right="181"/>
              <w:spacing w:after="0"/>
              <w:rPr>
                <w:sz w:val="20"/>
                <w:szCs w:val="20"/>
                <w:color w:val="auto"/>
              </w:rPr>
            </w:pPr>
            <w:r>
              <w:rPr>
                <w:rFonts w:ascii="Arial" w:cs="Arial" w:eastAsia="Arial" w:hAnsi="Arial"/>
                <w:sz w:val="16"/>
                <w:szCs w:val="16"/>
                <w:color w:val="auto"/>
              </w:rPr>
              <w:t>577,579</w:t>
            </w:r>
          </w:p>
        </w:tc>
        <w:tc>
          <w:tcPr>
            <w:tcW w:w="1420" w:type="dxa"/>
            <w:vAlign w:val="bottom"/>
            <w:vMerge w:val="restart"/>
            <w:shd w:val="clear" w:color="auto" w:fill="EDF0FC"/>
          </w:tcPr>
          <w:p>
            <w:pPr>
              <w:jc w:val="right"/>
              <w:ind w:right="161"/>
              <w:spacing w:after="0"/>
              <w:rPr>
                <w:sz w:val="20"/>
                <w:szCs w:val="20"/>
                <w:color w:val="auto"/>
              </w:rPr>
            </w:pPr>
            <w:r>
              <w:rPr>
                <w:rFonts w:ascii="Arial" w:cs="Arial" w:eastAsia="Arial" w:hAnsi="Arial"/>
                <w:sz w:val="16"/>
                <w:szCs w:val="16"/>
                <w:color w:val="auto"/>
              </w:rPr>
              <w:t>623,210</w:t>
            </w:r>
          </w:p>
        </w:tc>
        <w:tc>
          <w:tcPr>
            <w:tcW w:w="1340" w:type="dxa"/>
            <w:vAlign w:val="bottom"/>
            <w:vMerge w:val="restart"/>
            <w:shd w:val="clear" w:color="auto" w:fill="EDF0FC"/>
          </w:tcPr>
          <w:p>
            <w:pPr>
              <w:jc w:val="right"/>
              <w:ind w:right="122"/>
              <w:spacing w:after="0"/>
              <w:rPr>
                <w:sz w:val="20"/>
                <w:szCs w:val="20"/>
                <w:color w:val="auto"/>
              </w:rPr>
            </w:pPr>
            <w:r>
              <w:rPr>
                <w:rFonts w:ascii="Arial" w:cs="Arial" w:eastAsia="Arial" w:hAnsi="Arial"/>
                <w:sz w:val="16"/>
                <w:szCs w:val="16"/>
                <w:color w:val="auto"/>
              </w:rPr>
              <w:t>132,974</w:t>
            </w:r>
          </w:p>
        </w:tc>
        <w:tc>
          <w:tcPr>
            <w:tcW w:w="1040" w:type="dxa"/>
            <w:vAlign w:val="bottom"/>
            <w:vMerge w:val="restart"/>
            <w:shd w:val="clear" w:color="auto" w:fill="EDF0FC"/>
          </w:tcPr>
          <w:p>
            <w:pPr>
              <w:jc w:val="right"/>
              <w:spacing w:after="0"/>
              <w:rPr>
                <w:sz w:val="20"/>
                <w:szCs w:val="20"/>
                <w:color w:val="auto"/>
              </w:rPr>
            </w:pPr>
            <w:r>
              <w:rPr>
                <w:rFonts w:ascii="Arial" w:cs="Arial" w:eastAsia="Arial" w:hAnsi="Arial"/>
                <w:sz w:val="16"/>
                <w:szCs w:val="16"/>
                <w:color w:val="auto"/>
              </w:rPr>
              <w:t>2,957,129</w:t>
            </w:r>
          </w:p>
        </w:tc>
        <w:tc>
          <w:tcPr>
            <w:tcW w:w="0" w:type="dxa"/>
            <w:vAlign w:val="bottom"/>
          </w:tcPr>
          <w:p>
            <w:pPr>
              <w:spacing w:after="0"/>
              <w:rPr>
                <w:sz w:val="1"/>
                <w:szCs w:val="1"/>
                <w:color w:val="auto"/>
              </w:rPr>
            </w:pPr>
          </w:p>
        </w:tc>
      </w:tr>
      <w:tr>
        <w:trPr>
          <w:trHeight w:val="96"/>
        </w:trPr>
        <w:tc>
          <w:tcPr>
            <w:tcW w:w="2560" w:type="dxa"/>
            <w:vAlign w:val="bottom"/>
            <w:shd w:val="clear" w:color="auto" w:fill="EDF0FC"/>
          </w:tcPr>
          <w:p>
            <w:pPr>
              <w:spacing w:after="0"/>
              <w:rPr>
                <w:sz w:val="8"/>
                <w:szCs w:val="8"/>
                <w:color w:val="auto"/>
              </w:rPr>
            </w:pPr>
          </w:p>
        </w:tc>
        <w:tc>
          <w:tcPr>
            <w:tcW w:w="760" w:type="dxa"/>
            <w:vAlign w:val="bottom"/>
            <w:vMerge w:val="continue"/>
            <w:shd w:val="clear" w:color="auto" w:fill="EDF0FC"/>
          </w:tcPr>
          <w:p>
            <w:pPr>
              <w:spacing w:after="0"/>
              <w:rPr>
                <w:sz w:val="8"/>
                <w:szCs w:val="8"/>
                <w:color w:val="auto"/>
              </w:rPr>
            </w:pPr>
          </w:p>
        </w:tc>
        <w:tc>
          <w:tcPr>
            <w:tcW w:w="1080" w:type="dxa"/>
            <w:vAlign w:val="bottom"/>
            <w:vMerge w:val="continue"/>
            <w:shd w:val="clear" w:color="auto" w:fill="EDF0FC"/>
          </w:tcPr>
          <w:p>
            <w:pPr>
              <w:spacing w:after="0"/>
              <w:rPr>
                <w:sz w:val="8"/>
                <w:szCs w:val="8"/>
                <w:color w:val="auto"/>
              </w:rPr>
            </w:pPr>
          </w:p>
        </w:tc>
        <w:tc>
          <w:tcPr>
            <w:tcW w:w="120" w:type="dxa"/>
            <w:vAlign w:val="bottom"/>
            <w:shd w:val="clear" w:color="auto" w:fill="EDF0FC"/>
          </w:tcPr>
          <w:p>
            <w:pPr>
              <w:spacing w:after="0"/>
              <w:rPr>
                <w:sz w:val="8"/>
                <w:szCs w:val="8"/>
                <w:color w:val="auto"/>
              </w:rPr>
            </w:pPr>
          </w:p>
        </w:tc>
        <w:tc>
          <w:tcPr>
            <w:tcW w:w="700" w:type="dxa"/>
            <w:vAlign w:val="bottom"/>
            <w:vMerge w:val="continue"/>
            <w:shd w:val="clear" w:color="auto" w:fill="EDF0FC"/>
          </w:tcPr>
          <w:p>
            <w:pPr>
              <w:spacing w:after="0"/>
              <w:rPr>
                <w:sz w:val="8"/>
                <w:szCs w:val="8"/>
                <w:color w:val="auto"/>
              </w:rPr>
            </w:pPr>
          </w:p>
        </w:tc>
        <w:tc>
          <w:tcPr>
            <w:tcW w:w="1080" w:type="dxa"/>
            <w:vAlign w:val="bottom"/>
            <w:vMerge w:val="continue"/>
            <w:shd w:val="clear" w:color="auto" w:fill="EDF0FC"/>
          </w:tcPr>
          <w:p>
            <w:pPr>
              <w:spacing w:after="0"/>
              <w:rPr>
                <w:sz w:val="8"/>
                <w:szCs w:val="8"/>
                <w:color w:val="auto"/>
              </w:rPr>
            </w:pPr>
          </w:p>
        </w:tc>
        <w:tc>
          <w:tcPr>
            <w:tcW w:w="1140" w:type="dxa"/>
            <w:vAlign w:val="bottom"/>
            <w:vMerge w:val="continue"/>
            <w:shd w:val="clear" w:color="auto" w:fill="EDF0FC"/>
          </w:tcPr>
          <w:p>
            <w:pPr>
              <w:spacing w:after="0"/>
              <w:rPr>
                <w:sz w:val="8"/>
                <w:szCs w:val="8"/>
                <w:color w:val="auto"/>
              </w:rPr>
            </w:pPr>
          </w:p>
        </w:tc>
        <w:tc>
          <w:tcPr>
            <w:tcW w:w="1420" w:type="dxa"/>
            <w:vAlign w:val="bottom"/>
            <w:vMerge w:val="continue"/>
            <w:shd w:val="clear" w:color="auto" w:fill="EDF0FC"/>
          </w:tcPr>
          <w:p>
            <w:pPr>
              <w:spacing w:after="0"/>
              <w:rPr>
                <w:sz w:val="8"/>
                <w:szCs w:val="8"/>
                <w:color w:val="auto"/>
              </w:rPr>
            </w:pPr>
          </w:p>
        </w:tc>
        <w:tc>
          <w:tcPr>
            <w:tcW w:w="1340" w:type="dxa"/>
            <w:vAlign w:val="bottom"/>
            <w:vMerge w:val="continue"/>
            <w:shd w:val="clear" w:color="auto" w:fill="EDF0FC"/>
          </w:tcPr>
          <w:p>
            <w:pPr>
              <w:spacing w:after="0"/>
              <w:rPr>
                <w:sz w:val="8"/>
                <w:szCs w:val="8"/>
                <w:color w:val="auto"/>
              </w:rPr>
            </w:pPr>
          </w:p>
        </w:tc>
        <w:tc>
          <w:tcPr>
            <w:tcW w:w="1040" w:type="dxa"/>
            <w:vAlign w:val="bottom"/>
            <w:vMerge w:val="continue"/>
            <w:shd w:val="clear" w:color="auto" w:fill="EDF0FC"/>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560" w:type="dxa"/>
            <w:vAlign w:val="bottom"/>
          </w:tcPr>
          <w:p>
            <w:pPr>
              <w:ind w:left="20"/>
              <w:spacing w:after="0"/>
              <w:rPr>
                <w:sz w:val="20"/>
                <w:szCs w:val="20"/>
                <w:color w:val="auto"/>
              </w:rPr>
            </w:pPr>
            <w:r>
              <w:rPr>
                <w:rFonts w:ascii="Arial" w:cs="Arial" w:eastAsia="Arial" w:hAnsi="Arial"/>
                <w:sz w:val="16"/>
                <w:szCs w:val="16"/>
                <w:b w:val="1"/>
                <w:bCs w:val="1"/>
                <w:color w:val="1A3FD6"/>
              </w:rPr>
              <w:t>Robert J. Gutowski</w:t>
            </w:r>
          </w:p>
        </w:tc>
        <w:tc>
          <w:tcPr>
            <w:tcW w:w="760" w:type="dxa"/>
            <w:vAlign w:val="bottom"/>
          </w:tcPr>
          <w:p>
            <w:pPr>
              <w:jc w:val="right"/>
              <w:spacing w:after="0"/>
              <w:rPr>
                <w:sz w:val="20"/>
                <w:szCs w:val="20"/>
                <w:color w:val="auto"/>
              </w:rPr>
            </w:pPr>
            <w:r>
              <w:rPr>
                <w:rFonts w:ascii="Arial" w:cs="Arial" w:eastAsia="Arial" w:hAnsi="Arial"/>
                <w:sz w:val="16"/>
                <w:szCs w:val="16"/>
                <w:color w:val="auto"/>
              </w:rPr>
              <w:t>2024</w:t>
            </w:r>
          </w:p>
        </w:tc>
        <w:tc>
          <w:tcPr>
            <w:tcW w:w="108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870,448</w:t>
            </w: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580,059</w:t>
            </w:r>
          </w:p>
        </w:tc>
        <w:tc>
          <w:tcPr>
            <w:tcW w:w="1420" w:type="dxa"/>
            <w:vAlign w:val="bottom"/>
          </w:tcPr>
          <w:p>
            <w:pPr>
              <w:jc w:val="right"/>
              <w:ind w:right="161"/>
              <w:spacing w:after="0"/>
              <w:rPr>
                <w:sz w:val="20"/>
                <w:szCs w:val="20"/>
                <w:color w:val="auto"/>
              </w:rPr>
            </w:pPr>
            <w:r>
              <w:rPr>
                <w:rFonts w:ascii="Arial" w:cs="Arial" w:eastAsia="Arial" w:hAnsi="Arial"/>
                <w:sz w:val="16"/>
                <w:szCs w:val="16"/>
                <w:color w:val="auto"/>
              </w:rPr>
              <w:t>630,370</w:t>
            </w: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76,952</w:t>
            </w:r>
          </w:p>
        </w:tc>
        <w:tc>
          <w:tcPr>
            <w:tcW w:w="1040" w:type="dxa"/>
            <w:vAlign w:val="bottom"/>
          </w:tcPr>
          <w:p>
            <w:pPr>
              <w:jc w:val="right"/>
              <w:spacing w:after="0"/>
              <w:rPr>
                <w:sz w:val="20"/>
                <w:szCs w:val="20"/>
                <w:color w:val="auto"/>
              </w:rPr>
            </w:pPr>
            <w:r>
              <w:rPr>
                <w:rFonts w:ascii="Arial" w:cs="Arial" w:eastAsia="Arial" w:hAnsi="Arial"/>
                <w:sz w:val="16"/>
                <w:szCs w:val="16"/>
                <w:color w:val="auto"/>
              </w:rPr>
              <w:t>2,657,829</w:t>
            </w:r>
          </w:p>
        </w:tc>
        <w:tc>
          <w:tcPr>
            <w:tcW w:w="0" w:type="dxa"/>
            <w:vAlign w:val="bottom"/>
          </w:tcPr>
          <w:p>
            <w:pPr>
              <w:spacing w:after="0"/>
              <w:rPr>
                <w:sz w:val="1"/>
                <w:szCs w:val="1"/>
                <w:color w:val="auto"/>
              </w:rPr>
            </w:pPr>
          </w:p>
        </w:tc>
      </w:tr>
      <w:tr>
        <w:trPr>
          <w:trHeight w:val="203"/>
        </w:trPr>
        <w:tc>
          <w:tcPr>
            <w:tcW w:w="2560" w:type="dxa"/>
            <w:vAlign w:val="bottom"/>
          </w:tcPr>
          <w:p>
            <w:pPr>
              <w:ind w:left="220"/>
              <w:spacing w:after="0"/>
              <w:rPr>
                <w:sz w:val="20"/>
                <w:szCs w:val="20"/>
                <w:color w:val="auto"/>
              </w:rPr>
            </w:pPr>
            <w:r>
              <w:rPr>
                <w:rFonts w:ascii="Arial" w:cs="Arial" w:eastAsia="Arial" w:hAnsi="Arial"/>
                <w:sz w:val="16"/>
                <w:szCs w:val="16"/>
                <w:color w:val="auto"/>
              </w:rPr>
              <w:t>General Counsel and Head of</w:t>
            </w:r>
          </w:p>
        </w:tc>
        <w:tc>
          <w:tcPr>
            <w:tcW w:w="760" w:type="dxa"/>
            <w:vAlign w:val="bottom"/>
          </w:tcPr>
          <w:p>
            <w:pPr>
              <w:jc w:val="right"/>
              <w:spacing w:after="0"/>
              <w:rPr>
                <w:sz w:val="20"/>
                <w:szCs w:val="20"/>
                <w:color w:val="auto"/>
              </w:rPr>
            </w:pPr>
            <w:r>
              <w:rPr>
                <w:rFonts w:ascii="Arial" w:cs="Arial" w:eastAsia="Arial" w:hAnsi="Arial"/>
                <w:sz w:val="16"/>
                <w:szCs w:val="16"/>
                <w:color w:val="auto"/>
              </w:rPr>
              <w:t>2023</w:t>
            </w:r>
          </w:p>
        </w:tc>
        <w:tc>
          <w:tcPr>
            <w:tcW w:w="1080" w:type="dxa"/>
            <w:vAlign w:val="bottom"/>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1"/>
              <w:spacing w:after="0"/>
              <w:rPr>
                <w:sz w:val="20"/>
                <w:szCs w:val="20"/>
                <w:color w:val="auto"/>
              </w:rPr>
            </w:pPr>
            <w:r>
              <w:rPr>
                <w:rFonts w:ascii="Arial" w:cs="Arial" w:eastAsia="Arial" w:hAnsi="Arial"/>
                <w:sz w:val="16"/>
                <w:szCs w:val="16"/>
                <w:color w:val="auto"/>
              </w:rPr>
              <w:t>878,313</w:t>
            </w:r>
          </w:p>
        </w:tc>
        <w:tc>
          <w:tcPr>
            <w:tcW w:w="1140" w:type="dxa"/>
            <w:vAlign w:val="bottom"/>
          </w:tcPr>
          <w:p>
            <w:pPr>
              <w:jc w:val="right"/>
              <w:ind w:right="181"/>
              <w:spacing w:after="0"/>
              <w:rPr>
                <w:sz w:val="20"/>
                <w:szCs w:val="20"/>
                <w:color w:val="auto"/>
              </w:rPr>
            </w:pPr>
            <w:r>
              <w:rPr>
                <w:rFonts w:ascii="Arial" w:cs="Arial" w:eastAsia="Arial" w:hAnsi="Arial"/>
                <w:sz w:val="16"/>
                <w:szCs w:val="16"/>
                <w:color w:val="auto"/>
              </w:rPr>
              <w:t>472,531</w:t>
            </w:r>
          </w:p>
        </w:tc>
        <w:tc>
          <w:tcPr>
            <w:tcW w:w="1420" w:type="dxa"/>
            <w:vAlign w:val="bottom"/>
          </w:tcPr>
          <w:p>
            <w:pPr>
              <w:jc w:val="right"/>
              <w:ind w:right="161"/>
              <w:spacing w:after="0"/>
              <w:rPr>
                <w:sz w:val="20"/>
                <w:szCs w:val="20"/>
                <w:color w:val="auto"/>
              </w:rPr>
            </w:pPr>
            <w:r>
              <w:rPr>
                <w:rFonts w:ascii="Arial" w:cs="Arial" w:eastAsia="Arial" w:hAnsi="Arial"/>
                <w:sz w:val="16"/>
                <w:szCs w:val="16"/>
                <w:color w:val="auto"/>
              </w:rPr>
              <w:t>673,140</w:t>
            </w:r>
          </w:p>
        </w:tc>
        <w:tc>
          <w:tcPr>
            <w:tcW w:w="1340" w:type="dxa"/>
            <w:vAlign w:val="bottom"/>
          </w:tcPr>
          <w:p>
            <w:pPr>
              <w:jc w:val="right"/>
              <w:ind w:right="122"/>
              <w:spacing w:after="0"/>
              <w:rPr>
                <w:sz w:val="20"/>
                <w:szCs w:val="20"/>
                <w:color w:val="auto"/>
              </w:rPr>
            </w:pPr>
            <w:r>
              <w:rPr>
                <w:rFonts w:ascii="Arial" w:cs="Arial" w:eastAsia="Arial" w:hAnsi="Arial"/>
                <w:sz w:val="16"/>
                <w:szCs w:val="16"/>
                <w:color w:val="auto"/>
              </w:rPr>
              <w:t>49,370</w:t>
            </w:r>
          </w:p>
        </w:tc>
        <w:tc>
          <w:tcPr>
            <w:tcW w:w="1040" w:type="dxa"/>
            <w:vAlign w:val="bottom"/>
          </w:tcPr>
          <w:p>
            <w:pPr>
              <w:jc w:val="right"/>
              <w:spacing w:after="0"/>
              <w:rPr>
                <w:sz w:val="20"/>
                <w:szCs w:val="20"/>
                <w:color w:val="auto"/>
              </w:rPr>
            </w:pPr>
            <w:r>
              <w:rPr>
                <w:rFonts w:ascii="Arial" w:cs="Arial" w:eastAsia="Arial" w:hAnsi="Arial"/>
                <w:sz w:val="16"/>
                <w:szCs w:val="16"/>
                <w:color w:val="auto"/>
              </w:rPr>
              <w:t>2,573,354</w:t>
            </w:r>
          </w:p>
        </w:tc>
        <w:tc>
          <w:tcPr>
            <w:tcW w:w="0" w:type="dxa"/>
            <w:vAlign w:val="bottom"/>
          </w:tcPr>
          <w:p>
            <w:pPr>
              <w:spacing w:after="0"/>
              <w:rPr>
                <w:sz w:val="1"/>
                <w:szCs w:val="1"/>
                <w:color w:val="auto"/>
              </w:rPr>
            </w:pPr>
          </w:p>
        </w:tc>
      </w:tr>
      <w:tr>
        <w:trPr>
          <w:trHeight w:val="215"/>
        </w:trPr>
        <w:tc>
          <w:tcPr>
            <w:tcW w:w="2560" w:type="dxa"/>
            <w:vAlign w:val="bottom"/>
          </w:tcPr>
          <w:p>
            <w:pPr>
              <w:ind w:left="220"/>
              <w:spacing w:after="0"/>
              <w:rPr>
                <w:sz w:val="20"/>
                <w:szCs w:val="20"/>
                <w:color w:val="auto"/>
              </w:rPr>
            </w:pPr>
            <w:r>
              <w:rPr>
                <w:rFonts w:ascii="Arial" w:cs="Arial" w:eastAsia="Arial" w:hAnsi="Arial"/>
                <w:sz w:val="16"/>
                <w:szCs w:val="16"/>
                <w:color w:val="auto"/>
              </w:rPr>
              <w:t>Corporate Affairs</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2022</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18"/>
                <w:szCs w:val="18"/>
                <w:color w:val="auto"/>
              </w:rPr>
            </w:pPr>
          </w:p>
        </w:tc>
        <w:tc>
          <w:tcPr>
            <w:tcW w:w="700" w:type="dxa"/>
            <w:vAlign w:val="bottom"/>
            <w:vMerge w:val="restart"/>
          </w:tcPr>
          <w:p>
            <w:pPr>
              <w:ind w:left="340"/>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141"/>
              <w:spacing w:after="0"/>
              <w:rPr>
                <w:sz w:val="20"/>
                <w:szCs w:val="20"/>
                <w:color w:val="auto"/>
              </w:rPr>
            </w:pPr>
            <w:r>
              <w:rPr>
                <w:rFonts w:ascii="Arial" w:cs="Arial" w:eastAsia="Arial" w:hAnsi="Arial"/>
                <w:sz w:val="16"/>
                <w:szCs w:val="16"/>
                <w:color w:val="auto"/>
              </w:rPr>
              <w:t>780,269</w:t>
            </w:r>
          </w:p>
        </w:tc>
        <w:tc>
          <w:tcPr>
            <w:tcW w:w="1140" w:type="dxa"/>
            <w:vAlign w:val="bottom"/>
            <w:vMerge w:val="restart"/>
          </w:tcPr>
          <w:p>
            <w:pPr>
              <w:jc w:val="right"/>
              <w:ind w:right="181"/>
              <w:spacing w:after="0"/>
              <w:rPr>
                <w:sz w:val="20"/>
                <w:szCs w:val="20"/>
                <w:color w:val="auto"/>
              </w:rPr>
            </w:pPr>
            <w:r>
              <w:rPr>
                <w:rFonts w:ascii="Arial" w:cs="Arial" w:eastAsia="Arial" w:hAnsi="Arial"/>
                <w:sz w:val="16"/>
                <w:szCs w:val="16"/>
                <w:color w:val="auto"/>
              </w:rPr>
              <w:t>420,119</w:t>
            </w:r>
          </w:p>
        </w:tc>
        <w:tc>
          <w:tcPr>
            <w:tcW w:w="1420" w:type="dxa"/>
            <w:vAlign w:val="bottom"/>
            <w:vMerge w:val="restart"/>
          </w:tcPr>
          <w:p>
            <w:pPr>
              <w:jc w:val="right"/>
              <w:ind w:right="161"/>
              <w:spacing w:after="0"/>
              <w:rPr>
                <w:sz w:val="20"/>
                <w:szCs w:val="20"/>
                <w:color w:val="auto"/>
              </w:rPr>
            </w:pPr>
            <w:r>
              <w:rPr>
                <w:rFonts w:ascii="Arial" w:cs="Arial" w:eastAsia="Arial" w:hAnsi="Arial"/>
                <w:sz w:val="16"/>
                <w:szCs w:val="16"/>
                <w:color w:val="auto"/>
              </w:rPr>
              <w:t>578,690</w:t>
            </w:r>
          </w:p>
        </w:tc>
        <w:tc>
          <w:tcPr>
            <w:tcW w:w="1340" w:type="dxa"/>
            <w:vAlign w:val="bottom"/>
            <w:vMerge w:val="restart"/>
          </w:tcPr>
          <w:p>
            <w:pPr>
              <w:jc w:val="right"/>
              <w:ind w:right="122"/>
              <w:spacing w:after="0"/>
              <w:rPr>
                <w:sz w:val="20"/>
                <w:szCs w:val="20"/>
                <w:color w:val="auto"/>
              </w:rPr>
            </w:pPr>
            <w:r>
              <w:rPr>
                <w:rFonts w:ascii="Arial" w:cs="Arial" w:eastAsia="Arial" w:hAnsi="Arial"/>
                <w:sz w:val="16"/>
                <w:szCs w:val="16"/>
                <w:color w:val="auto"/>
              </w:rPr>
              <w:t>56,813</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2,335,891</w:t>
            </w:r>
          </w:p>
        </w:tc>
        <w:tc>
          <w:tcPr>
            <w:tcW w:w="0" w:type="dxa"/>
            <w:vAlign w:val="bottom"/>
          </w:tcPr>
          <w:p>
            <w:pPr>
              <w:spacing w:after="0"/>
              <w:rPr>
                <w:sz w:val="1"/>
                <w:szCs w:val="1"/>
                <w:color w:val="auto"/>
              </w:rPr>
            </w:pPr>
          </w:p>
        </w:tc>
      </w:tr>
      <w:tr>
        <w:trPr>
          <w:trHeight w:val="80"/>
        </w:trPr>
        <w:tc>
          <w:tcPr>
            <w:tcW w:w="25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25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80" w:hanging="172"/>
        <w:spacing w:after="0"/>
        <w:tabs>
          <w:tab w:leader="none" w:pos="180" w:val="left"/>
        </w:tabs>
        <w:numPr>
          <w:ilvl w:val="0"/>
          <w:numId w:val="90"/>
        </w:numPr>
        <w:rPr>
          <w:rFonts w:ascii="Arial" w:cs="Arial" w:eastAsia="Arial" w:hAnsi="Arial"/>
          <w:sz w:val="19"/>
          <w:szCs w:val="19"/>
          <w:color w:val="auto"/>
          <w:vertAlign w:val="superscript"/>
        </w:rPr>
      </w:pPr>
      <w:r>
        <w:rPr>
          <w:rFonts w:ascii="Arial" w:cs="Arial" w:eastAsia="Arial" w:hAnsi="Arial"/>
          <w:sz w:val="14"/>
          <w:szCs w:val="14"/>
          <w:color w:val="auto"/>
        </w:rPr>
        <w:t>Mr. Pettit’s 2024 base salary rate was £625,000.</w:t>
      </w:r>
    </w:p>
    <w:p>
      <w:pPr>
        <w:spacing w:after="0" w:line="57" w:lineRule="exact"/>
        <w:rPr>
          <w:rFonts w:ascii="Arial" w:cs="Arial" w:eastAsia="Arial" w:hAnsi="Arial"/>
          <w:sz w:val="19"/>
          <w:szCs w:val="19"/>
          <w:color w:val="auto"/>
          <w:vertAlign w:val="superscript"/>
        </w:rPr>
      </w:pPr>
    </w:p>
    <w:p>
      <w:pPr>
        <w:ind w:left="200" w:right="40" w:hanging="192"/>
        <w:spacing w:after="0" w:line="256" w:lineRule="auto"/>
        <w:tabs>
          <w:tab w:leader="none" w:pos="187" w:val="left"/>
        </w:tabs>
        <w:numPr>
          <w:ilvl w:val="0"/>
          <w:numId w:val="90"/>
        </w:numPr>
        <w:rPr>
          <w:rFonts w:ascii="Arial" w:cs="Arial" w:eastAsia="Arial" w:hAnsi="Arial"/>
          <w:sz w:val="19"/>
          <w:szCs w:val="19"/>
          <w:color w:val="auto"/>
          <w:vertAlign w:val="superscript"/>
        </w:rPr>
      </w:pPr>
      <w:r>
        <w:rPr>
          <w:rFonts w:ascii="Arial" w:cs="Arial" w:eastAsia="Arial" w:hAnsi="Arial"/>
          <w:sz w:val="14"/>
          <w:szCs w:val="14"/>
          <w:color w:val="auto"/>
        </w:rPr>
        <w:t>Represents the grant date fair value of stock and option awards granted during each fiscal year, as computed in accordance with FASB ASC Topic 718-10, excluding the effect of estimated forfeitures, and does not reflect whether the NEO will actually receive a financial benefit from the award. The awards reported in this column were granted in February 2022, February 2023 and February 2024 as part of the annual compensation process. The following table represents the grant date fair value of stock and option awards granted during February 2024:</w:t>
      </w:r>
    </w:p>
    <w:p>
      <w:pPr>
        <w:spacing w:after="0" w:line="302" w:lineRule="exact"/>
        <w:rPr>
          <w:sz w:val="20"/>
          <w:szCs w:val="20"/>
          <w:color w:val="auto"/>
        </w:rPr>
      </w:pPr>
    </w:p>
    <w:p>
      <w:pPr>
        <w:ind w:left="220"/>
        <w:spacing w:after="0"/>
        <w:rPr>
          <w:sz w:val="20"/>
          <w:szCs w:val="20"/>
          <w:color w:val="auto"/>
        </w:rPr>
      </w:pPr>
      <w:r>
        <w:rPr>
          <w:rFonts w:ascii="Arial" w:cs="Arial" w:eastAsia="Arial" w:hAnsi="Arial"/>
          <w:sz w:val="20"/>
          <w:szCs w:val="20"/>
          <w:color w:val="1A3FD6"/>
        </w:rPr>
        <w:t>Grant Date Fair Value of Stock Units Granted During 2024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73660</wp:posOffset>
            </wp:positionV>
            <wp:extent cx="68408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94" w:lineRule="exact"/>
        <w:rPr>
          <w:sz w:val="20"/>
          <w:szCs w:val="20"/>
          <w:color w:val="auto"/>
        </w:rPr>
      </w:pPr>
    </w:p>
    <w:tbl>
      <w:tblPr>
        <w:tblLayout w:type="fixed"/>
        <w:tblInd w:w="200" w:type="dxa"/>
        <w:tblCellMar>
          <w:top w:w="0" w:type="dxa"/>
          <w:left w:w="0" w:type="dxa"/>
          <w:bottom w:w="0" w:type="dxa"/>
          <w:right w:w="0" w:type="dxa"/>
        </w:tblCellMar>
      </w:tblPr>
      <w:tr>
        <w:trPr>
          <w:trHeight w:val="172"/>
        </w:trPr>
        <w:tc>
          <w:tcPr>
            <w:tcW w:w="380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3120" w:type="dxa"/>
            <w:vAlign w:val="bottom"/>
          </w:tcPr>
          <w:p>
            <w:pPr>
              <w:jc w:val="right"/>
              <w:ind w:right="270"/>
              <w:spacing w:after="0"/>
              <w:rPr>
                <w:sz w:val="20"/>
                <w:szCs w:val="20"/>
                <w:color w:val="auto"/>
              </w:rPr>
            </w:pPr>
            <w:r>
              <w:rPr>
                <w:rFonts w:ascii="Arial" w:cs="Arial" w:eastAsia="Arial" w:hAnsi="Arial"/>
                <w:sz w:val="13"/>
                <w:szCs w:val="13"/>
                <w:b w:val="1"/>
                <w:bCs w:val="1"/>
                <w:color w:val="auto"/>
              </w:rPr>
              <w:t>RSUs</w:t>
            </w:r>
          </w:p>
        </w:tc>
        <w:tc>
          <w:tcPr>
            <w:tcW w:w="1400" w:type="dxa"/>
            <w:vAlign w:val="bottom"/>
          </w:tcPr>
          <w:p>
            <w:pPr>
              <w:jc w:val="right"/>
              <w:ind w:right="270"/>
              <w:spacing w:after="0"/>
              <w:rPr>
                <w:sz w:val="20"/>
                <w:szCs w:val="20"/>
                <w:color w:val="auto"/>
              </w:rPr>
            </w:pPr>
            <w:r>
              <w:rPr>
                <w:rFonts w:ascii="Arial" w:cs="Arial" w:eastAsia="Arial" w:hAnsi="Arial"/>
                <w:sz w:val="13"/>
                <w:szCs w:val="13"/>
                <w:b w:val="1"/>
                <w:bCs w:val="1"/>
                <w:color w:val="auto"/>
              </w:rPr>
              <w:t>PSUs</w:t>
            </w:r>
          </w:p>
        </w:tc>
        <w:tc>
          <w:tcPr>
            <w:tcW w:w="1360" w:type="dxa"/>
            <w:vAlign w:val="bottom"/>
          </w:tcPr>
          <w:p>
            <w:pPr>
              <w:jc w:val="right"/>
              <w:ind w:right="250"/>
              <w:spacing w:after="0"/>
              <w:rPr>
                <w:sz w:val="20"/>
                <w:szCs w:val="20"/>
                <w:color w:val="auto"/>
              </w:rPr>
            </w:pPr>
            <w:r>
              <w:rPr>
                <w:rFonts w:ascii="Arial" w:cs="Arial" w:eastAsia="Arial" w:hAnsi="Arial"/>
                <w:sz w:val="13"/>
                <w:szCs w:val="13"/>
                <w:b w:val="1"/>
                <w:bCs w:val="1"/>
                <w:color w:val="auto"/>
              </w:rPr>
              <w:t>PSOs</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r>
      <w:tr>
        <w:trPr>
          <w:trHeight w:val="22"/>
        </w:trPr>
        <w:tc>
          <w:tcPr>
            <w:tcW w:w="3800" w:type="dxa"/>
            <w:vAlign w:val="bottom"/>
            <w:tcBorders>
              <w:bottom w:val="single" w:sz="8" w:color="1A3FD6"/>
            </w:tcBorders>
          </w:tcPr>
          <w:p>
            <w:pPr>
              <w:spacing w:after="0" w:line="20" w:lineRule="exact"/>
              <w:rPr>
                <w:sz w:val="1"/>
                <w:szCs w:val="1"/>
                <w:color w:val="auto"/>
              </w:rPr>
            </w:pPr>
          </w:p>
        </w:tc>
        <w:tc>
          <w:tcPr>
            <w:tcW w:w="3120" w:type="dxa"/>
            <w:vAlign w:val="bottom"/>
            <w:tcBorders>
              <w:bottom w:val="single" w:sz="8" w:color="1A3FD6"/>
            </w:tcBorders>
          </w:tcPr>
          <w:p>
            <w:pPr>
              <w:spacing w:after="0" w:line="20" w:lineRule="exact"/>
              <w:rPr>
                <w:sz w:val="1"/>
                <w:szCs w:val="1"/>
                <w:color w:val="auto"/>
              </w:rPr>
            </w:pPr>
          </w:p>
        </w:tc>
        <w:tc>
          <w:tcPr>
            <w:tcW w:w="1400" w:type="dxa"/>
            <w:vAlign w:val="bottom"/>
            <w:tcBorders>
              <w:bottom w:val="single" w:sz="8" w:color="1A3FD6"/>
            </w:tcBorders>
          </w:tcPr>
          <w:p>
            <w:pPr>
              <w:spacing w:after="0" w:line="20" w:lineRule="exact"/>
              <w:rPr>
                <w:sz w:val="1"/>
                <w:szCs w:val="1"/>
                <w:color w:val="auto"/>
              </w:rPr>
            </w:pPr>
          </w:p>
        </w:tc>
        <w:tc>
          <w:tcPr>
            <w:tcW w:w="1360" w:type="dxa"/>
            <w:vAlign w:val="bottom"/>
            <w:tcBorders>
              <w:bottom w:val="single" w:sz="8" w:color="1A3FD6"/>
            </w:tcBorders>
          </w:tcPr>
          <w:p>
            <w:pPr>
              <w:spacing w:after="0" w:line="20" w:lineRule="exact"/>
              <w:rPr>
                <w:sz w:val="1"/>
                <w:szCs w:val="1"/>
                <w:color w:val="auto"/>
              </w:rPr>
            </w:pPr>
          </w:p>
        </w:tc>
        <w:tc>
          <w:tcPr>
            <w:tcW w:w="1080" w:type="dxa"/>
            <w:vAlign w:val="bottom"/>
            <w:tcBorders>
              <w:bottom w:val="single" w:sz="8" w:color="1A3FD6"/>
            </w:tcBorders>
          </w:tcPr>
          <w:p>
            <w:pPr>
              <w:spacing w:after="0" w:line="20" w:lineRule="exact"/>
              <w:rPr>
                <w:sz w:val="1"/>
                <w:szCs w:val="1"/>
                <w:color w:val="auto"/>
              </w:rPr>
            </w:pPr>
          </w:p>
        </w:tc>
      </w:tr>
      <w:tr>
        <w:trPr>
          <w:trHeight w:val="215"/>
        </w:trPr>
        <w:tc>
          <w:tcPr>
            <w:tcW w:w="3800" w:type="dxa"/>
            <w:vAlign w:val="bottom"/>
          </w:tcPr>
          <w:p>
            <w:pPr>
              <w:ind w:left="20"/>
              <w:spacing w:after="0"/>
              <w:rPr>
                <w:sz w:val="20"/>
                <w:szCs w:val="20"/>
                <w:color w:val="auto"/>
              </w:rPr>
            </w:pPr>
            <w:r>
              <w:rPr>
                <w:rFonts w:ascii="Arial" w:cs="Arial" w:eastAsia="Arial" w:hAnsi="Arial"/>
                <w:sz w:val="14"/>
                <w:szCs w:val="14"/>
                <w:b w:val="1"/>
                <w:bCs w:val="1"/>
                <w:color w:val="1A3FD6"/>
              </w:rPr>
              <w:t>Henry A. Fernandez</w:t>
            </w:r>
          </w:p>
        </w:tc>
        <w:tc>
          <w:tcPr>
            <w:tcW w:w="3120" w:type="dxa"/>
            <w:vAlign w:val="bottom"/>
          </w:tcPr>
          <w:p>
            <w:pPr>
              <w:jc w:val="right"/>
              <w:ind w:right="33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330"/>
              <w:spacing w:after="0"/>
              <w:rPr>
                <w:sz w:val="20"/>
                <w:szCs w:val="20"/>
                <w:color w:val="auto"/>
              </w:rPr>
            </w:pPr>
            <w:r>
              <w:rPr>
                <w:rFonts w:ascii="Arial" w:cs="Arial" w:eastAsia="Arial" w:hAnsi="Arial"/>
                <w:sz w:val="14"/>
                <w:szCs w:val="14"/>
                <w:color w:val="auto"/>
              </w:rPr>
              <w:t>3,480,002</w:t>
            </w:r>
          </w:p>
        </w:tc>
        <w:tc>
          <w:tcPr>
            <w:tcW w:w="1360" w:type="dxa"/>
            <w:vAlign w:val="bottom"/>
          </w:tcPr>
          <w:p>
            <w:pPr>
              <w:jc w:val="right"/>
              <w:ind w:right="290"/>
              <w:spacing w:after="0"/>
              <w:rPr>
                <w:sz w:val="20"/>
                <w:szCs w:val="20"/>
                <w:color w:val="auto"/>
              </w:rPr>
            </w:pPr>
            <w:r>
              <w:rPr>
                <w:rFonts w:ascii="Arial" w:cs="Arial" w:eastAsia="Arial" w:hAnsi="Arial"/>
                <w:sz w:val="14"/>
                <w:szCs w:val="14"/>
                <w:color w:val="auto"/>
              </w:rPr>
              <w:t>8,120,159</w:t>
            </w:r>
          </w:p>
        </w:tc>
        <w:tc>
          <w:tcPr>
            <w:tcW w:w="1080" w:type="dxa"/>
            <w:vAlign w:val="bottom"/>
          </w:tcPr>
          <w:p>
            <w:pPr>
              <w:jc w:val="right"/>
              <w:spacing w:after="0"/>
              <w:rPr>
                <w:sz w:val="20"/>
                <w:szCs w:val="20"/>
                <w:color w:val="auto"/>
              </w:rPr>
            </w:pPr>
            <w:r>
              <w:rPr>
                <w:rFonts w:ascii="Arial" w:cs="Arial" w:eastAsia="Arial" w:hAnsi="Arial"/>
                <w:sz w:val="14"/>
                <w:szCs w:val="14"/>
                <w:color w:val="auto"/>
              </w:rPr>
              <w:t>11,600,161</w:t>
            </w:r>
          </w:p>
        </w:tc>
      </w:tr>
      <w:tr>
        <w:trPr>
          <w:trHeight w:val="237"/>
        </w:trPr>
        <w:tc>
          <w:tcPr>
            <w:tcW w:w="3800" w:type="dxa"/>
            <w:vAlign w:val="bottom"/>
            <w:shd w:val="clear" w:color="auto" w:fill="EDF0FC"/>
          </w:tcPr>
          <w:p>
            <w:pPr>
              <w:ind w:left="20"/>
              <w:spacing w:after="0"/>
              <w:rPr>
                <w:sz w:val="20"/>
                <w:szCs w:val="20"/>
                <w:color w:val="auto"/>
              </w:rPr>
            </w:pPr>
            <w:r>
              <w:rPr>
                <w:rFonts w:ascii="Arial" w:cs="Arial" w:eastAsia="Arial" w:hAnsi="Arial"/>
                <w:sz w:val="14"/>
                <w:szCs w:val="14"/>
                <w:b w:val="1"/>
                <w:bCs w:val="1"/>
                <w:color w:val="1A3FD6"/>
              </w:rPr>
              <w:t>Andrew C. Wiechmann</w:t>
            </w:r>
          </w:p>
        </w:tc>
        <w:tc>
          <w:tcPr>
            <w:tcW w:w="3120" w:type="dxa"/>
            <w:vAlign w:val="bottom"/>
            <w:shd w:val="clear" w:color="auto" w:fill="EDF0FC"/>
          </w:tcPr>
          <w:p>
            <w:pPr>
              <w:jc w:val="right"/>
              <w:ind w:right="330"/>
              <w:spacing w:after="0"/>
              <w:rPr>
                <w:sz w:val="20"/>
                <w:szCs w:val="20"/>
                <w:color w:val="auto"/>
              </w:rPr>
            </w:pPr>
            <w:r>
              <w:rPr>
                <w:rFonts w:ascii="Arial" w:cs="Arial" w:eastAsia="Arial" w:hAnsi="Arial"/>
                <w:sz w:val="14"/>
                <w:szCs w:val="14"/>
                <w:color w:val="auto"/>
              </w:rPr>
              <w:t>795,566</w:t>
            </w:r>
          </w:p>
        </w:tc>
        <w:tc>
          <w:tcPr>
            <w:tcW w:w="1400" w:type="dxa"/>
            <w:vAlign w:val="bottom"/>
            <w:shd w:val="clear" w:color="auto" w:fill="EDF0FC"/>
          </w:tcPr>
          <w:p>
            <w:pPr>
              <w:jc w:val="right"/>
              <w:ind w:right="330"/>
              <w:spacing w:after="0"/>
              <w:rPr>
                <w:sz w:val="20"/>
                <w:szCs w:val="20"/>
                <w:color w:val="auto"/>
              </w:rPr>
            </w:pPr>
            <w:r>
              <w:rPr>
                <w:rFonts w:ascii="Arial" w:cs="Arial" w:eastAsia="Arial" w:hAnsi="Arial"/>
                <w:sz w:val="14"/>
                <w:szCs w:val="14"/>
                <w:color w:val="auto"/>
              </w:rPr>
              <w:t>795,113</w:t>
            </w:r>
          </w:p>
        </w:tc>
        <w:tc>
          <w:tcPr>
            <w:tcW w:w="1360" w:type="dxa"/>
            <w:vAlign w:val="bottom"/>
            <w:shd w:val="clear" w:color="auto" w:fill="EDF0FC"/>
          </w:tcPr>
          <w:p>
            <w:pPr>
              <w:jc w:val="right"/>
              <w:ind w:right="290"/>
              <w:spacing w:after="0"/>
              <w:rPr>
                <w:sz w:val="20"/>
                <w:szCs w:val="20"/>
                <w:color w:val="auto"/>
              </w:rPr>
            </w:pPr>
            <w:r>
              <w:rPr>
                <w:rFonts w:ascii="Arial" w:cs="Arial" w:eastAsia="Arial" w:hAnsi="Arial"/>
                <w:sz w:val="14"/>
                <w:szCs w:val="14"/>
                <w:color w:val="auto"/>
              </w:rPr>
              <w:t>1,060,070</w:t>
            </w:r>
          </w:p>
        </w:tc>
        <w:tc>
          <w:tcPr>
            <w:tcW w:w="1080" w:type="dxa"/>
            <w:vAlign w:val="bottom"/>
            <w:shd w:val="clear" w:color="auto" w:fill="EDF0FC"/>
          </w:tcPr>
          <w:p>
            <w:pPr>
              <w:jc w:val="right"/>
              <w:spacing w:after="0"/>
              <w:rPr>
                <w:sz w:val="20"/>
                <w:szCs w:val="20"/>
                <w:color w:val="auto"/>
              </w:rPr>
            </w:pPr>
            <w:r>
              <w:rPr>
                <w:rFonts w:ascii="Arial" w:cs="Arial" w:eastAsia="Arial" w:hAnsi="Arial"/>
                <w:sz w:val="14"/>
                <w:szCs w:val="14"/>
                <w:color w:val="auto"/>
              </w:rPr>
              <w:t>2,650,749</w:t>
            </w:r>
          </w:p>
        </w:tc>
      </w:tr>
      <w:tr>
        <w:trPr>
          <w:trHeight w:val="222"/>
        </w:trPr>
        <w:tc>
          <w:tcPr>
            <w:tcW w:w="3800" w:type="dxa"/>
            <w:vAlign w:val="bottom"/>
          </w:tcPr>
          <w:p>
            <w:pPr>
              <w:ind w:left="20"/>
              <w:spacing w:after="0"/>
              <w:rPr>
                <w:sz w:val="20"/>
                <w:szCs w:val="20"/>
                <w:color w:val="auto"/>
              </w:rPr>
            </w:pPr>
            <w:r>
              <w:rPr>
                <w:rFonts w:ascii="Arial" w:cs="Arial" w:eastAsia="Arial" w:hAnsi="Arial"/>
                <w:sz w:val="14"/>
                <w:szCs w:val="14"/>
                <w:b w:val="1"/>
                <w:bCs w:val="1"/>
                <w:color w:val="1A3FD6"/>
              </w:rPr>
              <w:t>C.D. Baer Pettit</w:t>
            </w:r>
          </w:p>
        </w:tc>
        <w:tc>
          <w:tcPr>
            <w:tcW w:w="3120" w:type="dxa"/>
            <w:vAlign w:val="bottom"/>
          </w:tcPr>
          <w:p>
            <w:pPr>
              <w:jc w:val="right"/>
              <w:ind w:right="33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330"/>
              <w:spacing w:after="0"/>
              <w:rPr>
                <w:sz w:val="20"/>
                <w:szCs w:val="20"/>
                <w:color w:val="auto"/>
              </w:rPr>
            </w:pPr>
            <w:r>
              <w:rPr>
                <w:rFonts w:ascii="Arial" w:cs="Arial" w:eastAsia="Arial" w:hAnsi="Arial"/>
                <w:sz w:val="14"/>
                <w:szCs w:val="14"/>
                <w:color w:val="auto"/>
              </w:rPr>
              <w:t>1,950,088</w:t>
            </w:r>
          </w:p>
        </w:tc>
        <w:tc>
          <w:tcPr>
            <w:tcW w:w="1360" w:type="dxa"/>
            <w:vAlign w:val="bottom"/>
          </w:tcPr>
          <w:p>
            <w:pPr>
              <w:jc w:val="right"/>
              <w:ind w:right="290"/>
              <w:spacing w:after="0"/>
              <w:rPr>
                <w:sz w:val="20"/>
                <w:szCs w:val="20"/>
                <w:color w:val="auto"/>
              </w:rPr>
            </w:pPr>
            <w:r>
              <w:rPr>
                <w:rFonts w:ascii="Arial" w:cs="Arial" w:eastAsia="Arial" w:hAnsi="Arial"/>
                <w:sz w:val="14"/>
                <w:szCs w:val="14"/>
                <w:color w:val="auto"/>
              </w:rPr>
              <w:t>4,550,206</w:t>
            </w:r>
          </w:p>
        </w:tc>
        <w:tc>
          <w:tcPr>
            <w:tcW w:w="1080" w:type="dxa"/>
            <w:vAlign w:val="bottom"/>
          </w:tcPr>
          <w:p>
            <w:pPr>
              <w:jc w:val="right"/>
              <w:spacing w:after="0"/>
              <w:rPr>
                <w:sz w:val="20"/>
                <w:szCs w:val="20"/>
                <w:color w:val="auto"/>
              </w:rPr>
            </w:pPr>
            <w:r>
              <w:rPr>
                <w:rFonts w:ascii="Arial" w:cs="Arial" w:eastAsia="Arial" w:hAnsi="Arial"/>
                <w:sz w:val="14"/>
                <w:szCs w:val="14"/>
                <w:color w:val="auto"/>
              </w:rPr>
              <w:t>6,500,294</w:t>
            </w:r>
          </w:p>
        </w:tc>
      </w:tr>
      <w:tr>
        <w:trPr>
          <w:trHeight w:val="237"/>
        </w:trPr>
        <w:tc>
          <w:tcPr>
            <w:tcW w:w="3800" w:type="dxa"/>
            <w:vAlign w:val="bottom"/>
            <w:shd w:val="clear" w:color="auto" w:fill="EDF0FC"/>
          </w:tcPr>
          <w:p>
            <w:pPr>
              <w:ind w:left="20"/>
              <w:spacing w:after="0"/>
              <w:rPr>
                <w:sz w:val="20"/>
                <w:szCs w:val="20"/>
                <w:color w:val="auto"/>
              </w:rPr>
            </w:pPr>
            <w:r>
              <w:rPr>
                <w:rFonts w:ascii="Arial" w:cs="Arial" w:eastAsia="Arial" w:hAnsi="Arial"/>
                <w:sz w:val="14"/>
                <w:szCs w:val="14"/>
                <w:b w:val="1"/>
                <w:bCs w:val="1"/>
                <w:color w:val="1A3FD6"/>
              </w:rPr>
              <w:t>Scott A. Crum</w:t>
            </w:r>
          </w:p>
        </w:tc>
        <w:tc>
          <w:tcPr>
            <w:tcW w:w="3120" w:type="dxa"/>
            <w:vAlign w:val="bottom"/>
            <w:shd w:val="clear" w:color="auto" w:fill="EDF0FC"/>
          </w:tcPr>
          <w:p>
            <w:pPr>
              <w:jc w:val="right"/>
              <w:ind w:right="330"/>
              <w:spacing w:after="0"/>
              <w:rPr>
                <w:sz w:val="20"/>
                <w:szCs w:val="20"/>
                <w:color w:val="auto"/>
              </w:rPr>
            </w:pPr>
            <w:r>
              <w:rPr>
                <w:rFonts w:ascii="Arial" w:cs="Arial" w:eastAsia="Arial" w:hAnsi="Arial"/>
                <w:sz w:val="14"/>
                <w:szCs w:val="14"/>
                <w:color w:val="auto"/>
              </w:rPr>
              <w:t>600,416</w:t>
            </w:r>
          </w:p>
        </w:tc>
        <w:tc>
          <w:tcPr>
            <w:tcW w:w="1400" w:type="dxa"/>
            <w:vAlign w:val="bottom"/>
            <w:shd w:val="clear" w:color="auto" w:fill="EDF0FC"/>
          </w:tcPr>
          <w:p>
            <w:pPr>
              <w:jc w:val="right"/>
              <w:ind w:right="330"/>
              <w:spacing w:after="0"/>
              <w:rPr>
                <w:sz w:val="20"/>
                <w:szCs w:val="20"/>
                <w:color w:val="auto"/>
              </w:rPr>
            </w:pPr>
            <w:r>
              <w:rPr>
                <w:rFonts w:ascii="Arial" w:cs="Arial" w:eastAsia="Arial" w:hAnsi="Arial"/>
                <w:sz w:val="14"/>
                <w:szCs w:val="14"/>
                <w:color w:val="auto"/>
              </w:rPr>
              <w:t>600,104</w:t>
            </w:r>
          </w:p>
        </w:tc>
        <w:tc>
          <w:tcPr>
            <w:tcW w:w="1360" w:type="dxa"/>
            <w:vAlign w:val="bottom"/>
            <w:shd w:val="clear" w:color="auto" w:fill="EDF0FC"/>
          </w:tcPr>
          <w:p>
            <w:pPr>
              <w:jc w:val="right"/>
              <w:ind w:right="290"/>
              <w:spacing w:after="0"/>
              <w:rPr>
                <w:sz w:val="20"/>
                <w:szCs w:val="20"/>
                <w:color w:val="auto"/>
              </w:rPr>
            </w:pPr>
            <w:r>
              <w:rPr>
                <w:rFonts w:ascii="Arial" w:cs="Arial" w:eastAsia="Arial" w:hAnsi="Arial"/>
                <w:sz w:val="14"/>
                <w:szCs w:val="14"/>
                <w:color w:val="auto"/>
              </w:rPr>
              <w:t>800,166</w:t>
            </w:r>
          </w:p>
        </w:tc>
        <w:tc>
          <w:tcPr>
            <w:tcW w:w="1080" w:type="dxa"/>
            <w:vAlign w:val="bottom"/>
            <w:shd w:val="clear" w:color="auto" w:fill="EDF0FC"/>
          </w:tcPr>
          <w:p>
            <w:pPr>
              <w:jc w:val="right"/>
              <w:spacing w:after="0"/>
              <w:rPr>
                <w:sz w:val="20"/>
                <w:szCs w:val="20"/>
                <w:color w:val="auto"/>
              </w:rPr>
            </w:pPr>
            <w:r>
              <w:rPr>
                <w:rFonts w:ascii="Arial" w:cs="Arial" w:eastAsia="Arial" w:hAnsi="Arial"/>
                <w:sz w:val="14"/>
                <w:szCs w:val="14"/>
                <w:color w:val="auto"/>
              </w:rPr>
              <w:t>2,000,686</w:t>
            </w:r>
          </w:p>
        </w:tc>
      </w:tr>
      <w:tr>
        <w:trPr>
          <w:trHeight w:val="223"/>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1A3FD6"/>
              </w:rPr>
              <w:t>Robert J. Gutowski</w:t>
            </w:r>
          </w:p>
        </w:tc>
        <w:tc>
          <w:tcPr>
            <w:tcW w:w="312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rPr>
              <w:t>435,197</w:t>
            </w: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rPr>
              <w:t>435,251</w:t>
            </w: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rPr>
              <w:t>580,059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1,450,507</w:t>
            </w:r>
          </w:p>
        </w:tc>
      </w:tr>
    </w:tbl>
    <w:p>
      <w:pPr>
        <w:spacing w:after="0" w:line="180" w:lineRule="exact"/>
        <w:rPr>
          <w:sz w:val="20"/>
          <w:szCs w:val="20"/>
          <w:color w:val="auto"/>
        </w:rPr>
      </w:pPr>
    </w:p>
    <w:p>
      <w:pPr>
        <w:ind w:left="200" w:right="100"/>
        <w:spacing w:after="0" w:line="289" w:lineRule="auto"/>
        <w:rPr>
          <w:sz w:val="20"/>
          <w:szCs w:val="20"/>
          <w:color w:val="auto"/>
        </w:rPr>
      </w:pPr>
      <w:r>
        <w:rPr>
          <w:rFonts w:ascii="Arial" w:cs="Arial" w:eastAsia="Arial" w:hAnsi="Arial"/>
          <w:sz w:val="14"/>
          <w:szCs w:val="14"/>
          <w:color w:val="auto"/>
        </w:rPr>
        <w:t>The grant date fair value of the PSUs granted to the NEOs during 2024 was calculated based on the probable outcome of the performance conditions as of the grant date, consistent with the estimate of aggregate compensation cost to be recognized over the service period determined as of the grant date under FASB ASC Subtopic 718-10, excluding the effect of estimated forfeitures. The grant date value of the PSUs granted to the NEOs in 2024 and reported in the table above, assuming the highest level of performance conditions will be achieved (200% of target levels), is $6,960,005 for Mr. Fernandez, $1,590,226 for Mr. Wiechmann, $3,900,176 for Mr. Pettit, $1,200,209 for Mr. Crum and $870,503 for Mr. Gutowski. The grant date value of the PSUs is calculated using a Monte-Carlo simulation valuation model that takes into account all possible outcomes of the performance-based condition, including consideration of maximum payout value. The amounts reflected in this column and in this footnote do not represent the actual amounts that will be paid to or realized by our NEOs for awards made during the respective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86" w:name="page87"/>
    <w:bookmarkEnd w:id="86"/>
    <w:p>
      <w:pPr>
        <w:ind w:left="8420"/>
        <w:spacing w:after="0"/>
        <w:tabs>
          <w:tab w:leader="none" w:pos="109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Compensation Matters | MSCI</w:t>
      </w:r>
      <w:r>
        <w:rPr>
          <w:sz w:val="20"/>
          <w:szCs w:val="20"/>
          <w:color w:val="auto"/>
        </w:rPr>
        <w:tab/>
      </w:r>
      <w:r>
        <w:rPr>
          <w:rFonts w:ascii="Arial" w:cs="Arial" w:eastAsia="Arial" w:hAnsi="Arial"/>
          <w:sz w:val="14"/>
          <w:szCs w:val="14"/>
          <w:b w:val="1"/>
          <w:bCs w:val="1"/>
          <w:color w:val="1A3FD6"/>
        </w:rPr>
        <w:t>85</w:t>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spacing w:after="0" w:line="303" w:lineRule="auto"/>
        <w:rPr>
          <w:sz w:val="20"/>
          <w:szCs w:val="20"/>
          <w:color w:val="auto"/>
        </w:rPr>
      </w:pPr>
      <w:r>
        <w:rPr>
          <w:rFonts w:ascii="Arial" w:cs="Arial" w:eastAsia="Arial" w:hAnsi="Arial"/>
          <w:sz w:val="14"/>
          <w:szCs w:val="14"/>
          <w:color w:val="auto"/>
        </w:rPr>
        <w:t>The grant date fair value of the PSOs granted to the NEOs during 2024 was calculated using the Black-Scholes option pricing model, in accordance with FASB ASC Subtopic 718-10. The grant date value of the PSOs granted to the NEOs in 2024 and reported in the table above, assuming the highest level of performance conditions will be achieved (200% of target levels), is $16,240,317 for Mr. Fernandez, $2,120,139 for Mr. Wiechmann, $9,100,412 for Mr. Pettit, $1,600,331 for Mr. Crum and $1,160,118 for Mr. Gutowski.</w:t>
      </w:r>
    </w:p>
    <w:p>
      <w:pPr>
        <w:spacing w:after="0" w:line="241" w:lineRule="exact"/>
        <w:rPr>
          <w:sz w:val="20"/>
          <w:szCs w:val="20"/>
          <w:color w:val="auto"/>
        </w:rPr>
      </w:pPr>
    </w:p>
    <w:p>
      <w:pPr>
        <w:ind w:left="200" w:right="300"/>
        <w:spacing w:after="0" w:line="325" w:lineRule="auto"/>
        <w:rPr>
          <w:sz w:val="20"/>
          <w:szCs w:val="20"/>
          <w:color w:val="auto"/>
        </w:rPr>
      </w:pPr>
      <w:r>
        <w:rPr>
          <w:rFonts w:ascii="Arial" w:cs="Arial" w:eastAsia="Arial" w:hAnsi="Arial"/>
          <w:sz w:val="14"/>
          <w:szCs w:val="14"/>
          <w:color w:val="auto"/>
        </w:rPr>
        <w:t>Information regarding the assumptions used to value these awards is set forth in note 11 to the consolidated financial statements included in the Company’s 2024 Annual Report on Form 10-K.</w:t>
      </w:r>
    </w:p>
    <w:p>
      <w:pPr>
        <w:spacing w:after="0" w:line="50" w:lineRule="exact"/>
        <w:rPr>
          <w:sz w:val="20"/>
          <w:szCs w:val="20"/>
          <w:color w:val="auto"/>
        </w:rPr>
      </w:pPr>
    </w:p>
    <w:p>
      <w:pPr>
        <w:ind w:left="200" w:right="60" w:hanging="192"/>
        <w:spacing w:after="0" w:line="257" w:lineRule="auto"/>
        <w:tabs>
          <w:tab w:leader="none" w:pos="187" w:val="left"/>
        </w:tabs>
        <w:numPr>
          <w:ilvl w:val="0"/>
          <w:numId w:val="91"/>
        </w:numPr>
        <w:rPr>
          <w:rFonts w:ascii="Arial" w:cs="Arial" w:eastAsia="Arial" w:hAnsi="Arial"/>
          <w:sz w:val="19"/>
          <w:szCs w:val="19"/>
          <w:color w:val="auto"/>
          <w:vertAlign w:val="superscript"/>
        </w:rPr>
      </w:pPr>
      <w:r>
        <w:rPr>
          <w:rFonts w:ascii="Arial" w:cs="Arial" w:eastAsia="Arial" w:hAnsi="Arial"/>
          <w:sz w:val="14"/>
          <w:szCs w:val="14"/>
          <w:color w:val="auto"/>
        </w:rPr>
        <w:t>Represents the annual cash bonus paid for 2024, 2023 and 2022 performance, as applicable, (i) under the 2024 AIP in February 2025 with respect to the 2024 performance year, (ii) under the 2023 AIP in February 2024 with respect to the 2023 performance year and (iii) under the 2022 AIP in February 2023 with respect to the 2022 performance year.</w:t>
      </w:r>
    </w:p>
    <w:p>
      <w:pPr>
        <w:spacing w:after="0" w:line="13"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91"/>
        </w:numPr>
        <w:rPr>
          <w:rFonts w:ascii="Arial" w:cs="Arial" w:eastAsia="Arial" w:hAnsi="Arial"/>
          <w:sz w:val="19"/>
          <w:szCs w:val="19"/>
          <w:color w:val="auto"/>
          <w:vertAlign w:val="superscript"/>
        </w:rPr>
      </w:pPr>
      <w:r>
        <w:rPr>
          <w:rFonts w:ascii="Arial" w:cs="Arial" w:eastAsia="Arial" w:hAnsi="Arial"/>
          <w:sz w:val="14"/>
          <w:szCs w:val="14"/>
          <w:color w:val="auto"/>
        </w:rPr>
        <w:t>The Company does not offer defined benefit pension plans or a nonqualified deferred compensation plan to NEOs.</w:t>
      </w:r>
    </w:p>
    <w:p>
      <w:pPr>
        <w:spacing w:after="0" w:line="57" w:lineRule="exact"/>
        <w:rPr>
          <w:rFonts w:ascii="Arial" w:cs="Arial" w:eastAsia="Arial" w:hAnsi="Arial"/>
          <w:sz w:val="19"/>
          <w:szCs w:val="19"/>
          <w:color w:val="auto"/>
          <w:vertAlign w:val="superscript"/>
        </w:rPr>
      </w:pPr>
    </w:p>
    <w:p>
      <w:pPr>
        <w:ind w:left="180" w:hanging="172"/>
        <w:spacing w:after="0" w:line="203" w:lineRule="auto"/>
        <w:tabs>
          <w:tab w:leader="none" w:pos="180" w:val="left"/>
        </w:tabs>
        <w:numPr>
          <w:ilvl w:val="0"/>
          <w:numId w:val="91"/>
        </w:numPr>
        <w:rPr>
          <w:rFonts w:ascii="Arial" w:cs="Arial" w:eastAsia="Arial" w:hAnsi="Arial"/>
          <w:sz w:val="19"/>
          <w:szCs w:val="19"/>
          <w:color w:val="auto"/>
          <w:vertAlign w:val="superscript"/>
        </w:rPr>
      </w:pPr>
      <w:r>
        <w:rPr>
          <w:rFonts w:ascii="Arial" w:cs="Arial" w:eastAsia="Arial" w:hAnsi="Arial"/>
          <w:sz w:val="14"/>
          <w:szCs w:val="14"/>
          <w:color w:val="auto"/>
        </w:rPr>
        <w:t>The amounts reflected in the “All Other Compensation” column for 2024 include Company matching contributions to the MSCI Inc. 401(k) Retirement Savings Plan of</w:t>
      </w:r>
    </w:p>
    <w:p>
      <w:pPr>
        <w:ind w:left="200" w:right="100"/>
        <w:spacing w:after="0" w:line="304" w:lineRule="auto"/>
        <w:rPr>
          <w:rFonts w:ascii="Arial" w:cs="Arial" w:eastAsia="Arial" w:hAnsi="Arial"/>
          <w:sz w:val="19"/>
          <w:szCs w:val="19"/>
          <w:color w:val="auto"/>
          <w:vertAlign w:val="superscript"/>
        </w:rPr>
      </w:pPr>
      <w:r>
        <w:rPr>
          <w:rFonts w:ascii="Arial" w:cs="Arial" w:eastAsia="Arial" w:hAnsi="Arial"/>
          <w:sz w:val="14"/>
          <w:szCs w:val="14"/>
          <w:color w:val="auto"/>
        </w:rPr>
        <w:t>$26,910 for each of Mr. Fernandez, Mr. Crum, Mr. Wiechmann and Mr. Gutowski. Company contributions to the MSCI Barra Group (UK) Personal Pension Plan for Mr. Pettit in 2024 totaled £62,500 ($79,874).</w:t>
      </w:r>
    </w:p>
    <w:p>
      <w:pPr>
        <w:spacing w:after="0" w:line="10" w:lineRule="exact"/>
        <w:rPr>
          <w:rFonts w:ascii="Arial" w:cs="Arial" w:eastAsia="Arial" w:hAnsi="Arial"/>
          <w:sz w:val="19"/>
          <w:szCs w:val="19"/>
          <w:color w:val="auto"/>
          <w:vertAlign w:val="superscript"/>
        </w:rPr>
      </w:pPr>
    </w:p>
    <w:p>
      <w:pPr>
        <w:ind w:left="200" w:right="160" w:hanging="192"/>
        <w:spacing w:after="0" w:line="239" w:lineRule="auto"/>
        <w:tabs>
          <w:tab w:leader="none" w:pos="187" w:val="left"/>
        </w:tabs>
        <w:numPr>
          <w:ilvl w:val="0"/>
          <w:numId w:val="91"/>
        </w:numPr>
        <w:rPr>
          <w:rFonts w:ascii="Arial" w:cs="Arial" w:eastAsia="Arial" w:hAnsi="Arial"/>
          <w:sz w:val="19"/>
          <w:szCs w:val="19"/>
          <w:color w:val="auto"/>
          <w:vertAlign w:val="superscript"/>
        </w:rPr>
      </w:pPr>
      <w:r>
        <w:rPr>
          <w:rFonts w:ascii="Arial" w:cs="Arial" w:eastAsia="Arial" w:hAnsi="Arial"/>
          <w:sz w:val="14"/>
          <w:szCs w:val="14"/>
          <w:color w:val="auto"/>
        </w:rPr>
        <w:t>The amount included in the “All Other Compensation” column includes Company matching contributions to the 2024 UK Medical Coverage for Mr. Pettit in 2024 equal to for £5,190 ($6,633).</w:t>
      </w:r>
    </w:p>
    <w:p>
      <w:pPr>
        <w:spacing w:after="0" w:line="54" w:lineRule="exact"/>
        <w:rPr>
          <w:rFonts w:ascii="Arial" w:cs="Arial" w:eastAsia="Arial" w:hAnsi="Arial"/>
          <w:sz w:val="19"/>
          <w:szCs w:val="19"/>
          <w:color w:val="auto"/>
          <w:vertAlign w:val="superscript"/>
        </w:rPr>
      </w:pPr>
    </w:p>
    <w:p>
      <w:pPr>
        <w:ind w:left="200" w:right="100" w:hanging="192"/>
        <w:spacing w:after="0" w:line="239" w:lineRule="auto"/>
        <w:tabs>
          <w:tab w:leader="none" w:pos="187" w:val="left"/>
        </w:tabs>
        <w:numPr>
          <w:ilvl w:val="0"/>
          <w:numId w:val="91"/>
        </w:numPr>
        <w:rPr>
          <w:rFonts w:ascii="Arial" w:cs="Arial" w:eastAsia="Arial" w:hAnsi="Arial"/>
          <w:sz w:val="19"/>
          <w:szCs w:val="19"/>
          <w:color w:val="auto"/>
          <w:vertAlign w:val="superscript"/>
        </w:rPr>
      </w:pPr>
      <w:r>
        <w:rPr>
          <w:rFonts w:ascii="Arial" w:cs="Arial" w:eastAsia="Arial" w:hAnsi="Arial"/>
          <w:sz w:val="14"/>
          <w:szCs w:val="14"/>
          <w:color w:val="auto"/>
        </w:rPr>
        <w:t>In connection with the Company’s payment of its quarterly cash dividend, the “All Other Compensation” column includes for 2024 the payment to Messrs. Wiechmann, Crum and Gutowski of dividend equivalents for outstanding RSUs and, for all NEOs outstanding 2021 3-Year PSUs and 2019 5-Year PSUs, as follows:</w:t>
      </w:r>
    </w:p>
    <w:p>
      <w:pPr>
        <w:spacing w:after="0" w:line="200" w:lineRule="exact"/>
        <w:rPr>
          <w:sz w:val="20"/>
          <w:szCs w:val="20"/>
          <w:color w:val="auto"/>
        </w:rPr>
      </w:pPr>
    </w:p>
    <w:p>
      <w:pPr>
        <w:spacing w:after="0" w:line="274" w:lineRule="exact"/>
        <w:rPr>
          <w:sz w:val="20"/>
          <w:szCs w:val="20"/>
          <w:color w:val="auto"/>
        </w:rPr>
      </w:pPr>
    </w:p>
    <w:p>
      <w:pPr>
        <w:ind w:left="220"/>
        <w:spacing w:after="0"/>
        <w:rPr>
          <w:sz w:val="20"/>
          <w:szCs w:val="20"/>
          <w:color w:val="auto"/>
        </w:rPr>
      </w:pPr>
      <w:r>
        <w:rPr>
          <w:rFonts w:ascii="Arial" w:cs="Arial" w:eastAsia="Arial" w:hAnsi="Arial"/>
          <w:sz w:val="20"/>
          <w:szCs w:val="20"/>
          <w:color w:val="1A3FD6"/>
        </w:rPr>
        <w:t>2024 Dividend Equivalents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142240</wp:posOffset>
            </wp:positionV>
            <wp:extent cx="68408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340" w:type="dxa"/>
            <w:vAlign w:val="bottom"/>
          </w:tcPr>
          <w:p>
            <w:pPr>
              <w:jc w:val="right"/>
              <w:ind w:right="151"/>
              <w:spacing w:after="0"/>
              <w:rPr>
                <w:sz w:val="20"/>
                <w:szCs w:val="20"/>
                <w:color w:val="auto"/>
              </w:rPr>
            </w:pPr>
            <w:r>
              <w:rPr>
                <w:rFonts w:ascii="Arial" w:cs="Arial" w:eastAsia="Arial" w:hAnsi="Arial"/>
                <w:sz w:val="13"/>
                <w:szCs w:val="13"/>
                <w:b w:val="1"/>
                <w:bCs w:val="1"/>
                <w:color w:val="auto"/>
              </w:rPr>
              <w:t>2019 5-Year</w:t>
            </w:r>
          </w:p>
        </w:tc>
        <w:tc>
          <w:tcPr>
            <w:tcW w:w="1220" w:type="dxa"/>
            <w:vAlign w:val="bottom"/>
          </w:tcPr>
          <w:p>
            <w:pPr>
              <w:jc w:val="right"/>
              <w:ind w:right="251"/>
              <w:spacing w:after="0"/>
              <w:rPr>
                <w:sz w:val="20"/>
                <w:szCs w:val="20"/>
                <w:color w:val="auto"/>
              </w:rPr>
            </w:pPr>
            <w:r>
              <w:rPr>
                <w:rFonts w:ascii="Arial" w:cs="Arial" w:eastAsia="Arial" w:hAnsi="Arial"/>
                <w:sz w:val="13"/>
                <w:szCs w:val="13"/>
                <w:b w:val="1"/>
                <w:bCs w:val="1"/>
                <w:color w:val="auto"/>
              </w:rPr>
              <w:t>2021 3-Year</w:t>
            </w: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340" w:type="dxa"/>
            <w:vAlign w:val="bottom"/>
          </w:tcPr>
          <w:p>
            <w:pPr>
              <w:jc w:val="right"/>
              <w:ind w:right="151"/>
              <w:spacing w:after="0"/>
              <w:rPr>
                <w:sz w:val="20"/>
                <w:szCs w:val="20"/>
                <w:color w:val="auto"/>
              </w:rPr>
            </w:pPr>
            <w:r>
              <w:rPr>
                <w:rFonts w:ascii="Arial" w:cs="Arial" w:eastAsia="Arial" w:hAnsi="Arial"/>
                <w:sz w:val="13"/>
                <w:szCs w:val="13"/>
                <w:b w:val="1"/>
                <w:bCs w:val="1"/>
                <w:color w:val="auto"/>
              </w:rPr>
              <w:t>PSUs</w:t>
            </w:r>
          </w:p>
        </w:tc>
        <w:tc>
          <w:tcPr>
            <w:tcW w:w="1220" w:type="dxa"/>
            <w:vAlign w:val="bottom"/>
          </w:tcPr>
          <w:p>
            <w:pPr>
              <w:jc w:val="right"/>
              <w:ind w:right="251"/>
              <w:spacing w:after="0"/>
              <w:rPr>
                <w:sz w:val="20"/>
                <w:szCs w:val="20"/>
                <w:color w:val="auto"/>
              </w:rPr>
            </w:pPr>
            <w:r>
              <w:rPr>
                <w:rFonts w:ascii="Arial" w:cs="Arial" w:eastAsia="Arial" w:hAnsi="Arial"/>
                <w:sz w:val="13"/>
                <w:szCs w:val="13"/>
                <w:b w:val="1"/>
                <w:bCs w:val="1"/>
                <w:color w:val="auto"/>
              </w:rPr>
              <w:t>PSUs</w:t>
            </w: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jc w:val="right"/>
              <w:ind w:right="231"/>
              <w:spacing w:after="0"/>
              <w:rPr>
                <w:sz w:val="20"/>
                <w:szCs w:val="20"/>
                <w:color w:val="auto"/>
              </w:rPr>
            </w:pPr>
            <w:r>
              <w:rPr>
                <w:rFonts w:ascii="Arial" w:cs="Arial" w:eastAsia="Arial" w:hAnsi="Arial"/>
                <w:sz w:val="13"/>
                <w:szCs w:val="13"/>
                <w:b w:val="1"/>
                <w:bCs w:val="1"/>
                <w:color w:val="auto"/>
                <w:w w:val="95"/>
              </w:rPr>
              <w:t>Outstanding RSUs</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0" w:type="dxa"/>
            <w:vAlign w:val="bottom"/>
          </w:tcPr>
          <w:p>
            <w:pPr>
              <w:spacing w:after="0" w:line="20" w:lineRule="exact"/>
              <w:rPr>
                <w:sz w:val="1"/>
                <w:szCs w:val="1"/>
                <w:color w:val="auto"/>
              </w:rPr>
            </w:pPr>
          </w:p>
        </w:tc>
        <w:tc>
          <w:tcPr>
            <w:tcW w:w="29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340" w:type="dxa"/>
            <w:vAlign w:val="bottom"/>
            <w:tcBorders>
              <w:bottom w:val="single" w:sz="8" w:color="1A3FD6"/>
            </w:tcBorders>
          </w:tcPr>
          <w:p>
            <w:pPr>
              <w:spacing w:after="0" w:line="20" w:lineRule="exact"/>
              <w:rPr>
                <w:sz w:val="1"/>
                <w:szCs w:val="1"/>
                <w:color w:val="auto"/>
              </w:rPr>
            </w:pPr>
          </w:p>
        </w:tc>
        <w:tc>
          <w:tcPr>
            <w:tcW w:w="1220" w:type="dxa"/>
            <w:vAlign w:val="bottom"/>
            <w:tcBorders>
              <w:bottom w:val="single" w:sz="8" w:color="1A3FD6"/>
            </w:tcBorders>
          </w:tcPr>
          <w:p>
            <w:pPr>
              <w:spacing w:after="0" w:line="20" w:lineRule="exact"/>
              <w:rPr>
                <w:sz w:val="1"/>
                <w:szCs w:val="1"/>
                <w:color w:val="auto"/>
              </w:rPr>
            </w:pPr>
          </w:p>
        </w:tc>
        <w:tc>
          <w:tcPr>
            <w:tcW w:w="1100" w:type="dxa"/>
            <w:vAlign w:val="bottom"/>
            <w:tcBorders>
              <w:bottom w:val="single" w:sz="8" w:color="1A3FD6"/>
            </w:tcBorders>
          </w:tcPr>
          <w:p>
            <w:pPr>
              <w:spacing w:after="0" w:line="20" w:lineRule="exact"/>
              <w:rPr>
                <w:sz w:val="1"/>
                <w:szCs w:val="1"/>
                <w:color w:val="auto"/>
              </w:rPr>
            </w:pPr>
          </w:p>
        </w:tc>
        <w:tc>
          <w:tcPr>
            <w:tcW w:w="820" w:type="dxa"/>
            <w:vAlign w:val="bottom"/>
            <w:tcBorders>
              <w:bottom w:val="single" w:sz="8" w:color="1A3FD6"/>
            </w:tcBorders>
          </w:tcPr>
          <w:p>
            <w:pPr>
              <w:spacing w:after="0" w:line="20" w:lineRule="exact"/>
              <w:rPr>
                <w:sz w:val="1"/>
                <w:szCs w:val="1"/>
                <w:color w:val="auto"/>
              </w:rPr>
            </w:pPr>
          </w:p>
        </w:tc>
        <w:tc>
          <w:tcPr>
            <w:tcW w:w="1420" w:type="dxa"/>
            <w:vAlign w:val="bottom"/>
            <w:tcBorders>
              <w:bottom w:val="single" w:sz="8" w:color="1A3FD6"/>
            </w:tcBorders>
          </w:tcPr>
          <w:p>
            <w:pPr>
              <w:spacing w:after="0" w:line="20" w:lineRule="exact"/>
              <w:rPr>
                <w:sz w:val="1"/>
                <w:szCs w:val="1"/>
                <w:color w:val="auto"/>
              </w:rPr>
            </w:pPr>
          </w:p>
        </w:tc>
        <w:tc>
          <w:tcPr>
            <w:tcW w:w="1000" w:type="dxa"/>
            <w:vAlign w:val="bottom"/>
            <w:tcBorders>
              <w:bottom w:val="single" w:sz="8" w:color="1A3FD6"/>
            </w:tcBorders>
          </w:tcPr>
          <w:p>
            <w:pPr>
              <w:spacing w:after="0" w:line="20" w:lineRule="exact"/>
              <w:rPr>
                <w:sz w:val="1"/>
                <w:szCs w:val="1"/>
                <w:color w:val="auto"/>
              </w:rPr>
            </w:pPr>
          </w:p>
        </w:tc>
        <w:tc>
          <w:tcPr>
            <w:tcW w:w="900" w:type="dxa"/>
            <w:vAlign w:val="bottom"/>
            <w:tcBorders>
              <w:bottom w:val="single" w:sz="8" w:color="1A3FD6"/>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200" w:type="dxa"/>
            <w:vAlign w:val="bottom"/>
          </w:tcPr>
          <w:p>
            <w:pPr>
              <w:spacing w:after="0"/>
              <w:rPr>
                <w:sz w:val="15"/>
                <w:szCs w:val="15"/>
                <w:color w:val="auto"/>
              </w:rPr>
            </w:pPr>
          </w:p>
        </w:tc>
        <w:tc>
          <w:tcPr>
            <w:tcW w:w="2960" w:type="dxa"/>
            <w:vAlign w:val="bottom"/>
            <w:vMerge w:val="continue"/>
          </w:tcPr>
          <w:p>
            <w:pPr>
              <w:spacing w:after="0"/>
              <w:rPr>
                <w:sz w:val="15"/>
                <w:szCs w:val="15"/>
                <w:color w:val="auto"/>
              </w:rPr>
            </w:pPr>
          </w:p>
        </w:tc>
        <w:tc>
          <w:tcPr>
            <w:tcW w:w="1340" w:type="dxa"/>
            <w:vAlign w:val="bottom"/>
          </w:tcPr>
          <w:p>
            <w:pPr>
              <w:jc w:val="right"/>
              <w:ind w:right="151"/>
              <w:spacing w:after="0"/>
              <w:rPr>
                <w:sz w:val="20"/>
                <w:szCs w:val="20"/>
                <w:color w:val="auto"/>
              </w:rPr>
            </w:pPr>
            <w:r>
              <w:rPr>
                <w:rFonts w:ascii="Arial" w:cs="Arial" w:eastAsia="Arial" w:hAnsi="Arial"/>
                <w:sz w:val="13"/>
                <w:szCs w:val="13"/>
                <w:b w:val="1"/>
                <w:bCs w:val="1"/>
                <w:color w:val="auto"/>
              </w:rPr>
              <w:t>1Q 2024</w:t>
            </w:r>
          </w:p>
        </w:tc>
        <w:tc>
          <w:tcPr>
            <w:tcW w:w="1220" w:type="dxa"/>
            <w:vAlign w:val="bottom"/>
          </w:tcPr>
          <w:p>
            <w:pPr>
              <w:jc w:val="right"/>
              <w:ind w:right="251"/>
              <w:spacing w:after="0"/>
              <w:rPr>
                <w:sz w:val="20"/>
                <w:szCs w:val="20"/>
                <w:color w:val="auto"/>
              </w:rPr>
            </w:pPr>
            <w:r>
              <w:rPr>
                <w:rFonts w:ascii="Arial" w:cs="Arial" w:eastAsia="Arial" w:hAnsi="Arial"/>
                <w:sz w:val="13"/>
                <w:szCs w:val="13"/>
                <w:b w:val="1"/>
                <w:bCs w:val="1"/>
                <w:color w:val="auto"/>
              </w:rPr>
              <w:t>1Q 2024</w:t>
            </w:r>
          </w:p>
        </w:tc>
        <w:tc>
          <w:tcPr>
            <w:tcW w:w="1100" w:type="dxa"/>
            <w:vAlign w:val="bottom"/>
          </w:tcPr>
          <w:p>
            <w:pPr>
              <w:jc w:val="right"/>
              <w:ind w:right="230"/>
              <w:spacing w:after="0"/>
              <w:rPr>
                <w:sz w:val="20"/>
                <w:szCs w:val="20"/>
                <w:color w:val="auto"/>
              </w:rPr>
            </w:pPr>
            <w:r>
              <w:rPr>
                <w:rFonts w:ascii="Arial" w:cs="Arial" w:eastAsia="Arial" w:hAnsi="Arial"/>
                <w:sz w:val="13"/>
                <w:szCs w:val="13"/>
                <w:b w:val="1"/>
                <w:bCs w:val="1"/>
                <w:color w:val="auto"/>
              </w:rPr>
              <w:t>1Q 2024</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2Q 2024</w:t>
            </w:r>
          </w:p>
        </w:tc>
        <w:tc>
          <w:tcPr>
            <w:tcW w:w="1420" w:type="dxa"/>
            <w:vAlign w:val="bottom"/>
          </w:tcPr>
          <w:p>
            <w:pPr>
              <w:jc w:val="right"/>
              <w:ind w:right="251"/>
              <w:spacing w:after="0"/>
              <w:rPr>
                <w:sz w:val="20"/>
                <w:szCs w:val="20"/>
                <w:color w:val="auto"/>
              </w:rPr>
            </w:pPr>
            <w:r>
              <w:rPr>
                <w:rFonts w:ascii="Arial" w:cs="Arial" w:eastAsia="Arial" w:hAnsi="Arial"/>
                <w:sz w:val="13"/>
                <w:szCs w:val="13"/>
                <w:b w:val="1"/>
                <w:bCs w:val="1"/>
                <w:color w:val="auto"/>
              </w:rPr>
              <w:t>3Q 2024</w:t>
            </w:r>
          </w:p>
        </w:tc>
        <w:tc>
          <w:tcPr>
            <w:tcW w:w="1000" w:type="dxa"/>
            <w:vAlign w:val="bottom"/>
          </w:tcPr>
          <w:p>
            <w:pPr>
              <w:jc w:val="right"/>
              <w:ind w:right="150"/>
              <w:spacing w:after="0"/>
              <w:rPr>
                <w:sz w:val="20"/>
                <w:szCs w:val="20"/>
                <w:color w:val="auto"/>
              </w:rPr>
            </w:pPr>
            <w:r>
              <w:rPr>
                <w:rFonts w:ascii="Arial" w:cs="Arial" w:eastAsia="Arial" w:hAnsi="Arial"/>
                <w:sz w:val="13"/>
                <w:szCs w:val="13"/>
                <w:b w:val="1"/>
                <w:bCs w:val="1"/>
                <w:color w:val="auto"/>
              </w:rPr>
              <w:t>4Q 2024</w:t>
            </w:r>
          </w:p>
        </w:tc>
        <w:tc>
          <w:tcPr>
            <w:tcW w:w="1180" w:type="dxa"/>
            <w:vAlign w:val="bottom"/>
            <w:gridSpan w:val="2"/>
          </w:tcPr>
          <w:p>
            <w:pPr>
              <w:ind w:left="6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
        </w:trPr>
        <w:tc>
          <w:tcPr>
            <w:tcW w:w="200" w:type="dxa"/>
            <w:vAlign w:val="bottom"/>
          </w:tcPr>
          <w:p>
            <w:pPr>
              <w:spacing w:after="0" w:line="20" w:lineRule="exact"/>
              <w:rPr>
                <w:sz w:val="1"/>
                <w:szCs w:val="1"/>
                <w:color w:val="auto"/>
              </w:rPr>
            </w:pPr>
          </w:p>
        </w:tc>
        <w:tc>
          <w:tcPr>
            <w:tcW w:w="2960" w:type="dxa"/>
            <w:vAlign w:val="bottom"/>
            <w:tcBorders>
              <w:bottom w:val="single" w:sz="8" w:color="1A3FD6"/>
            </w:tcBorders>
          </w:tcPr>
          <w:p>
            <w:pPr>
              <w:spacing w:after="0" w:line="20" w:lineRule="exact"/>
              <w:rPr>
                <w:sz w:val="1"/>
                <w:szCs w:val="1"/>
                <w:color w:val="auto"/>
              </w:rPr>
            </w:pPr>
          </w:p>
        </w:tc>
        <w:tc>
          <w:tcPr>
            <w:tcW w:w="1340" w:type="dxa"/>
            <w:vAlign w:val="bottom"/>
            <w:tcBorders>
              <w:bottom w:val="single" w:sz="8" w:color="1A3FD6"/>
            </w:tcBorders>
          </w:tcPr>
          <w:p>
            <w:pPr>
              <w:spacing w:after="0" w:line="20" w:lineRule="exact"/>
              <w:rPr>
                <w:sz w:val="1"/>
                <w:szCs w:val="1"/>
                <w:color w:val="auto"/>
              </w:rPr>
            </w:pPr>
          </w:p>
        </w:tc>
        <w:tc>
          <w:tcPr>
            <w:tcW w:w="1220" w:type="dxa"/>
            <w:vAlign w:val="bottom"/>
            <w:tcBorders>
              <w:bottom w:val="single" w:sz="8" w:color="1A3FD6"/>
            </w:tcBorders>
          </w:tcPr>
          <w:p>
            <w:pPr>
              <w:spacing w:after="0" w:line="20" w:lineRule="exact"/>
              <w:rPr>
                <w:sz w:val="1"/>
                <w:szCs w:val="1"/>
                <w:color w:val="auto"/>
              </w:rPr>
            </w:pPr>
          </w:p>
        </w:tc>
        <w:tc>
          <w:tcPr>
            <w:tcW w:w="1100" w:type="dxa"/>
            <w:vAlign w:val="bottom"/>
            <w:tcBorders>
              <w:bottom w:val="single" w:sz="8" w:color="1A3FD6"/>
            </w:tcBorders>
          </w:tcPr>
          <w:p>
            <w:pPr>
              <w:spacing w:after="0" w:line="20" w:lineRule="exact"/>
              <w:rPr>
                <w:sz w:val="1"/>
                <w:szCs w:val="1"/>
                <w:color w:val="auto"/>
              </w:rPr>
            </w:pPr>
          </w:p>
        </w:tc>
        <w:tc>
          <w:tcPr>
            <w:tcW w:w="820" w:type="dxa"/>
            <w:vAlign w:val="bottom"/>
            <w:tcBorders>
              <w:bottom w:val="single" w:sz="8" w:color="1A3FD6"/>
            </w:tcBorders>
          </w:tcPr>
          <w:p>
            <w:pPr>
              <w:spacing w:after="0" w:line="20" w:lineRule="exact"/>
              <w:rPr>
                <w:sz w:val="1"/>
                <w:szCs w:val="1"/>
                <w:color w:val="auto"/>
              </w:rPr>
            </w:pPr>
          </w:p>
        </w:tc>
        <w:tc>
          <w:tcPr>
            <w:tcW w:w="1420" w:type="dxa"/>
            <w:vAlign w:val="bottom"/>
            <w:tcBorders>
              <w:bottom w:val="single" w:sz="8" w:color="1A3FD6"/>
            </w:tcBorders>
          </w:tcPr>
          <w:p>
            <w:pPr>
              <w:spacing w:after="0" w:line="20" w:lineRule="exact"/>
              <w:rPr>
                <w:sz w:val="1"/>
                <w:szCs w:val="1"/>
                <w:color w:val="auto"/>
              </w:rPr>
            </w:pPr>
          </w:p>
        </w:tc>
        <w:tc>
          <w:tcPr>
            <w:tcW w:w="1000" w:type="dxa"/>
            <w:vAlign w:val="bottom"/>
            <w:tcBorders>
              <w:bottom w:val="single" w:sz="8" w:color="1A3FD6"/>
            </w:tcBorders>
          </w:tcPr>
          <w:p>
            <w:pPr>
              <w:spacing w:after="0" w:line="20" w:lineRule="exact"/>
              <w:rPr>
                <w:sz w:val="1"/>
                <w:szCs w:val="1"/>
                <w:color w:val="auto"/>
              </w:rPr>
            </w:pPr>
          </w:p>
        </w:tc>
        <w:tc>
          <w:tcPr>
            <w:tcW w:w="900" w:type="dxa"/>
            <w:vAlign w:val="bottom"/>
            <w:tcBorders>
              <w:bottom w:val="single" w:sz="8" w:color="1A3FD6"/>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2960" w:type="dxa"/>
            <w:vAlign w:val="bottom"/>
          </w:tcPr>
          <w:p>
            <w:pPr>
              <w:ind w:left="20"/>
              <w:spacing w:after="0"/>
              <w:rPr>
                <w:sz w:val="20"/>
                <w:szCs w:val="20"/>
                <w:color w:val="auto"/>
              </w:rPr>
            </w:pPr>
            <w:r>
              <w:rPr>
                <w:rFonts w:ascii="Arial" w:cs="Arial" w:eastAsia="Arial" w:hAnsi="Arial"/>
                <w:sz w:val="14"/>
                <w:szCs w:val="14"/>
                <w:b w:val="1"/>
                <w:bCs w:val="1"/>
                <w:color w:val="1A3FD6"/>
              </w:rPr>
              <w:t>Henry A. Fernandez</w:t>
            </w:r>
          </w:p>
        </w:tc>
        <w:tc>
          <w:tcPr>
            <w:tcW w:w="1340" w:type="dxa"/>
            <w:vAlign w:val="bottom"/>
          </w:tcPr>
          <w:p>
            <w:pPr>
              <w:jc w:val="right"/>
              <w:ind w:right="211"/>
              <w:spacing w:after="0"/>
              <w:rPr>
                <w:sz w:val="20"/>
                <w:szCs w:val="20"/>
                <w:color w:val="auto"/>
              </w:rPr>
            </w:pPr>
            <w:r>
              <w:rPr>
                <w:rFonts w:ascii="Arial" w:cs="Arial" w:eastAsia="Arial" w:hAnsi="Arial"/>
                <w:sz w:val="14"/>
                <w:szCs w:val="14"/>
                <w:color w:val="auto"/>
              </w:rPr>
              <w:t>1,611,542</w:t>
            </w:r>
          </w:p>
        </w:tc>
        <w:tc>
          <w:tcPr>
            <w:tcW w:w="1220" w:type="dxa"/>
            <w:vAlign w:val="bottom"/>
          </w:tcPr>
          <w:p>
            <w:pPr>
              <w:jc w:val="right"/>
              <w:ind w:right="291"/>
              <w:spacing w:after="0"/>
              <w:rPr>
                <w:sz w:val="20"/>
                <w:szCs w:val="20"/>
                <w:color w:val="auto"/>
              </w:rPr>
            </w:pPr>
            <w:r>
              <w:rPr>
                <w:rFonts w:ascii="Arial" w:cs="Arial" w:eastAsia="Arial" w:hAnsi="Arial"/>
                <w:sz w:val="14"/>
                <w:szCs w:val="14"/>
                <w:color w:val="auto"/>
              </w:rPr>
              <w:t>100,274</w:t>
            </w:r>
          </w:p>
        </w:tc>
        <w:tc>
          <w:tcPr>
            <w:tcW w:w="110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31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1,711,816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2960" w:type="dxa"/>
            <w:vAlign w:val="bottom"/>
            <w:shd w:val="clear" w:color="auto" w:fill="EDF0FC"/>
          </w:tcPr>
          <w:p>
            <w:pPr>
              <w:ind w:left="20"/>
              <w:spacing w:after="0"/>
              <w:rPr>
                <w:sz w:val="20"/>
                <w:szCs w:val="20"/>
                <w:color w:val="auto"/>
              </w:rPr>
            </w:pPr>
            <w:r>
              <w:rPr>
                <w:rFonts w:ascii="Arial" w:cs="Arial" w:eastAsia="Arial" w:hAnsi="Arial"/>
                <w:sz w:val="14"/>
                <w:szCs w:val="14"/>
                <w:b w:val="1"/>
                <w:bCs w:val="1"/>
                <w:color w:val="1A3FD6"/>
              </w:rPr>
              <w:t>Andrew C. Wiechmann</w:t>
            </w:r>
          </w:p>
        </w:tc>
        <w:tc>
          <w:tcPr>
            <w:tcW w:w="1340" w:type="dxa"/>
            <w:vAlign w:val="bottom"/>
            <w:shd w:val="clear" w:color="auto" w:fill="EDF0FC"/>
          </w:tcPr>
          <w:p>
            <w:pPr>
              <w:jc w:val="right"/>
              <w:ind w:right="211"/>
              <w:spacing w:after="0"/>
              <w:rPr>
                <w:sz w:val="20"/>
                <w:szCs w:val="20"/>
                <w:color w:val="auto"/>
              </w:rPr>
            </w:pPr>
            <w:r>
              <w:rPr>
                <w:rFonts w:ascii="Arial" w:cs="Arial" w:eastAsia="Arial" w:hAnsi="Arial"/>
                <w:sz w:val="14"/>
                <w:szCs w:val="14"/>
                <w:color w:val="auto"/>
              </w:rPr>
              <w:t>26,008</w:t>
            </w:r>
          </w:p>
        </w:tc>
        <w:tc>
          <w:tcPr>
            <w:tcW w:w="1220" w:type="dxa"/>
            <w:vAlign w:val="bottom"/>
            <w:shd w:val="clear" w:color="auto" w:fill="EDF0FC"/>
          </w:tcPr>
          <w:p>
            <w:pPr>
              <w:jc w:val="right"/>
              <w:ind w:right="291"/>
              <w:spacing w:after="0"/>
              <w:rPr>
                <w:sz w:val="20"/>
                <w:szCs w:val="20"/>
                <w:color w:val="auto"/>
              </w:rPr>
            </w:pPr>
            <w:r>
              <w:rPr>
                <w:rFonts w:ascii="Arial" w:cs="Arial" w:eastAsia="Arial" w:hAnsi="Arial"/>
                <w:sz w:val="14"/>
                <w:szCs w:val="14"/>
                <w:color w:val="auto"/>
              </w:rPr>
              <w:t>10,510</w:t>
            </w:r>
          </w:p>
        </w:tc>
        <w:tc>
          <w:tcPr>
            <w:tcW w:w="1100" w:type="dxa"/>
            <w:vAlign w:val="bottom"/>
            <w:shd w:val="clear" w:color="auto" w:fill="EDF0FC"/>
          </w:tcPr>
          <w:p>
            <w:pPr>
              <w:jc w:val="right"/>
              <w:ind w:right="290"/>
              <w:spacing w:after="0"/>
              <w:rPr>
                <w:sz w:val="20"/>
                <w:szCs w:val="20"/>
                <w:color w:val="auto"/>
              </w:rPr>
            </w:pPr>
            <w:r>
              <w:rPr>
                <w:rFonts w:ascii="Arial" w:cs="Arial" w:eastAsia="Arial" w:hAnsi="Arial"/>
                <w:sz w:val="14"/>
                <w:szCs w:val="14"/>
                <w:color w:val="auto"/>
              </w:rPr>
              <w:t>5,082</w:t>
            </w:r>
          </w:p>
        </w:tc>
        <w:tc>
          <w:tcPr>
            <w:tcW w:w="820" w:type="dxa"/>
            <w:vAlign w:val="bottom"/>
            <w:shd w:val="clear" w:color="auto" w:fill="EDF0FC"/>
          </w:tcPr>
          <w:p>
            <w:pPr>
              <w:jc w:val="right"/>
              <w:spacing w:after="0"/>
              <w:rPr>
                <w:sz w:val="20"/>
                <w:szCs w:val="20"/>
                <w:color w:val="auto"/>
              </w:rPr>
            </w:pPr>
            <w:r>
              <w:rPr>
                <w:rFonts w:ascii="Arial" w:cs="Arial" w:eastAsia="Arial" w:hAnsi="Arial"/>
                <w:sz w:val="14"/>
                <w:szCs w:val="14"/>
                <w:color w:val="auto"/>
              </w:rPr>
              <w:t>5,082</w:t>
            </w:r>
          </w:p>
        </w:tc>
        <w:tc>
          <w:tcPr>
            <w:tcW w:w="1420" w:type="dxa"/>
            <w:vAlign w:val="bottom"/>
            <w:shd w:val="clear" w:color="auto" w:fill="EDF0FC"/>
          </w:tcPr>
          <w:p>
            <w:pPr>
              <w:jc w:val="right"/>
              <w:ind w:right="311"/>
              <w:spacing w:after="0"/>
              <w:rPr>
                <w:sz w:val="20"/>
                <w:szCs w:val="20"/>
                <w:color w:val="auto"/>
              </w:rPr>
            </w:pPr>
            <w:r>
              <w:rPr>
                <w:rFonts w:ascii="Arial" w:cs="Arial" w:eastAsia="Arial" w:hAnsi="Arial"/>
                <w:sz w:val="14"/>
                <w:szCs w:val="14"/>
                <w:color w:val="auto"/>
              </w:rPr>
              <w:t>5,082</w:t>
            </w:r>
          </w:p>
        </w:tc>
        <w:tc>
          <w:tcPr>
            <w:tcW w:w="1000" w:type="dxa"/>
            <w:vAlign w:val="bottom"/>
            <w:shd w:val="clear" w:color="auto" w:fill="EDF0FC"/>
          </w:tcPr>
          <w:p>
            <w:pPr>
              <w:jc w:val="right"/>
              <w:ind w:right="210"/>
              <w:spacing w:after="0"/>
              <w:rPr>
                <w:sz w:val="20"/>
                <w:szCs w:val="20"/>
                <w:color w:val="auto"/>
              </w:rPr>
            </w:pPr>
            <w:r>
              <w:rPr>
                <w:rFonts w:ascii="Arial" w:cs="Arial" w:eastAsia="Arial" w:hAnsi="Arial"/>
                <w:sz w:val="14"/>
                <w:szCs w:val="14"/>
                <w:color w:val="auto"/>
              </w:rPr>
              <w:t>5,082</w:t>
            </w:r>
          </w:p>
        </w:tc>
        <w:tc>
          <w:tcPr>
            <w:tcW w:w="900" w:type="dxa"/>
            <w:vAlign w:val="bottom"/>
            <w:shd w:val="clear" w:color="auto" w:fill="EDF0FC"/>
          </w:tcPr>
          <w:p>
            <w:pPr>
              <w:jc w:val="right"/>
              <w:spacing w:after="0"/>
              <w:rPr>
                <w:sz w:val="20"/>
                <w:szCs w:val="20"/>
                <w:color w:val="auto"/>
              </w:rPr>
            </w:pPr>
            <w:r>
              <w:rPr>
                <w:rFonts w:ascii="Arial" w:cs="Arial" w:eastAsia="Arial" w:hAnsi="Arial"/>
                <w:sz w:val="14"/>
                <w:szCs w:val="14"/>
                <w:color w:val="auto"/>
              </w:rPr>
              <w:t>56,846</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2960" w:type="dxa"/>
            <w:vAlign w:val="bottom"/>
          </w:tcPr>
          <w:p>
            <w:pPr>
              <w:ind w:left="20"/>
              <w:spacing w:after="0"/>
              <w:rPr>
                <w:sz w:val="20"/>
                <w:szCs w:val="20"/>
                <w:color w:val="auto"/>
              </w:rPr>
            </w:pPr>
            <w:r>
              <w:rPr>
                <w:rFonts w:ascii="Arial" w:cs="Arial" w:eastAsia="Arial" w:hAnsi="Arial"/>
                <w:sz w:val="14"/>
                <w:szCs w:val="14"/>
                <w:b w:val="1"/>
                <w:bCs w:val="1"/>
                <w:color w:val="1A3FD6"/>
              </w:rPr>
              <w:t>C.D. Baer Pettit</w:t>
            </w:r>
          </w:p>
        </w:tc>
        <w:tc>
          <w:tcPr>
            <w:tcW w:w="1340" w:type="dxa"/>
            <w:vAlign w:val="bottom"/>
          </w:tcPr>
          <w:p>
            <w:pPr>
              <w:jc w:val="right"/>
              <w:ind w:right="211"/>
              <w:spacing w:after="0"/>
              <w:rPr>
                <w:sz w:val="20"/>
                <w:szCs w:val="20"/>
                <w:color w:val="auto"/>
              </w:rPr>
            </w:pPr>
            <w:r>
              <w:rPr>
                <w:rFonts w:ascii="Arial" w:cs="Arial" w:eastAsia="Arial" w:hAnsi="Arial"/>
                <w:sz w:val="14"/>
                <w:szCs w:val="14"/>
                <w:color w:val="auto"/>
              </w:rPr>
              <w:t>446,242</w:t>
            </w:r>
          </w:p>
        </w:tc>
        <w:tc>
          <w:tcPr>
            <w:tcW w:w="1220" w:type="dxa"/>
            <w:vAlign w:val="bottom"/>
          </w:tcPr>
          <w:p>
            <w:pPr>
              <w:jc w:val="right"/>
              <w:ind w:right="291"/>
              <w:spacing w:after="0"/>
              <w:rPr>
                <w:sz w:val="20"/>
                <w:szCs w:val="20"/>
                <w:color w:val="auto"/>
              </w:rPr>
            </w:pPr>
            <w:r>
              <w:rPr>
                <w:rFonts w:ascii="Arial" w:cs="Arial" w:eastAsia="Arial" w:hAnsi="Arial"/>
                <w:sz w:val="14"/>
                <w:szCs w:val="14"/>
                <w:color w:val="auto"/>
              </w:rPr>
              <w:t>53,476</w:t>
            </w:r>
          </w:p>
        </w:tc>
        <w:tc>
          <w:tcPr>
            <w:tcW w:w="110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311"/>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499,718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2960" w:type="dxa"/>
            <w:vAlign w:val="bottom"/>
            <w:shd w:val="clear" w:color="auto" w:fill="EDF0FC"/>
          </w:tcPr>
          <w:p>
            <w:pPr>
              <w:ind w:left="20"/>
              <w:spacing w:after="0"/>
              <w:rPr>
                <w:sz w:val="20"/>
                <w:szCs w:val="20"/>
                <w:color w:val="auto"/>
              </w:rPr>
            </w:pPr>
            <w:r>
              <w:rPr>
                <w:rFonts w:ascii="Arial" w:cs="Arial" w:eastAsia="Arial" w:hAnsi="Arial"/>
                <w:sz w:val="14"/>
                <w:szCs w:val="14"/>
                <w:b w:val="1"/>
                <w:bCs w:val="1"/>
                <w:color w:val="1A3FD6"/>
              </w:rPr>
              <w:t>Scott A. Crum</w:t>
            </w:r>
          </w:p>
        </w:tc>
        <w:tc>
          <w:tcPr>
            <w:tcW w:w="1340" w:type="dxa"/>
            <w:vAlign w:val="bottom"/>
            <w:shd w:val="clear" w:color="auto" w:fill="EDF0FC"/>
          </w:tcPr>
          <w:p>
            <w:pPr>
              <w:jc w:val="right"/>
              <w:ind w:right="211"/>
              <w:spacing w:after="0"/>
              <w:rPr>
                <w:sz w:val="20"/>
                <w:szCs w:val="20"/>
                <w:color w:val="auto"/>
              </w:rPr>
            </w:pPr>
            <w:r>
              <w:rPr>
                <w:rFonts w:ascii="Arial" w:cs="Arial" w:eastAsia="Arial" w:hAnsi="Arial"/>
                <w:sz w:val="14"/>
                <w:szCs w:val="14"/>
                <w:color w:val="auto"/>
              </w:rPr>
              <w:t>109,057</w:t>
            </w:r>
          </w:p>
        </w:tc>
        <w:tc>
          <w:tcPr>
            <w:tcW w:w="1220" w:type="dxa"/>
            <w:vAlign w:val="bottom"/>
            <w:shd w:val="clear" w:color="auto" w:fill="EDF0FC"/>
          </w:tcPr>
          <w:p>
            <w:pPr>
              <w:jc w:val="right"/>
              <w:ind w:right="291"/>
              <w:spacing w:after="0"/>
              <w:rPr>
                <w:sz w:val="20"/>
                <w:szCs w:val="20"/>
                <w:color w:val="auto"/>
              </w:rPr>
            </w:pPr>
            <w:r>
              <w:rPr>
                <w:rFonts w:ascii="Arial" w:cs="Arial" w:eastAsia="Arial" w:hAnsi="Arial"/>
                <w:sz w:val="14"/>
                <w:szCs w:val="14"/>
                <w:color w:val="auto"/>
              </w:rPr>
              <w:t>14,029</w:t>
            </w:r>
          </w:p>
        </w:tc>
        <w:tc>
          <w:tcPr>
            <w:tcW w:w="1100" w:type="dxa"/>
            <w:vAlign w:val="bottom"/>
            <w:shd w:val="clear" w:color="auto" w:fill="EDF0FC"/>
          </w:tcPr>
          <w:p>
            <w:pPr>
              <w:jc w:val="right"/>
              <w:ind w:right="290"/>
              <w:spacing w:after="0"/>
              <w:rPr>
                <w:sz w:val="20"/>
                <w:szCs w:val="20"/>
                <w:color w:val="auto"/>
              </w:rPr>
            </w:pPr>
            <w:r>
              <w:rPr>
                <w:rFonts w:ascii="Arial" w:cs="Arial" w:eastAsia="Arial" w:hAnsi="Arial"/>
                <w:sz w:val="14"/>
                <w:szCs w:val="14"/>
                <w:color w:val="auto"/>
              </w:rPr>
              <w:t>4,648</w:t>
            </w:r>
          </w:p>
        </w:tc>
        <w:tc>
          <w:tcPr>
            <w:tcW w:w="820" w:type="dxa"/>
            <w:vAlign w:val="bottom"/>
            <w:shd w:val="clear" w:color="auto" w:fill="EDF0FC"/>
          </w:tcPr>
          <w:p>
            <w:pPr>
              <w:jc w:val="right"/>
              <w:spacing w:after="0"/>
              <w:rPr>
                <w:sz w:val="20"/>
                <w:szCs w:val="20"/>
                <w:color w:val="auto"/>
              </w:rPr>
            </w:pPr>
            <w:r>
              <w:rPr>
                <w:rFonts w:ascii="Arial" w:cs="Arial" w:eastAsia="Arial" w:hAnsi="Arial"/>
                <w:sz w:val="14"/>
                <w:szCs w:val="14"/>
                <w:color w:val="auto"/>
              </w:rPr>
              <w:t>4,648</w:t>
            </w:r>
          </w:p>
        </w:tc>
        <w:tc>
          <w:tcPr>
            <w:tcW w:w="1420" w:type="dxa"/>
            <w:vAlign w:val="bottom"/>
            <w:shd w:val="clear" w:color="auto" w:fill="EDF0FC"/>
          </w:tcPr>
          <w:p>
            <w:pPr>
              <w:jc w:val="right"/>
              <w:ind w:right="311"/>
              <w:spacing w:after="0"/>
              <w:rPr>
                <w:sz w:val="20"/>
                <w:szCs w:val="20"/>
                <w:color w:val="auto"/>
              </w:rPr>
            </w:pPr>
            <w:r>
              <w:rPr>
                <w:rFonts w:ascii="Arial" w:cs="Arial" w:eastAsia="Arial" w:hAnsi="Arial"/>
                <w:sz w:val="14"/>
                <w:szCs w:val="14"/>
                <w:color w:val="auto"/>
              </w:rPr>
              <w:t>4,648</w:t>
            </w:r>
          </w:p>
        </w:tc>
        <w:tc>
          <w:tcPr>
            <w:tcW w:w="1000" w:type="dxa"/>
            <w:vAlign w:val="bottom"/>
            <w:shd w:val="clear" w:color="auto" w:fill="EDF0FC"/>
          </w:tcPr>
          <w:p>
            <w:pPr>
              <w:jc w:val="right"/>
              <w:ind w:right="210"/>
              <w:spacing w:after="0"/>
              <w:rPr>
                <w:sz w:val="20"/>
                <w:szCs w:val="20"/>
                <w:color w:val="auto"/>
              </w:rPr>
            </w:pPr>
            <w:r>
              <w:rPr>
                <w:rFonts w:ascii="Arial" w:cs="Arial" w:eastAsia="Arial" w:hAnsi="Arial"/>
                <w:sz w:val="14"/>
                <w:szCs w:val="14"/>
                <w:color w:val="auto"/>
              </w:rPr>
              <w:t>4,648</w:t>
            </w:r>
          </w:p>
        </w:tc>
        <w:tc>
          <w:tcPr>
            <w:tcW w:w="900" w:type="dxa"/>
            <w:vAlign w:val="bottom"/>
            <w:shd w:val="clear" w:color="auto" w:fill="EDF0FC"/>
          </w:tcPr>
          <w:p>
            <w:pPr>
              <w:jc w:val="right"/>
              <w:spacing w:after="0"/>
              <w:rPr>
                <w:sz w:val="20"/>
                <w:szCs w:val="20"/>
                <w:color w:val="auto"/>
              </w:rPr>
            </w:pPr>
            <w:r>
              <w:rPr>
                <w:rFonts w:ascii="Arial" w:cs="Arial" w:eastAsia="Arial" w:hAnsi="Arial"/>
                <w:sz w:val="14"/>
                <w:szCs w:val="14"/>
                <w:color w:val="auto"/>
              </w:rPr>
              <w:t>141,678</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1A3FD6"/>
              </w:rPr>
              <w:t>Robert J. Gutowski</w:t>
            </w:r>
          </w:p>
        </w:tc>
        <w:tc>
          <w:tcPr>
            <w:tcW w:w="13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26,008</w:t>
            </w:r>
          </w:p>
        </w:tc>
        <w:tc>
          <w:tcPr>
            <w:tcW w:w="12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10,510</w:t>
            </w: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rPr>
              <w:t>3,381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3,381</w:t>
            </w:r>
          </w:p>
        </w:tc>
        <w:tc>
          <w:tcPr>
            <w:tcW w:w="14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3,381</w:t>
            </w: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3,381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50,042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9"/>
        </w:trPr>
        <w:tc>
          <w:tcPr>
            <w:tcW w:w="2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87" w:name="page88"/>
    <w:bookmarkEnd w:id="87"/>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86</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Grants of Plan-Based Awards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awards granted to our NEOs during fiscal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jc w:val="right"/>
              <w:ind w:right="81"/>
              <w:spacing w:after="0"/>
              <w:rPr>
                <w:sz w:val="20"/>
                <w:szCs w:val="20"/>
                <w:color w:val="auto"/>
              </w:rPr>
            </w:pPr>
            <w:r>
              <w:rPr>
                <w:rFonts w:ascii="Arial" w:cs="Arial" w:eastAsia="Arial" w:hAnsi="Arial"/>
                <w:sz w:val="11"/>
                <w:szCs w:val="11"/>
                <w:b w:val="1"/>
                <w:bCs w:val="1"/>
                <w:color w:val="auto"/>
              </w:rPr>
              <w:t>All Other</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jc w:val="right"/>
              <w:ind w:right="81"/>
              <w:spacing w:after="0" w:line="122" w:lineRule="exact"/>
              <w:rPr>
                <w:sz w:val="20"/>
                <w:szCs w:val="20"/>
                <w:color w:val="auto"/>
              </w:rPr>
            </w:pPr>
            <w:r>
              <w:rPr>
                <w:rFonts w:ascii="Arial" w:cs="Arial" w:eastAsia="Arial" w:hAnsi="Arial"/>
                <w:sz w:val="11"/>
                <w:szCs w:val="11"/>
                <w:b w:val="1"/>
                <w:bCs w:val="1"/>
                <w:color w:val="auto"/>
              </w:rPr>
              <w:t>Stock</w:t>
            </w: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740" w:type="dxa"/>
            <w:vAlign w:val="bottom"/>
            <w:gridSpan w:val="3"/>
            <w:vMerge w:val="restart"/>
          </w:tcPr>
          <w:p>
            <w:pPr>
              <w:jc w:val="center"/>
              <w:ind w:right="78"/>
              <w:spacing w:after="0"/>
              <w:rPr>
                <w:sz w:val="20"/>
                <w:szCs w:val="20"/>
                <w:color w:val="auto"/>
              </w:rPr>
            </w:pPr>
            <w:r>
              <w:rPr>
                <w:rFonts w:ascii="Arial" w:cs="Arial" w:eastAsia="Arial" w:hAnsi="Arial"/>
                <w:sz w:val="11"/>
                <w:szCs w:val="11"/>
                <w:b w:val="1"/>
                <w:bCs w:val="1"/>
                <w:color w:val="auto"/>
                <w:w w:val="98"/>
              </w:rPr>
              <w:t>Estimated Future Payouts Under</w:t>
            </w:r>
          </w:p>
        </w:tc>
        <w:tc>
          <w:tcPr>
            <w:tcW w:w="226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auto"/>
                <w:w w:val="97"/>
              </w:rPr>
              <w:t>Estimated Future Payouts</w:t>
            </w:r>
          </w:p>
        </w:tc>
        <w:tc>
          <w:tcPr>
            <w:tcW w:w="860" w:type="dxa"/>
            <w:vAlign w:val="bottom"/>
          </w:tcPr>
          <w:p>
            <w:pPr>
              <w:jc w:val="right"/>
              <w:ind w:right="81"/>
              <w:spacing w:after="0"/>
              <w:rPr>
                <w:sz w:val="20"/>
                <w:szCs w:val="20"/>
                <w:color w:val="auto"/>
              </w:rPr>
            </w:pPr>
            <w:r>
              <w:rPr>
                <w:rFonts w:ascii="Arial" w:cs="Arial" w:eastAsia="Arial" w:hAnsi="Arial"/>
                <w:sz w:val="11"/>
                <w:szCs w:val="11"/>
                <w:b w:val="1"/>
                <w:bCs w:val="1"/>
                <w:color w:val="auto"/>
              </w:rPr>
              <w:t>Awards:</w:t>
            </w:r>
          </w:p>
        </w:tc>
        <w:tc>
          <w:tcPr>
            <w:tcW w:w="700" w:type="dxa"/>
            <w:vAlign w:val="bottom"/>
          </w:tcPr>
          <w:p>
            <w:pPr>
              <w:jc w:val="right"/>
              <w:ind w:right="60"/>
              <w:spacing w:after="0"/>
              <w:rPr>
                <w:sz w:val="20"/>
                <w:szCs w:val="20"/>
                <w:color w:val="auto"/>
              </w:rPr>
            </w:pPr>
            <w:r>
              <w:rPr>
                <w:rFonts w:ascii="Arial" w:cs="Arial" w:eastAsia="Arial" w:hAnsi="Arial"/>
                <w:sz w:val="11"/>
                <w:szCs w:val="11"/>
                <w:b w:val="1"/>
                <w:bCs w:val="1"/>
                <w:color w:val="auto"/>
              </w:rPr>
              <w:t>Exercise</w:t>
            </w: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Grant Date</w:t>
            </w: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740" w:type="dxa"/>
            <w:vAlign w:val="bottom"/>
            <w:gridSpan w:val="3"/>
            <w:vMerge w:val="continue"/>
          </w:tcPr>
          <w:p>
            <w:pPr>
              <w:spacing w:after="0"/>
              <w:rPr>
                <w:sz w:val="4"/>
                <w:szCs w:val="4"/>
                <w:color w:val="auto"/>
              </w:rPr>
            </w:pPr>
          </w:p>
        </w:tc>
        <w:tc>
          <w:tcPr>
            <w:tcW w:w="2260" w:type="dxa"/>
            <w:vAlign w:val="bottom"/>
            <w:gridSpan w:val="3"/>
            <w:vMerge w:val="continue"/>
          </w:tcPr>
          <w:p>
            <w:pPr>
              <w:spacing w:after="0"/>
              <w:rPr>
                <w:sz w:val="4"/>
                <w:szCs w:val="4"/>
                <w:color w:val="auto"/>
              </w:rPr>
            </w:pPr>
          </w:p>
        </w:tc>
        <w:tc>
          <w:tcPr>
            <w:tcW w:w="860" w:type="dxa"/>
            <w:vAlign w:val="bottom"/>
            <w:vMerge w:val="restart"/>
          </w:tcPr>
          <w:p>
            <w:pPr>
              <w:jc w:val="right"/>
              <w:ind w:right="81"/>
              <w:spacing w:after="0" w:line="122" w:lineRule="exact"/>
              <w:rPr>
                <w:sz w:val="20"/>
                <w:szCs w:val="20"/>
                <w:color w:val="auto"/>
              </w:rPr>
            </w:pPr>
            <w:r>
              <w:rPr>
                <w:rFonts w:ascii="Arial" w:cs="Arial" w:eastAsia="Arial" w:hAnsi="Arial"/>
                <w:sz w:val="11"/>
                <w:szCs w:val="11"/>
                <w:b w:val="1"/>
                <w:bCs w:val="1"/>
                <w:color w:val="auto"/>
              </w:rPr>
              <w:t>Number</w:t>
            </w:r>
          </w:p>
        </w:tc>
        <w:tc>
          <w:tcPr>
            <w:tcW w:w="700" w:type="dxa"/>
            <w:vAlign w:val="bottom"/>
            <w:vMerge w:val="restart"/>
          </w:tcPr>
          <w:p>
            <w:pPr>
              <w:jc w:val="right"/>
              <w:ind w:right="60"/>
              <w:spacing w:after="0" w:line="122" w:lineRule="exact"/>
              <w:rPr>
                <w:sz w:val="20"/>
                <w:szCs w:val="20"/>
                <w:color w:val="auto"/>
              </w:rPr>
            </w:pPr>
            <w:r>
              <w:rPr>
                <w:rFonts w:ascii="Arial" w:cs="Arial" w:eastAsia="Arial" w:hAnsi="Arial"/>
                <w:sz w:val="11"/>
                <w:szCs w:val="11"/>
                <w:b w:val="1"/>
                <w:bCs w:val="1"/>
                <w:color w:val="auto"/>
              </w:rPr>
              <w:t>or Base</w:t>
            </w:r>
          </w:p>
        </w:tc>
        <w:tc>
          <w:tcPr>
            <w:tcW w:w="740" w:type="dxa"/>
            <w:vAlign w:val="bottom"/>
            <w:vMerge w:val="restart"/>
          </w:tcPr>
          <w:p>
            <w:pPr>
              <w:jc w:val="right"/>
              <w:spacing w:after="0" w:line="122" w:lineRule="exact"/>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900" w:type="dxa"/>
            <w:vAlign w:val="bottom"/>
            <w:gridSpan w:val="2"/>
            <w:vMerge w:val="restart"/>
          </w:tcPr>
          <w:p>
            <w:pPr>
              <w:jc w:val="center"/>
              <w:ind w:left="639"/>
              <w:spacing w:after="0" w:line="122" w:lineRule="exact"/>
              <w:rPr>
                <w:sz w:val="20"/>
                <w:szCs w:val="20"/>
                <w:color w:val="auto"/>
              </w:rPr>
            </w:pPr>
            <w:r>
              <w:rPr>
                <w:rFonts w:ascii="Arial" w:cs="Arial" w:eastAsia="Arial" w:hAnsi="Arial"/>
                <w:sz w:val="11"/>
                <w:szCs w:val="11"/>
                <w:b w:val="1"/>
                <w:bCs w:val="1"/>
                <w:color w:val="auto"/>
                <w:w w:val="98"/>
              </w:rPr>
              <w:t>Non-Equity Incentive</w:t>
            </w:r>
          </w:p>
        </w:tc>
        <w:tc>
          <w:tcPr>
            <w:tcW w:w="840" w:type="dxa"/>
            <w:vAlign w:val="bottom"/>
          </w:tcPr>
          <w:p>
            <w:pPr>
              <w:spacing w:after="0"/>
              <w:rPr>
                <w:sz w:val="5"/>
                <w:szCs w:val="5"/>
                <w:color w:val="auto"/>
              </w:rPr>
            </w:pPr>
          </w:p>
        </w:tc>
        <w:tc>
          <w:tcPr>
            <w:tcW w:w="1700" w:type="dxa"/>
            <w:vAlign w:val="bottom"/>
            <w:gridSpan w:val="2"/>
            <w:vMerge w:val="restart"/>
          </w:tcPr>
          <w:p>
            <w:pPr>
              <w:jc w:val="center"/>
              <w:ind w:left="439"/>
              <w:spacing w:after="0" w:line="122" w:lineRule="exact"/>
              <w:rPr>
                <w:sz w:val="20"/>
                <w:szCs w:val="20"/>
                <w:color w:val="auto"/>
              </w:rPr>
            </w:pPr>
            <w:r>
              <w:rPr>
                <w:rFonts w:ascii="Arial" w:cs="Arial" w:eastAsia="Arial" w:hAnsi="Arial"/>
                <w:sz w:val="11"/>
                <w:szCs w:val="11"/>
                <w:b w:val="1"/>
                <w:bCs w:val="1"/>
                <w:color w:val="auto"/>
                <w:w w:val="97"/>
              </w:rPr>
              <w:t>Under Equity Incentive</w:t>
            </w:r>
          </w:p>
        </w:tc>
        <w:tc>
          <w:tcPr>
            <w:tcW w:w="5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90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860" w:type="dxa"/>
            <w:vAlign w:val="bottom"/>
            <w:vMerge w:val="restart"/>
          </w:tcPr>
          <w:p>
            <w:pPr>
              <w:jc w:val="right"/>
              <w:ind w:right="81"/>
              <w:spacing w:after="0"/>
              <w:rPr>
                <w:sz w:val="20"/>
                <w:szCs w:val="20"/>
                <w:color w:val="auto"/>
              </w:rPr>
            </w:pPr>
            <w:r>
              <w:rPr>
                <w:rFonts w:ascii="Arial" w:cs="Arial" w:eastAsia="Arial" w:hAnsi="Arial"/>
                <w:sz w:val="11"/>
                <w:szCs w:val="11"/>
                <w:b w:val="1"/>
                <w:bCs w:val="1"/>
                <w:color w:val="auto"/>
              </w:rPr>
              <w:t>of Shares</w:t>
            </w:r>
          </w:p>
        </w:tc>
        <w:tc>
          <w:tcPr>
            <w:tcW w:w="700" w:type="dxa"/>
            <w:vAlign w:val="bottom"/>
            <w:vMerge w:val="restart"/>
          </w:tcPr>
          <w:p>
            <w:pPr>
              <w:jc w:val="right"/>
              <w:ind w:right="60"/>
              <w:spacing w:after="0"/>
              <w:rPr>
                <w:sz w:val="20"/>
                <w:szCs w:val="20"/>
                <w:color w:val="auto"/>
              </w:rPr>
            </w:pPr>
            <w:r>
              <w:rPr>
                <w:rFonts w:ascii="Arial" w:cs="Arial" w:eastAsia="Arial" w:hAnsi="Arial"/>
                <w:sz w:val="11"/>
                <w:szCs w:val="11"/>
                <w:b w:val="1"/>
                <w:bCs w:val="1"/>
                <w:color w:val="auto"/>
              </w:rPr>
              <w:t>Price of</w:t>
            </w:r>
          </w:p>
        </w:tc>
        <w:tc>
          <w:tcPr>
            <w:tcW w:w="7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of Stock</w:t>
            </w: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60" w:type="dxa"/>
            <w:vAlign w:val="bottom"/>
          </w:tcPr>
          <w:p>
            <w:pPr>
              <w:jc w:val="center"/>
              <w:ind w:right="78"/>
              <w:spacing w:after="0" w:line="108" w:lineRule="exact"/>
              <w:rPr>
                <w:sz w:val="20"/>
                <w:szCs w:val="20"/>
                <w:color w:val="auto"/>
              </w:rPr>
            </w:pPr>
            <w:r>
              <w:rPr>
                <w:rFonts w:ascii="Arial" w:cs="Arial" w:eastAsia="Arial" w:hAnsi="Arial"/>
                <w:sz w:val="11"/>
                <w:szCs w:val="11"/>
                <w:b w:val="1"/>
                <w:bCs w:val="1"/>
                <w:color w:val="auto"/>
                <w:w w:val="96"/>
              </w:rPr>
              <w:t>Plan Awards</w:t>
            </w:r>
            <w:r>
              <w:rPr>
                <w:rFonts w:ascii="Arial" w:cs="Arial" w:eastAsia="Arial" w:hAnsi="Arial"/>
                <w:sz w:val="7"/>
                <w:szCs w:val="7"/>
                <w:b w:val="1"/>
                <w:bCs w:val="1"/>
                <w:color w:val="auto"/>
                <w:w w:val="96"/>
              </w:rPr>
              <w:t>(1)(2)</w:t>
            </w: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jc w:val="center"/>
              <w:ind w:right="178"/>
              <w:spacing w:after="0" w:line="108" w:lineRule="exact"/>
              <w:rPr>
                <w:sz w:val="20"/>
                <w:szCs w:val="20"/>
                <w:color w:val="auto"/>
              </w:rPr>
            </w:pPr>
            <w:r>
              <w:rPr>
                <w:rFonts w:ascii="Arial" w:cs="Arial" w:eastAsia="Arial" w:hAnsi="Arial"/>
                <w:sz w:val="11"/>
                <w:szCs w:val="11"/>
                <w:b w:val="1"/>
                <w:bCs w:val="1"/>
                <w:color w:val="auto"/>
                <w:w w:val="96"/>
              </w:rPr>
              <w:t>Plan Awards</w:t>
            </w:r>
          </w:p>
        </w:tc>
        <w:tc>
          <w:tcPr>
            <w:tcW w:w="5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jc w:val="right"/>
              <w:spacing w:after="0" w:line="61" w:lineRule="exact"/>
              <w:rPr>
                <w:sz w:val="20"/>
                <w:szCs w:val="20"/>
                <w:color w:val="auto"/>
              </w:rPr>
            </w:pPr>
            <w:r>
              <w:rPr>
                <w:rFonts w:ascii="Arial" w:cs="Arial" w:eastAsia="Arial" w:hAnsi="Arial"/>
                <w:sz w:val="6"/>
                <w:szCs w:val="6"/>
                <w:b w:val="1"/>
                <w:bCs w:val="1"/>
                <w:color w:val="auto"/>
              </w:rPr>
              <w:t>Compensation</w:t>
            </w:r>
          </w:p>
        </w:tc>
        <w:tc>
          <w:tcPr>
            <w:tcW w:w="840" w:type="dxa"/>
            <w:vAlign w:val="bottom"/>
            <w:tcBorders>
              <w:bottom w:val="single" w:sz="8" w:color="1A3FD6"/>
            </w:tcBorders>
          </w:tcPr>
          <w:p>
            <w:pPr>
              <w:spacing w:after="0"/>
              <w:rPr>
                <w:sz w:val="5"/>
                <w:szCs w:val="5"/>
                <w:color w:val="auto"/>
              </w:rPr>
            </w:pPr>
          </w:p>
        </w:tc>
        <w:tc>
          <w:tcPr>
            <w:tcW w:w="1060" w:type="dxa"/>
            <w:vAlign w:val="bottom"/>
            <w:tcBorders>
              <w:bottom w:val="single" w:sz="8" w:color="1A3FD6"/>
            </w:tcBorders>
          </w:tcPr>
          <w:p>
            <w:pPr>
              <w:spacing w:after="0"/>
              <w:rPr>
                <w:sz w:val="5"/>
                <w:szCs w:val="5"/>
                <w:color w:val="auto"/>
              </w:rPr>
            </w:pPr>
          </w:p>
        </w:tc>
        <w:tc>
          <w:tcPr>
            <w:tcW w:w="840" w:type="dxa"/>
            <w:vAlign w:val="bottom"/>
            <w:tcBorders>
              <w:bottom w:val="single" w:sz="8" w:color="1A3FD6"/>
            </w:tcBorders>
          </w:tcPr>
          <w:p>
            <w:pPr>
              <w:spacing w:after="0"/>
              <w:rPr>
                <w:sz w:val="5"/>
                <w:szCs w:val="5"/>
                <w:color w:val="auto"/>
              </w:rPr>
            </w:pPr>
          </w:p>
        </w:tc>
        <w:tc>
          <w:tcPr>
            <w:tcW w:w="740" w:type="dxa"/>
            <w:vAlign w:val="bottom"/>
            <w:tcBorders>
              <w:bottom w:val="single" w:sz="8" w:color="1A3FD6"/>
            </w:tcBorders>
          </w:tcPr>
          <w:p>
            <w:pPr>
              <w:spacing w:after="0"/>
              <w:rPr>
                <w:sz w:val="5"/>
                <w:szCs w:val="5"/>
                <w:color w:val="auto"/>
              </w:rPr>
            </w:pPr>
          </w:p>
        </w:tc>
        <w:tc>
          <w:tcPr>
            <w:tcW w:w="960" w:type="dxa"/>
            <w:vAlign w:val="bottom"/>
            <w:tcBorders>
              <w:bottom w:val="single" w:sz="8" w:color="1A3FD6"/>
            </w:tcBorders>
          </w:tcPr>
          <w:p>
            <w:pPr>
              <w:spacing w:after="0"/>
              <w:rPr>
                <w:sz w:val="5"/>
                <w:szCs w:val="5"/>
                <w:color w:val="auto"/>
              </w:rPr>
            </w:pPr>
          </w:p>
        </w:tc>
        <w:tc>
          <w:tcPr>
            <w:tcW w:w="560" w:type="dxa"/>
            <w:vAlign w:val="bottom"/>
            <w:tcBorders>
              <w:bottom w:val="single" w:sz="8" w:color="1A3FD6"/>
            </w:tcBorders>
          </w:tcPr>
          <w:p>
            <w:pPr>
              <w:spacing w:after="0"/>
              <w:rPr>
                <w:sz w:val="5"/>
                <w:szCs w:val="5"/>
                <w:color w:val="auto"/>
              </w:rPr>
            </w:pPr>
          </w:p>
        </w:tc>
        <w:tc>
          <w:tcPr>
            <w:tcW w:w="860" w:type="dxa"/>
            <w:vAlign w:val="bottom"/>
          </w:tcPr>
          <w:p>
            <w:pPr>
              <w:jc w:val="right"/>
              <w:ind w:right="81"/>
              <w:spacing w:after="0" w:line="61" w:lineRule="exact"/>
              <w:rPr>
                <w:sz w:val="20"/>
                <w:szCs w:val="20"/>
                <w:color w:val="auto"/>
              </w:rPr>
            </w:pPr>
            <w:r>
              <w:rPr>
                <w:rFonts w:ascii="Arial" w:cs="Arial" w:eastAsia="Arial" w:hAnsi="Arial"/>
                <w:sz w:val="6"/>
                <w:szCs w:val="6"/>
                <w:b w:val="1"/>
                <w:bCs w:val="1"/>
                <w:color w:val="auto"/>
              </w:rPr>
              <w:t>of Stock</w:t>
            </w:r>
          </w:p>
        </w:tc>
        <w:tc>
          <w:tcPr>
            <w:tcW w:w="700" w:type="dxa"/>
            <w:vAlign w:val="bottom"/>
          </w:tcPr>
          <w:p>
            <w:pPr>
              <w:jc w:val="right"/>
              <w:ind w:right="60"/>
              <w:spacing w:after="0" w:line="61" w:lineRule="exact"/>
              <w:rPr>
                <w:sz w:val="20"/>
                <w:szCs w:val="20"/>
                <w:color w:val="auto"/>
              </w:rPr>
            </w:pPr>
            <w:r>
              <w:rPr>
                <w:rFonts w:ascii="Arial" w:cs="Arial" w:eastAsia="Arial" w:hAnsi="Arial"/>
                <w:sz w:val="6"/>
                <w:szCs w:val="6"/>
                <w:b w:val="1"/>
                <w:bCs w:val="1"/>
                <w:color w:val="auto"/>
              </w:rPr>
              <w:t>Option</w:t>
            </w:r>
          </w:p>
        </w:tc>
        <w:tc>
          <w:tcPr>
            <w:tcW w:w="740" w:type="dxa"/>
            <w:vAlign w:val="bottom"/>
          </w:tcPr>
          <w:p>
            <w:pPr>
              <w:jc w:val="right"/>
              <w:spacing w:after="0" w:line="61" w:lineRule="exact"/>
              <w:rPr>
                <w:sz w:val="20"/>
                <w:szCs w:val="20"/>
                <w:color w:val="auto"/>
              </w:rPr>
            </w:pPr>
            <w:r>
              <w:rPr>
                <w:rFonts w:ascii="Arial" w:cs="Arial" w:eastAsia="Arial" w:hAnsi="Arial"/>
                <w:sz w:val="6"/>
                <w:szCs w:val="6"/>
                <w:b w:val="1"/>
                <w:bCs w:val="1"/>
                <w:color w:val="auto"/>
              </w:rPr>
              <w:t>and Option</w:t>
            </w:r>
          </w:p>
        </w:tc>
        <w:tc>
          <w:tcPr>
            <w:tcW w:w="0" w:type="dxa"/>
            <w:vAlign w:val="bottom"/>
          </w:tcPr>
          <w:p>
            <w:pPr>
              <w:spacing w:after="0"/>
              <w:rPr>
                <w:sz w:val="1"/>
                <w:szCs w:val="1"/>
                <w:color w:val="auto"/>
              </w:rPr>
            </w:pPr>
          </w:p>
        </w:tc>
      </w:tr>
      <w:tr>
        <w:trPr>
          <w:trHeight w:val="140"/>
        </w:trPr>
        <w:tc>
          <w:tcPr>
            <w:tcW w:w="1180" w:type="dxa"/>
            <w:vAlign w:val="bottom"/>
          </w:tcPr>
          <w:p>
            <w:pPr>
              <w:spacing w:after="0"/>
              <w:rPr>
                <w:sz w:val="12"/>
                <w:szCs w:val="12"/>
                <w:color w:val="auto"/>
              </w:rPr>
            </w:pPr>
          </w:p>
        </w:tc>
        <w:tc>
          <w:tcPr>
            <w:tcW w:w="940" w:type="dxa"/>
            <w:vAlign w:val="bottom"/>
            <w:gridSpan w:val="2"/>
          </w:tcPr>
          <w:p>
            <w:pPr>
              <w:jc w:val="right"/>
              <w:ind w:right="259"/>
              <w:spacing w:after="0"/>
              <w:rPr>
                <w:sz w:val="20"/>
                <w:szCs w:val="20"/>
                <w:color w:val="auto"/>
              </w:rPr>
            </w:pPr>
            <w:r>
              <w:rPr>
                <w:rFonts w:ascii="Arial" w:cs="Arial" w:eastAsia="Arial" w:hAnsi="Arial"/>
                <w:sz w:val="11"/>
                <w:szCs w:val="11"/>
                <w:b w:val="1"/>
                <w:bCs w:val="1"/>
                <w:color w:val="auto"/>
              </w:rPr>
              <w:t>Type of</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rPr>
              <w:t>Grant</w:t>
            </w: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Committee</w:t>
            </w: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Threshold</w:t>
            </w:r>
          </w:p>
        </w:tc>
        <w:tc>
          <w:tcPr>
            <w:tcW w:w="1060" w:type="dxa"/>
            <w:vAlign w:val="bottom"/>
          </w:tcPr>
          <w:p>
            <w:pPr>
              <w:jc w:val="right"/>
              <w:ind w:right="158"/>
              <w:spacing w:after="0"/>
              <w:rPr>
                <w:sz w:val="20"/>
                <w:szCs w:val="20"/>
                <w:color w:val="auto"/>
              </w:rPr>
            </w:pPr>
            <w:r>
              <w:rPr>
                <w:rFonts w:ascii="Arial" w:cs="Arial" w:eastAsia="Arial" w:hAnsi="Arial"/>
                <w:sz w:val="11"/>
                <w:szCs w:val="11"/>
                <w:b w:val="1"/>
                <w:bCs w:val="1"/>
                <w:color w:val="auto"/>
              </w:rPr>
              <w:t>Target</w:t>
            </w:r>
          </w:p>
        </w:tc>
        <w:tc>
          <w:tcPr>
            <w:tcW w:w="840" w:type="dxa"/>
            <w:vAlign w:val="bottom"/>
          </w:tcPr>
          <w:p>
            <w:pPr>
              <w:jc w:val="right"/>
              <w:ind w:right="98"/>
              <w:spacing w:after="0"/>
              <w:rPr>
                <w:sz w:val="20"/>
                <w:szCs w:val="20"/>
                <w:color w:val="auto"/>
              </w:rPr>
            </w:pPr>
            <w:r>
              <w:rPr>
                <w:rFonts w:ascii="Arial" w:cs="Arial" w:eastAsia="Arial" w:hAnsi="Arial"/>
                <w:sz w:val="11"/>
                <w:szCs w:val="11"/>
                <w:b w:val="1"/>
                <w:bCs w:val="1"/>
                <w:color w:val="auto"/>
              </w:rPr>
              <w:t>Maximum</w:t>
            </w: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Threshold</w:t>
            </w:r>
          </w:p>
        </w:tc>
        <w:tc>
          <w:tcPr>
            <w:tcW w:w="960" w:type="dxa"/>
            <w:vAlign w:val="bottom"/>
          </w:tcPr>
          <w:p>
            <w:pPr>
              <w:jc w:val="right"/>
              <w:ind w:right="178"/>
              <w:spacing w:after="0"/>
              <w:rPr>
                <w:sz w:val="20"/>
                <w:szCs w:val="20"/>
                <w:color w:val="auto"/>
              </w:rPr>
            </w:pPr>
            <w:r>
              <w:rPr>
                <w:rFonts w:ascii="Arial" w:cs="Arial" w:eastAsia="Arial" w:hAnsi="Arial"/>
                <w:sz w:val="11"/>
                <w:szCs w:val="11"/>
                <w:b w:val="1"/>
                <w:bCs w:val="1"/>
                <w:color w:val="auto"/>
              </w:rPr>
              <w:t>Target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auto"/>
              </w:rPr>
              <w:t>Maximum</w:t>
            </w:r>
          </w:p>
        </w:tc>
        <w:tc>
          <w:tcPr>
            <w:tcW w:w="860" w:type="dxa"/>
            <w:vAlign w:val="bottom"/>
          </w:tcPr>
          <w:p>
            <w:pPr>
              <w:jc w:val="right"/>
              <w:ind w:right="81"/>
              <w:spacing w:after="0"/>
              <w:rPr>
                <w:sz w:val="20"/>
                <w:szCs w:val="20"/>
                <w:color w:val="auto"/>
              </w:rPr>
            </w:pPr>
            <w:r>
              <w:rPr>
                <w:rFonts w:ascii="Arial" w:cs="Arial" w:eastAsia="Arial" w:hAnsi="Arial"/>
                <w:sz w:val="11"/>
                <w:szCs w:val="11"/>
                <w:b w:val="1"/>
                <w:bCs w:val="1"/>
                <w:color w:val="auto"/>
              </w:rPr>
              <w:t>or Units</w:t>
            </w:r>
          </w:p>
        </w:tc>
        <w:tc>
          <w:tcPr>
            <w:tcW w:w="700" w:type="dxa"/>
            <w:vAlign w:val="bottom"/>
          </w:tcPr>
          <w:p>
            <w:pPr>
              <w:jc w:val="right"/>
              <w:ind w:right="60"/>
              <w:spacing w:after="0"/>
              <w:rPr>
                <w:sz w:val="20"/>
                <w:szCs w:val="20"/>
                <w:color w:val="auto"/>
              </w:rPr>
            </w:pPr>
            <w:r>
              <w:rPr>
                <w:rFonts w:ascii="Arial" w:cs="Arial" w:eastAsia="Arial" w:hAnsi="Arial"/>
                <w:sz w:val="11"/>
                <w:szCs w:val="11"/>
                <w:b w:val="1"/>
                <w:bCs w:val="1"/>
                <w:color w:val="auto"/>
              </w:rPr>
              <w:t>Awards</w:t>
            </w: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Awards</w:t>
            </w:r>
          </w:p>
        </w:tc>
        <w:tc>
          <w:tcPr>
            <w:tcW w:w="0" w:type="dxa"/>
            <w:vAlign w:val="bottom"/>
          </w:tcPr>
          <w:p>
            <w:pPr>
              <w:spacing w:after="0"/>
              <w:rPr>
                <w:sz w:val="1"/>
                <w:szCs w:val="1"/>
                <w:color w:val="auto"/>
              </w:rPr>
            </w:pPr>
          </w:p>
        </w:tc>
      </w:tr>
      <w:tr>
        <w:trPr>
          <w:trHeight w:val="178"/>
        </w:trPr>
        <w:tc>
          <w:tcPr>
            <w:tcW w:w="1180" w:type="dxa"/>
            <w:vAlign w:val="bottom"/>
            <w:tcBorders>
              <w:bottom w:val="single" w:sz="8" w:color="1A3FD6"/>
            </w:tcBorders>
          </w:tcPr>
          <w:p>
            <w:pPr>
              <w:ind w:left="20"/>
              <w:spacing w:after="0"/>
              <w:rPr>
                <w:sz w:val="20"/>
                <w:szCs w:val="20"/>
                <w:color w:val="auto"/>
              </w:rPr>
            </w:pPr>
            <w:r>
              <w:rPr>
                <w:rFonts w:ascii="Arial" w:cs="Arial" w:eastAsia="Arial" w:hAnsi="Arial"/>
                <w:sz w:val="11"/>
                <w:szCs w:val="11"/>
                <w:b w:val="1"/>
                <w:bCs w:val="1"/>
                <w:color w:val="auto"/>
              </w:rPr>
              <w:t>Name</w:t>
            </w:r>
          </w:p>
        </w:tc>
        <w:tc>
          <w:tcPr>
            <w:tcW w:w="940" w:type="dxa"/>
            <w:vAlign w:val="bottom"/>
            <w:tcBorders>
              <w:bottom w:val="single" w:sz="8" w:color="1A3FD6"/>
            </w:tcBorders>
            <w:gridSpan w:val="2"/>
          </w:tcPr>
          <w:p>
            <w:pPr>
              <w:jc w:val="right"/>
              <w:ind w:right="259"/>
              <w:spacing w:after="0"/>
              <w:rPr>
                <w:sz w:val="20"/>
                <w:szCs w:val="20"/>
                <w:color w:val="auto"/>
              </w:rPr>
            </w:pPr>
            <w:r>
              <w:rPr>
                <w:rFonts w:ascii="Arial" w:cs="Arial" w:eastAsia="Arial" w:hAnsi="Arial"/>
                <w:sz w:val="11"/>
                <w:szCs w:val="11"/>
                <w:b w:val="1"/>
                <w:bCs w:val="1"/>
                <w:color w:val="auto"/>
              </w:rPr>
              <w:t>Award</w:t>
            </w:r>
          </w:p>
        </w:tc>
        <w:tc>
          <w:tcPr>
            <w:tcW w:w="800" w:type="dxa"/>
            <w:vAlign w:val="bottom"/>
            <w:tcBorders>
              <w:bottom w:val="single" w:sz="8" w:color="1A3FD6"/>
            </w:tcBorders>
          </w:tcPr>
          <w:p>
            <w:pPr>
              <w:jc w:val="right"/>
              <w:spacing w:after="0"/>
              <w:rPr>
                <w:sz w:val="20"/>
                <w:szCs w:val="20"/>
                <w:color w:val="auto"/>
              </w:rPr>
            </w:pPr>
            <w:r>
              <w:rPr>
                <w:rFonts w:ascii="Arial" w:cs="Arial" w:eastAsia="Arial" w:hAnsi="Arial"/>
                <w:sz w:val="11"/>
                <w:szCs w:val="11"/>
                <w:b w:val="1"/>
                <w:bCs w:val="1"/>
                <w:color w:val="auto"/>
              </w:rPr>
              <w:t>Date</w:t>
            </w:r>
          </w:p>
        </w:tc>
        <w:tc>
          <w:tcPr>
            <w:tcW w:w="1020" w:type="dxa"/>
            <w:vAlign w:val="bottom"/>
            <w:tcBorders>
              <w:bottom w:val="single" w:sz="8" w:color="1A3FD6"/>
            </w:tcBorders>
          </w:tcPr>
          <w:p>
            <w:pPr>
              <w:jc w:val="right"/>
              <w:spacing w:after="0"/>
              <w:rPr>
                <w:sz w:val="20"/>
                <w:szCs w:val="20"/>
                <w:color w:val="auto"/>
              </w:rPr>
            </w:pPr>
            <w:r>
              <w:rPr>
                <w:rFonts w:ascii="Arial" w:cs="Arial" w:eastAsia="Arial" w:hAnsi="Arial"/>
                <w:sz w:val="11"/>
                <w:szCs w:val="11"/>
                <w:b w:val="1"/>
                <w:bCs w:val="1"/>
                <w:color w:val="auto"/>
              </w:rPr>
              <w:t>Action Date</w:t>
            </w:r>
          </w:p>
        </w:tc>
        <w:tc>
          <w:tcPr>
            <w:tcW w:w="840" w:type="dxa"/>
            <w:vAlign w:val="bottom"/>
            <w:tcBorders>
              <w:bottom w:val="single" w:sz="8" w:color="1A3FD6"/>
            </w:tcBorders>
          </w:tcPr>
          <w:p>
            <w:pPr>
              <w:jc w:val="right"/>
              <w:spacing w:after="0"/>
              <w:rPr>
                <w:sz w:val="20"/>
                <w:szCs w:val="20"/>
                <w:color w:val="auto"/>
              </w:rPr>
            </w:pPr>
            <w:r>
              <w:rPr>
                <w:rFonts w:ascii="Arial" w:cs="Arial" w:eastAsia="Arial" w:hAnsi="Arial"/>
                <w:sz w:val="11"/>
                <w:szCs w:val="11"/>
                <w:b w:val="1"/>
                <w:bCs w:val="1"/>
                <w:color w:val="auto"/>
              </w:rPr>
              <w:t>($)</w:t>
            </w:r>
          </w:p>
        </w:tc>
        <w:tc>
          <w:tcPr>
            <w:tcW w:w="1060" w:type="dxa"/>
            <w:vAlign w:val="bottom"/>
            <w:tcBorders>
              <w:bottom w:val="single" w:sz="8" w:color="1A3FD6"/>
            </w:tcBorders>
          </w:tcPr>
          <w:p>
            <w:pPr>
              <w:jc w:val="right"/>
              <w:ind w:right="158"/>
              <w:spacing w:after="0"/>
              <w:rPr>
                <w:sz w:val="20"/>
                <w:szCs w:val="20"/>
                <w:color w:val="auto"/>
              </w:rPr>
            </w:pPr>
            <w:r>
              <w:rPr>
                <w:rFonts w:ascii="Arial" w:cs="Arial" w:eastAsia="Arial" w:hAnsi="Arial"/>
                <w:sz w:val="11"/>
                <w:szCs w:val="11"/>
                <w:b w:val="1"/>
                <w:bCs w:val="1"/>
                <w:color w:val="auto"/>
              </w:rPr>
              <w:t>($)</w:t>
            </w:r>
          </w:p>
        </w:tc>
        <w:tc>
          <w:tcPr>
            <w:tcW w:w="840" w:type="dxa"/>
            <w:vAlign w:val="bottom"/>
            <w:tcBorders>
              <w:bottom w:val="single" w:sz="8" w:color="1A3FD6"/>
            </w:tcBorders>
          </w:tcPr>
          <w:p>
            <w:pPr>
              <w:jc w:val="right"/>
              <w:ind w:right="98"/>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1A3FD6"/>
            </w:tcBorders>
          </w:tcPr>
          <w:p>
            <w:pPr>
              <w:jc w:val="right"/>
              <w:spacing w:after="0"/>
              <w:rPr>
                <w:sz w:val="20"/>
                <w:szCs w:val="20"/>
                <w:color w:val="auto"/>
              </w:rPr>
            </w:pPr>
            <w:r>
              <w:rPr>
                <w:rFonts w:ascii="Arial" w:cs="Arial" w:eastAsia="Arial" w:hAnsi="Arial"/>
                <w:sz w:val="11"/>
                <w:szCs w:val="11"/>
                <w:b w:val="1"/>
                <w:bCs w:val="1"/>
                <w:color w:val="auto"/>
              </w:rPr>
              <w:t>(#)</w:t>
            </w:r>
          </w:p>
        </w:tc>
        <w:tc>
          <w:tcPr>
            <w:tcW w:w="960" w:type="dxa"/>
            <w:vAlign w:val="bottom"/>
            <w:tcBorders>
              <w:bottom w:val="single" w:sz="8" w:color="1A3FD6"/>
            </w:tcBorders>
          </w:tcPr>
          <w:p>
            <w:pPr>
              <w:jc w:val="right"/>
              <w:ind w:right="178"/>
              <w:spacing w:after="0"/>
              <w:rPr>
                <w:sz w:val="20"/>
                <w:szCs w:val="20"/>
                <w:color w:val="auto"/>
              </w:rPr>
            </w:pPr>
            <w:r>
              <w:rPr>
                <w:rFonts w:ascii="Arial" w:cs="Arial" w:eastAsia="Arial" w:hAnsi="Arial"/>
                <w:sz w:val="11"/>
                <w:szCs w:val="11"/>
                <w:b w:val="1"/>
                <w:bCs w:val="1"/>
                <w:color w:val="auto"/>
              </w:rPr>
              <w:t>(#)</w:t>
            </w:r>
          </w:p>
        </w:tc>
        <w:tc>
          <w:tcPr>
            <w:tcW w:w="560" w:type="dxa"/>
            <w:vAlign w:val="bottom"/>
            <w:tcBorders>
              <w:bottom w:val="single" w:sz="8" w:color="1A3FD6"/>
            </w:tcBorders>
          </w:tcPr>
          <w:p>
            <w:pPr>
              <w:jc w:val="right"/>
              <w:spacing w:after="0"/>
              <w:rPr>
                <w:sz w:val="20"/>
                <w:szCs w:val="20"/>
                <w:color w:val="auto"/>
              </w:rPr>
            </w:pPr>
            <w:r>
              <w:rPr>
                <w:rFonts w:ascii="Arial" w:cs="Arial" w:eastAsia="Arial" w:hAnsi="Arial"/>
                <w:sz w:val="11"/>
                <w:szCs w:val="11"/>
                <w:b w:val="1"/>
                <w:bCs w:val="1"/>
                <w:color w:val="auto"/>
              </w:rPr>
              <w:t>(#)</w:t>
            </w:r>
          </w:p>
        </w:tc>
        <w:tc>
          <w:tcPr>
            <w:tcW w:w="860" w:type="dxa"/>
            <w:vAlign w:val="bottom"/>
            <w:tcBorders>
              <w:bottom w:val="single" w:sz="8" w:color="1A3FD6"/>
            </w:tcBorders>
          </w:tcPr>
          <w:p>
            <w:pPr>
              <w:jc w:val="right"/>
              <w:ind w:right="81"/>
              <w:spacing w:after="0"/>
              <w:rPr>
                <w:sz w:val="20"/>
                <w:szCs w:val="20"/>
                <w:color w:val="auto"/>
              </w:rPr>
            </w:pPr>
            <w:r>
              <w:rPr>
                <w:rFonts w:ascii="Arial" w:cs="Arial" w:eastAsia="Arial" w:hAnsi="Arial"/>
                <w:sz w:val="11"/>
                <w:szCs w:val="11"/>
                <w:b w:val="1"/>
                <w:bCs w:val="1"/>
                <w:color w:val="auto"/>
              </w:rPr>
              <w:t>(#)</w:t>
            </w:r>
          </w:p>
        </w:tc>
        <w:tc>
          <w:tcPr>
            <w:tcW w:w="700" w:type="dxa"/>
            <w:vAlign w:val="bottom"/>
            <w:tcBorders>
              <w:bottom w:val="single" w:sz="8" w:color="1A3FD6"/>
            </w:tcBorders>
          </w:tcPr>
          <w:p>
            <w:pPr>
              <w:jc w:val="right"/>
              <w:ind w:right="60"/>
              <w:spacing w:after="0"/>
              <w:rPr>
                <w:sz w:val="20"/>
                <w:szCs w:val="20"/>
                <w:color w:val="auto"/>
              </w:rPr>
            </w:pPr>
            <w:r>
              <w:rPr>
                <w:rFonts w:ascii="Arial" w:cs="Arial" w:eastAsia="Arial" w:hAnsi="Arial"/>
                <w:sz w:val="11"/>
                <w:szCs w:val="11"/>
                <w:b w:val="1"/>
                <w:bCs w:val="1"/>
                <w:color w:val="auto"/>
              </w:rPr>
              <w:t>($)</w:t>
            </w:r>
          </w:p>
        </w:tc>
        <w:tc>
          <w:tcPr>
            <w:tcW w:w="740" w:type="dxa"/>
            <w:vAlign w:val="bottom"/>
            <w:tcBorders>
              <w:bottom w:val="single" w:sz="8" w:color="1A3FD6"/>
            </w:tcBorders>
          </w:tcPr>
          <w:p>
            <w:pPr>
              <w:jc w:val="right"/>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4"/>
                <w:szCs w:val="14"/>
                <w:b w:val="1"/>
                <w:bCs w:val="1"/>
                <w:color w:val="auto"/>
                <w:vertAlign w:val="superscript"/>
              </w:rPr>
              <w:t>(6)</w:t>
            </w:r>
          </w:p>
        </w:tc>
        <w:tc>
          <w:tcPr>
            <w:tcW w:w="0" w:type="dxa"/>
            <w:vAlign w:val="bottom"/>
          </w:tcPr>
          <w:p>
            <w:pPr>
              <w:spacing w:after="0"/>
              <w:rPr>
                <w:sz w:val="1"/>
                <w:szCs w:val="1"/>
                <w:color w:val="auto"/>
              </w:rPr>
            </w:pPr>
          </w:p>
        </w:tc>
      </w:tr>
      <w:tr>
        <w:trPr>
          <w:trHeight w:val="151"/>
        </w:trPr>
        <w:tc>
          <w:tcPr>
            <w:tcW w:w="1180" w:type="dxa"/>
            <w:vAlign w:val="bottom"/>
          </w:tcPr>
          <w:p>
            <w:pPr>
              <w:ind w:left="20"/>
              <w:spacing w:after="0"/>
              <w:rPr>
                <w:sz w:val="20"/>
                <w:szCs w:val="20"/>
                <w:color w:val="auto"/>
              </w:rPr>
            </w:pPr>
            <w:r>
              <w:rPr>
                <w:rFonts w:ascii="Arial" w:cs="Arial" w:eastAsia="Arial" w:hAnsi="Arial"/>
                <w:sz w:val="13"/>
                <w:szCs w:val="13"/>
                <w:b w:val="1"/>
                <w:bCs w:val="1"/>
                <w:color w:val="1A3FD6"/>
              </w:rPr>
              <w:t>Henry</w:t>
            </w:r>
          </w:p>
        </w:tc>
        <w:tc>
          <w:tcPr>
            <w:tcW w:w="940" w:type="dxa"/>
            <w:vAlign w:val="bottom"/>
            <w:gridSpan w:val="2"/>
          </w:tcPr>
          <w:p>
            <w:pPr>
              <w:jc w:val="right"/>
              <w:ind w:right="259"/>
              <w:spacing w:after="0"/>
              <w:rPr>
                <w:sz w:val="20"/>
                <w:szCs w:val="20"/>
                <w:color w:val="auto"/>
              </w:rPr>
            </w:pPr>
            <w:r>
              <w:rPr>
                <w:rFonts w:ascii="Arial" w:cs="Arial" w:eastAsia="Arial" w:hAnsi="Arial"/>
                <w:sz w:val="13"/>
                <w:szCs w:val="13"/>
                <w:color w:val="auto"/>
              </w:rPr>
              <w:t>AIP</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1/26/2024</w:t>
            </w:r>
          </w:p>
        </w:tc>
        <w:tc>
          <w:tcPr>
            <w:tcW w:w="840" w:type="dxa"/>
            <w:vAlign w:val="bottom"/>
          </w:tcPr>
          <w:p>
            <w:pPr>
              <w:ind w:left="64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98"/>
              <w:spacing w:after="0"/>
              <w:rPr>
                <w:sz w:val="20"/>
                <w:szCs w:val="20"/>
                <w:color w:val="auto"/>
              </w:rPr>
            </w:pPr>
            <w:r>
              <w:rPr>
                <w:rFonts w:ascii="Arial" w:cs="Arial" w:eastAsia="Arial" w:hAnsi="Arial"/>
                <w:sz w:val="13"/>
                <w:szCs w:val="13"/>
                <w:color w:val="auto"/>
              </w:rPr>
              <w:t>1,400,000</w:t>
            </w:r>
          </w:p>
        </w:tc>
        <w:tc>
          <w:tcPr>
            <w:tcW w:w="840" w:type="dxa"/>
            <w:vAlign w:val="bottom"/>
          </w:tcPr>
          <w:p>
            <w:pPr>
              <w:jc w:val="right"/>
              <w:ind w:right="158"/>
              <w:spacing w:after="0"/>
              <w:rPr>
                <w:sz w:val="20"/>
                <w:szCs w:val="20"/>
                <w:color w:val="auto"/>
              </w:rPr>
            </w:pPr>
            <w:r>
              <w:rPr>
                <w:rFonts w:ascii="Arial" w:cs="Arial" w:eastAsia="Arial" w:hAnsi="Arial"/>
                <w:sz w:val="13"/>
                <w:szCs w:val="13"/>
                <w:color w:val="auto"/>
              </w:rPr>
              <w:t>2,100,000</w:t>
            </w:r>
          </w:p>
        </w:tc>
        <w:tc>
          <w:tcPr>
            <w:tcW w:w="740" w:type="dxa"/>
            <w:vAlign w:val="bottom"/>
          </w:tcPr>
          <w:p>
            <w:pPr>
              <w:jc w:val="center"/>
              <w:ind w:left="379"/>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18"/>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21"/>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180" w:type="dxa"/>
            <w:vAlign w:val="bottom"/>
          </w:tcPr>
          <w:p>
            <w:pPr>
              <w:ind w:left="20"/>
              <w:spacing w:after="0"/>
              <w:rPr>
                <w:sz w:val="20"/>
                <w:szCs w:val="20"/>
                <w:color w:val="auto"/>
              </w:rPr>
            </w:pPr>
            <w:r>
              <w:rPr>
                <w:rFonts w:ascii="Arial" w:cs="Arial" w:eastAsia="Arial" w:hAnsi="Arial"/>
                <w:sz w:val="13"/>
                <w:szCs w:val="13"/>
                <w:b w:val="1"/>
                <w:bCs w:val="1"/>
                <w:color w:val="1A3FD6"/>
              </w:rPr>
              <w:t>A. Fernandez</w:t>
            </w:r>
          </w:p>
        </w:tc>
        <w:tc>
          <w:tcPr>
            <w:tcW w:w="940" w:type="dxa"/>
            <w:vAlign w:val="bottom"/>
            <w:gridSpan w:val="2"/>
            <w:vMerge w:val="restart"/>
          </w:tcPr>
          <w:p>
            <w:pPr>
              <w:jc w:val="right"/>
              <w:ind w:right="139"/>
              <w:spacing w:after="0"/>
              <w:rPr>
                <w:sz w:val="20"/>
                <w:szCs w:val="20"/>
                <w:color w:val="auto"/>
              </w:rPr>
            </w:pPr>
            <w:r>
              <w:rPr>
                <w:rFonts w:ascii="Arial" w:cs="Arial" w:eastAsia="Arial" w:hAnsi="Arial"/>
                <w:sz w:val="25"/>
                <w:szCs w:val="25"/>
                <w:color w:val="auto"/>
                <w:vertAlign w:val="subscript"/>
              </w:rPr>
              <w:t>PSU</w:t>
            </w:r>
            <w:r>
              <w:rPr>
                <w:rFonts w:ascii="Arial" w:cs="Arial" w:eastAsia="Arial" w:hAnsi="Arial"/>
                <w:sz w:val="8"/>
                <w:szCs w:val="8"/>
                <w:color w:val="auto"/>
              </w:rPr>
              <w:t xml:space="preserve"> (4)</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2/1/2024</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1/26/2024</w:t>
            </w:r>
          </w:p>
        </w:tc>
        <w:tc>
          <w:tcPr>
            <w:tcW w:w="840" w:type="dxa"/>
            <w:vAlign w:val="bottom"/>
            <w:vMerge w:val="restart"/>
          </w:tcPr>
          <w:p>
            <w:pPr>
              <w:ind w:left="640"/>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198"/>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ind w:right="158"/>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1,731</w:t>
            </w:r>
          </w:p>
        </w:tc>
        <w:tc>
          <w:tcPr>
            <w:tcW w:w="960" w:type="dxa"/>
            <w:vAlign w:val="bottom"/>
            <w:vMerge w:val="restart"/>
          </w:tcPr>
          <w:p>
            <w:pPr>
              <w:jc w:val="right"/>
              <w:ind w:right="218"/>
              <w:spacing w:after="0"/>
              <w:rPr>
                <w:sz w:val="20"/>
                <w:szCs w:val="20"/>
                <w:color w:val="auto"/>
              </w:rPr>
            </w:pPr>
            <w:r>
              <w:rPr>
                <w:rFonts w:ascii="Arial" w:cs="Arial" w:eastAsia="Arial" w:hAnsi="Arial"/>
                <w:sz w:val="13"/>
                <w:szCs w:val="13"/>
                <w:color w:val="auto"/>
              </w:rPr>
              <w:t>6,924</w:t>
            </w:r>
          </w:p>
        </w:tc>
        <w:tc>
          <w:tcPr>
            <w:tcW w:w="560" w:type="dxa"/>
            <w:vAlign w:val="bottom"/>
            <w:vMerge w:val="restart"/>
          </w:tcPr>
          <w:p>
            <w:pPr>
              <w:jc w:val="right"/>
              <w:ind w:right="18"/>
              <w:spacing w:after="0"/>
              <w:rPr>
                <w:sz w:val="20"/>
                <w:szCs w:val="20"/>
                <w:color w:val="auto"/>
              </w:rPr>
            </w:pPr>
            <w:r>
              <w:rPr>
                <w:rFonts w:ascii="Arial" w:cs="Arial" w:eastAsia="Arial" w:hAnsi="Arial"/>
                <w:sz w:val="13"/>
                <w:szCs w:val="13"/>
                <w:color w:val="auto"/>
              </w:rPr>
              <w:t>13,848</w:t>
            </w:r>
          </w:p>
        </w:tc>
        <w:tc>
          <w:tcPr>
            <w:tcW w:w="860" w:type="dxa"/>
            <w:vAlign w:val="bottom"/>
            <w:vMerge w:val="restart"/>
          </w:tcPr>
          <w:p>
            <w:pPr>
              <w:jc w:val="right"/>
              <w:ind w:right="121"/>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3,480,002</w:t>
            </w: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4"/>
                <w:szCs w:val="24"/>
                <w:color w:val="auto"/>
              </w:rPr>
            </w:pPr>
          </w:p>
        </w:tc>
        <w:tc>
          <w:tcPr>
            <w:tcW w:w="940" w:type="dxa"/>
            <w:vAlign w:val="bottom"/>
            <w:gridSpan w:val="2"/>
          </w:tcPr>
          <w:p>
            <w:pPr>
              <w:jc w:val="right"/>
              <w:ind w:right="139"/>
              <w:spacing w:after="0"/>
              <w:rPr>
                <w:sz w:val="20"/>
                <w:szCs w:val="20"/>
                <w:color w:val="auto"/>
              </w:rPr>
            </w:pPr>
            <w:r>
              <w:rPr>
                <w:rFonts w:ascii="Arial" w:cs="Arial" w:eastAsia="Arial" w:hAnsi="Arial"/>
                <w:sz w:val="13"/>
                <w:szCs w:val="13"/>
                <w:color w:val="auto"/>
              </w:rPr>
              <w:t xml:space="preserve">PSO </w:t>
            </w:r>
            <w:r>
              <w:rPr>
                <w:rFonts w:ascii="Arial" w:cs="Arial" w:eastAsia="Arial" w:hAnsi="Arial"/>
                <w:sz w:val="16"/>
                <w:szCs w:val="16"/>
                <w:color w:val="auto"/>
                <w:vertAlign w:val="superscript"/>
              </w:rPr>
              <w:t>(5)</w:t>
            </w:r>
          </w:p>
        </w:tc>
        <w:tc>
          <w:tcPr>
            <w:tcW w:w="800" w:type="dxa"/>
            <w:vAlign w:val="bottom"/>
          </w:tcPr>
          <w:p>
            <w:pPr>
              <w:jc w:val="right"/>
              <w:spacing w:after="0"/>
              <w:rPr>
                <w:sz w:val="20"/>
                <w:szCs w:val="20"/>
                <w:color w:val="auto"/>
              </w:rPr>
            </w:pPr>
            <w:r>
              <w:rPr>
                <w:rFonts w:ascii="Arial" w:cs="Arial" w:eastAsia="Arial" w:hAnsi="Arial"/>
                <w:sz w:val="13"/>
                <w:szCs w:val="13"/>
                <w:color w:val="auto"/>
              </w:rPr>
              <w:t>2/1/2024</w:t>
            </w:r>
          </w:p>
        </w:tc>
        <w:tc>
          <w:tcPr>
            <w:tcW w:w="1020" w:type="dxa"/>
            <w:vAlign w:val="bottom"/>
          </w:tcPr>
          <w:p>
            <w:pPr>
              <w:jc w:val="right"/>
              <w:spacing w:after="0"/>
              <w:rPr>
                <w:sz w:val="20"/>
                <w:szCs w:val="20"/>
                <w:color w:val="auto"/>
              </w:rPr>
            </w:pPr>
            <w:r>
              <w:rPr>
                <w:rFonts w:ascii="Arial" w:cs="Arial" w:eastAsia="Arial" w:hAnsi="Arial"/>
                <w:sz w:val="13"/>
                <w:szCs w:val="13"/>
                <w:color w:val="auto"/>
              </w:rPr>
              <w:t>1/26/2024</w:t>
            </w:r>
          </w:p>
        </w:tc>
        <w:tc>
          <w:tcPr>
            <w:tcW w:w="840" w:type="dxa"/>
            <w:vAlign w:val="bottom"/>
          </w:tcPr>
          <w:p>
            <w:pPr>
              <w:ind w:left="64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9,130</w:t>
            </w:r>
          </w:p>
        </w:tc>
        <w:tc>
          <w:tcPr>
            <w:tcW w:w="960" w:type="dxa"/>
            <w:vAlign w:val="bottom"/>
          </w:tcPr>
          <w:p>
            <w:pPr>
              <w:jc w:val="right"/>
              <w:ind w:right="218"/>
              <w:spacing w:after="0"/>
              <w:rPr>
                <w:sz w:val="20"/>
                <w:szCs w:val="20"/>
                <w:color w:val="auto"/>
              </w:rPr>
            </w:pPr>
            <w:r>
              <w:rPr>
                <w:rFonts w:ascii="Arial" w:cs="Arial" w:eastAsia="Arial" w:hAnsi="Arial"/>
                <w:sz w:val="13"/>
                <w:szCs w:val="13"/>
                <w:color w:val="auto"/>
              </w:rPr>
              <w:t>36,523</w:t>
            </w:r>
          </w:p>
        </w:tc>
        <w:tc>
          <w:tcPr>
            <w:tcW w:w="560" w:type="dxa"/>
            <w:vAlign w:val="bottom"/>
          </w:tcPr>
          <w:p>
            <w:pPr>
              <w:jc w:val="right"/>
              <w:ind w:right="18"/>
              <w:spacing w:after="0"/>
              <w:rPr>
                <w:sz w:val="20"/>
                <w:szCs w:val="20"/>
                <w:color w:val="auto"/>
              </w:rPr>
            </w:pPr>
            <w:r>
              <w:rPr>
                <w:rFonts w:ascii="Arial" w:cs="Arial" w:eastAsia="Arial" w:hAnsi="Arial"/>
                <w:sz w:val="13"/>
                <w:szCs w:val="13"/>
                <w:color w:val="auto"/>
              </w:rPr>
              <w:t>73,046</w:t>
            </w:r>
          </w:p>
        </w:tc>
        <w:tc>
          <w:tcPr>
            <w:tcW w:w="860" w:type="dxa"/>
            <w:vAlign w:val="bottom"/>
          </w:tcPr>
          <w:p>
            <w:pPr>
              <w:jc w:val="right"/>
              <w:ind w:right="121"/>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20"/>
              <w:spacing w:after="0"/>
              <w:rPr>
                <w:sz w:val="20"/>
                <w:szCs w:val="20"/>
                <w:color w:val="auto"/>
              </w:rPr>
            </w:pPr>
            <w:r>
              <w:rPr>
                <w:rFonts w:ascii="Arial" w:cs="Arial" w:eastAsia="Arial" w:hAnsi="Arial"/>
                <w:sz w:val="13"/>
                <w:szCs w:val="13"/>
                <w:color w:val="auto"/>
              </w:rPr>
              <w:t>598.62</w:t>
            </w:r>
          </w:p>
        </w:tc>
        <w:tc>
          <w:tcPr>
            <w:tcW w:w="740" w:type="dxa"/>
            <w:vAlign w:val="bottom"/>
          </w:tcPr>
          <w:p>
            <w:pPr>
              <w:jc w:val="right"/>
              <w:spacing w:after="0"/>
              <w:rPr>
                <w:sz w:val="20"/>
                <w:szCs w:val="20"/>
                <w:color w:val="auto"/>
              </w:rPr>
            </w:pPr>
            <w:r>
              <w:rPr>
                <w:rFonts w:ascii="Arial" w:cs="Arial" w:eastAsia="Arial" w:hAnsi="Arial"/>
                <w:sz w:val="13"/>
                <w:szCs w:val="13"/>
                <w:color w:val="auto"/>
              </w:rPr>
              <w:t>8,120,159</w:t>
            </w:r>
          </w:p>
        </w:tc>
        <w:tc>
          <w:tcPr>
            <w:tcW w:w="0" w:type="dxa"/>
            <w:vAlign w:val="bottom"/>
          </w:tcPr>
          <w:p>
            <w:pPr>
              <w:spacing w:after="0"/>
              <w:rPr>
                <w:sz w:val="1"/>
                <w:szCs w:val="1"/>
                <w:color w:val="auto"/>
              </w:rPr>
            </w:pPr>
          </w:p>
        </w:tc>
      </w:tr>
      <w:tr>
        <w:trPr>
          <w:trHeight w:val="163"/>
        </w:trPr>
        <w:tc>
          <w:tcPr>
            <w:tcW w:w="1180" w:type="dxa"/>
            <w:vAlign w:val="bottom"/>
            <w:shd w:val="clear" w:color="auto" w:fill="EDF0FC"/>
          </w:tcPr>
          <w:p>
            <w:pPr>
              <w:ind w:left="20"/>
              <w:spacing w:after="0"/>
              <w:rPr>
                <w:sz w:val="20"/>
                <w:szCs w:val="20"/>
                <w:color w:val="auto"/>
              </w:rPr>
            </w:pPr>
            <w:r>
              <w:rPr>
                <w:rFonts w:ascii="Arial" w:cs="Arial" w:eastAsia="Arial" w:hAnsi="Arial"/>
                <w:sz w:val="13"/>
                <w:szCs w:val="13"/>
                <w:b w:val="1"/>
                <w:bCs w:val="1"/>
                <w:color w:val="1A3FD6"/>
              </w:rPr>
              <w:t>Andrew</w:t>
            </w:r>
          </w:p>
        </w:tc>
        <w:tc>
          <w:tcPr>
            <w:tcW w:w="660" w:type="dxa"/>
            <w:vAlign w:val="bottom"/>
            <w:shd w:val="clear" w:color="auto" w:fill="EDF0FC"/>
          </w:tcPr>
          <w:p>
            <w:pPr>
              <w:jc w:val="right"/>
              <w:spacing w:after="0"/>
              <w:rPr>
                <w:sz w:val="20"/>
                <w:szCs w:val="20"/>
                <w:color w:val="auto"/>
              </w:rPr>
            </w:pPr>
            <w:r>
              <w:rPr>
                <w:rFonts w:ascii="Arial" w:cs="Arial" w:eastAsia="Arial" w:hAnsi="Arial"/>
                <w:sz w:val="13"/>
                <w:szCs w:val="13"/>
                <w:color w:val="auto"/>
              </w:rPr>
              <w:t>AIP</w:t>
            </w:r>
          </w:p>
        </w:tc>
        <w:tc>
          <w:tcPr>
            <w:tcW w:w="280" w:type="dxa"/>
            <w:vAlign w:val="bottom"/>
            <w:shd w:val="clear" w:color="auto" w:fill="EDF0FC"/>
          </w:tcPr>
          <w:p>
            <w:pPr>
              <w:spacing w:after="0"/>
              <w:rPr>
                <w:sz w:val="14"/>
                <w:szCs w:val="14"/>
                <w:color w:val="auto"/>
              </w:rPr>
            </w:pPr>
          </w:p>
        </w:tc>
        <w:tc>
          <w:tcPr>
            <w:tcW w:w="800" w:type="dxa"/>
            <w:vAlign w:val="bottom"/>
            <w:shd w:val="clear" w:color="auto" w:fill="ED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EDF0FC"/>
          </w:tcPr>
          <w:p>
            <w:pPr>
              <w:jc w:val="right"/>
              <w:spacing w:after="0"/>
              <w:rPr>
                <w:sz w:val="20"/>
                <w:szCs w:val="20"/>
                <w:color w:val="auto"/>
              </w:rPr>
            </w:pPr>
            <w:r>
              <w:rPr>
                <w:rFonts w:ascii="Arial" w:cs="Arial" w:eastAsia="Arial" w:hAnsi="Arial"/>
                <w:sz w:val="13"/>
                <w:szCs w:val="13"/>
                <w:color w:val="auto"/>
              </w:rPr>
              <w:t>1/26/2024</w:t>
            </w:r>
          </w:p>
        </w:tc>
        <w:tc>
          <w:tcPr>
            <w:tcW w:w="840" w:type="dxa"/>
            <w:vAlign w:val="bottom"/>
            <w:shd w:val="clear" w:color="auto" w:fill="EDF0FC"/>
          </w:tcPr>
          <w:p>
            <w:pPr>
              <w:ind w:left="640"/>
              <w:spacing w:after="0"/>
              <w:rPr>
                <w:sz w:val="20"/>
                <w:szCs w:val="20"/>
                <w:color w:val="auto"/>
              </w:rPr>
            </w:pPr>
            <w:r>
              <w:rPr>
                <w:rFonts w:ascii="Arial" w:cs="Arial" w:eastAsia="Arial" w:hAnsi="Arial"/>
                <w:sz w:val="13"/>
                <w:szCs w:val="13"/>
                <w:color w:val="auto"/>
              </w:rPr>
              <w:t>—</w:t>
            </w:r>
          </w:p>
        </w:tc>
        <w:tc>
          <w:tcPr>
            <w:tcW w:w="1060" w:type="dxa"/>
            <w:vAlign w:val="bottom"/>
            <w:shd w:val="clear" w:color="auto" w:fill="EDF0FC"/>
          </w:tcPr>
          <w:p>
            <w:pPr>
              <w:jc w:val="right"/>
              <w:ind w:right="198"/>
              <w:spacing w:after="0"/>
              <w:rPr>
                <w:sz w:val="20"/>
                <w:szCs w:val="20"/>
                <w:color w:val="auto"/>
              </w:rPr>
            </w:pPr>
            <w:r>
              <w:rPr>
                <w:rFonts w:ascii="Arial" w:cs="Arial" w:eastAsia="Arial" w:hAnsi="Arial"/>
                <w:sz w:val="13"/>
                <w:szCs w:val="13"/>
                <w:color w:val="auto"/>
              </w:rPr>
              <w:t>750,000</w:t>
            </w:r>
          </w:p>
        </w:tc>
        <w:tc>
          <w:tcPr>
            <w:tcW w:w="840" w:type="dxa"/>
            <w:vAlign w:val="bottom"/>
            <w:shd w:val="clear" w:color="auto" w:fill="EDF0FC"/>
          </w:tcPr>
          <w:p>
            <w:pPr>
              <w:jc w:val="right"/>
              <w:ind w:right="158"/>
              <w:spacing w:after="0"/>
              <w:rPr>
                <w:sz w:val="20"/>
                <w:szCs w:val="20"/>
                <w:color w:val="auto"/>
              </w:rPr>
            </w:pPr>
            <w:r>
              <w:rPr>
                <w:rFonts w:ascii="Arial" w:cs="Arial" w:eastAsia="Arial" w:hAnsi="Arial"/>
                <w:sz w:val="13"/>
                <w:szCs w:val="13"/>
                <w:color w:val="auto"/>
              </w:rPr>
              <w:t>1,125,000</w:t>
            </w:r>
          </w:p>
        </w:tc>
        <w:tc>
          <w:tcPr>
            <w:tcW w:w="740" w:type="dxa"/>
            <w:vAlign w:val="bottom"/>
            <w:shd w:val="clear" w:color="auto" w:fill="EDF0FC"/>
          </w:tcPr>
          <w:p>
            <w:pPr>
              <w:jc w:val="center"/>
              <w:ind w:left="379"/>
              <w:spacing w:after="0"/>
              <w:rPr>
                <w:sz w:val="20"/>
                <w:szCs w:val="20"/>
                <w:color w:val="auto"/>
              </w:rPr>
            </w:pPr>
            <w:r>
              <w:rPr>
                <w:rFonts w:ascii="Arial" w:cs="Arial" w:eastAsia="Arial" w:hAnsi="Arial"/>
                <w:sz w:val="13"/>
                <w:szCs w:val="13"/>
                <w:color w:val="auto"/>
              </w:rPr>
              <w:t>—</w:t>
            </w:r>
          </w:p>
        </w:tc>
        <w:tc>
          <w:tcPr>
            <w:tcW w:w="960" w:type="dxa"/>
            <w:vAlign w:val="bottom"/>
            <w:shd w:val="clear" w:color="auto" w:fill="EDF0FC"/>
          </w:tcPr>
          <w:p>
            <w:pPr>
              <w:jc w:val="right"/>
              <w:ind w:right="218"/>
              <w:spacing w:after="0"/>
              <w:rPr>
                <w:sz w:val="20"/>
                <w:szCs w:val="20"/>
                <w:color w:val="auto"/>
              </w:rPr>
            </w:pPr>
            <w:r>
              <w:rPr>
                <w:rFonts w:ascii="Arial" w:cs="Arial" w:eastAsia="Arial" w:hAnsi="Arial"/>
                <w:sz w:val="13"/>
                <w:szCs w:val="13"/>
                <w:color w:val="auto"/>
              </w:rPr>
              <w:t>—</w:t>
            </w:r>
          </w:p>
        </w:tc>
        <w:tc>
          <w:tcPr>
            <w:tcW w:w="560" w:type="dxa"/>
            <w:vAlign w:val="bottom"/>
            <w:shd w:val="clear" w:color="auto" w:fill="EDF0FC"/>
          </w:tcPr>
          <w:p>
            <w:pPr>
              <w:jc w:val="right"/>
              <w:ind w:right="18"/>
              <w:spacing w:after="0"/>
              <w:rPr>
                <w:sz w:val="20"/>
                <w:szCs w:val="20"/>
                <w:color w:val="auto"/>
              </w:rPr>
            </w:pPr>
            <w:r>
              <w:rPr>
                <w:rFonts w:ascii="Arial" w:cs="Arial" w:eastAsia="Arial" w:hAnsi="Arial"/>
                <w:sz w:val="13"/>
                <w:szCs w:val="13"/>
                <w:color w:val="auto"/>
              </w:rPr>
              <w:t>—</w:t>
            </w:r>
          </w:p>
        </w:tc>
        <w:tc>
          <w:tcPr>
            <w:tcW w:w="860" w:type="dxa"/>
            <w:vAlign w:val="bottom"/>
            <w:shd w:val="clear" w:color="auto" w:fill="EDF0FC"/>
          </w:tcPr>
          <w:p>
            <w:pPr>
              <w:jc w:val="right"/>
              <w:ind w:right="121"/>
              <w:spacing w:after="0"/>
              <w:rPr>
                <w:sz w:val="20"/>
                <w:szCs w:val="20"/>
                <w:color w:val="auto"/>
              </w:rPr>
            </w:pPr>
            <w:r>
              <w:rPr>
                <w:rFonts w:ascii="Arial" w:cs="Arial" w:eastAsia="Arial" w:hAnsi="Arial"/>
                <w:sz w:val="13"/>
                <w:szCs w:val="13"/>
                <w:color w:val="auto"/>
              </w:rPr>
              <w:t>—</w:t>
            </w:r>
          </w:p>
        </w:tc>
        <w:tc>
          <w:tcPr>
            <w:tcW w:w="700" w:type="dxa"/>
            <w:vAlign w:val="bottom"/>
            <w:shd w:val="clear" w:color="auto" w:fill="EDF0FC"/>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shd w:val="clear" w:color="auto" w:fill="ED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180" w:type="dxa"/>
            <w:vAlign w:val="bottom"/>
            <w:shd w:val="clear" w:color="auto" w:fill="EDF0FC"/>
          </w:tcPr>
          <w:p>
            <w:pPr>
              <w:ind w:left="20"/>
              <w:spacing w:after="0"/>
              <w:rPr>
                <w:sz w:val="20"/>
                <w:szCs w:val="20"/>
                <w:color w:val="auto"/>
              </w:rPr>
            </w:pPr>
            <w:r>
              <w:rPr>
                <w:rFonts w:ascii="Arial" w:cs="Arial" w:eastAsia="Arial" w:hAnsi="Arial"/>
                <w:sz w:val="13"/>
                <w:szCs w:val="13"/>
                <w:b w:val="1"/>
                <w:bCs w:val="1"/>
                <w:color w:val="1A3FD6"/>
              </w:rPr>
              <w:t>C. Wiechmann</w:t>
            </w:r>
          </w:p>
        </w:tc>
        <w:tc>
          <w:tcPr>
            <w:tcW w:w="660" w:type="dxa"/>
            <w:vAlign w:val="bottom"/>
            <w:vMerge w:val="restart"/>
            <w:shd w:val="clear" w:color="auto" w:fill="EDF0FC"/>
          </w:tcPr>
          <w:p>
            <w:pPr>
              <w:jc w:val="right"/>
              <w:spacing w:after="0"/>
              <w:rPr>
                <w:sz w:val="20"/>
                <w:szCs w:val="20"/>
                <w:color w:val="auto"/>
              </w:rPr>
            </w:pPr>
            <w:r>
              <w:rPr>
                <w:rFonts w:ascii="Arial" w:cs="Arial" w:eastAsia="Arial" w:hAnsi="Arial"/>
                <w:sz w:val="13"/>
                <w:szCs w:val="13"/>
                <w:color w:val="auto"/>
              </w:rPr>
              <w:t>RSU</w:t>
            </w:r>
          </w:p>
        </w:tc>
        <w:tc>
          <w:tcPr>
            <w:tcW w:w="280" w:type="dxa"/>
            <w:vAlign w:val="bottom"/>
            <w:vMerge w:val="restart"/>
            <w:shd w:val="clear" w:color="auto" w:fill="EDF0FC"/>
          </w:tcPr>
          <w:p>
            <w:pPr>
              <w:jc w:val="right"/>
              <w:ind w:right="139"/>
              <w:spacing w:after="0"/>
              <w:rPr>
                <w:sz w:val="20"/>
                <w:szCs w:val="20"/>
                <w:color w:val="auto"/>
              </w:rPr>
            </w:pPr>
            <w:r>
              <w:rPr>
                <w:rFonts w:ascii="Arial" w:cs="Arial" w:eastAsia="Arial" w:hAnsi="Arial"/>
                <w:sz w:val="8"/>
                <w:szCs w:val="8"/>
                <w:color w:val="auto"/>
                <w:w w:val="81"/>
              </w:rPr>
              <w:t>(3)</w:t>
            </w:r>
          </w:p>
        </w:tc>
        <w:tc>
          <w:tcPr>
            <w:tcW w:w="800" w:type="dxa"/>
            <w:vAlign w:val="bottom"/>
            <w:vMerge w:val="restart"/>
            <w:shd w:val="clear" w:color="auto" w:fill="EDF0FC"/>
          </w:tcPr>
          <w:p>
            <w:pPr>
              <w:jc w:val="right"/>
              <w:spacing w:after="0"/>
              <w:rPr>
                <w:sz w:val="20"/>
                <w:szCs w:val="20"/>
                <w:color w:val="auto"/>
              </w:rPr>
            </w:pPr>
            <w:r>
              <w:rPr>
                <w:rFonts w:ascii="Arial" w:cs="Arial" w:eastAsia="Arial" w:hAnsi="Arial"/>
                <w:sz w:val="13"/>
                <w:szCs w:val="13"/>
                <w:color w:val="auto"/>
              </w:rPr>
              <w:t>2/1/2024</w:t>
            </w:r>
          </w:p>
        </w:tc>
        <w:tc>
          <w:tcPr>
            <w:tcW w:w="1020" w:type="dxa"/>
            <w:vAlign w:val="bottom"/>
            <w:vMerge w:val="restart"/>
            <w:shd w:val="clear" w:color="auto" w:fill="EDF0FC"/>
          </w:tcPr>
          <w:p>
            <w:pPr>
              <w:jc w:val="right"/>
              <w:spacing w:after="0"/>
              <w:rPr>
                <w:sz w:val="20"/>
                <w:szCs w:val="20"/>
                <w:color w:val="auto"/>
              </w:rPr>
            </w:pPr>
            <w:r>
              <w:rPr>
                <w:rFonts w:ascii="Arial" w:cs="Arial" w:eastAsia="Arial" w:hAnsi="Arial"/>
                <w:sz w:val="13"/>
                <w:szCs w:val="13"/>
                <w:color w:val="auto"/>
              </w:rPr>
              <w:t>1/26/2024</w:t>
            </w:r>
          </w:p>
        </w:tc>
        <w:tc>
          <w:tcPr>
            <w:tcW w:w="840" w:type="dxa"/>
            <w:vAlign w:val="bottom"/>
            <w:vMerge w:val="restart"/>
            <w:shd w:val="clear" w:color="auto" w:fill="EDF0FC"/>
          </w:tcPr>
          <w:p>
            <w:pPr>
              <w:ind w:left="640"/>
              <w:spacing w:after="0"/>
              <w:rPr>
                <w:sz w:val="20"/>
                <w:szCs w:val="20"/>
                <w:color w:val="auto"/>
              </w:rPr>
            </w:pPr>
            <w:r>
              <w:rPr>
                <w:rFonts w:ascii="Arial" w:cs="Arial" w:eastAsia="Arial" w:hAnsi="Arial"/>
                <w:sz w:val="13"/>
                <w:szCs w:val="13"/>
                <w:color w:val="auto"/>
              </w:rPr>
              <w:t>—</w:t>
            </w:r>
          </w:p>
        </w:tc>
        <w:tc>
          <w:tcPr>
            <w:tcW w:w="1060" w:type="dxa"/>
            <w:vAlign w:val="bottom"/>
            <w:vMerge w:val="restart"/>
            <w:shd w:val="clear" w:color="auto" w:fill="EDF0FC"/>
          </w:tcPr>
          <w:p>
            <w:pPr>
              <w:jc w:val="right"/>
              <w:ind w:right="198"/>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EDF0FC"/>
          </w:tcPr>
          <w:p>
            <w:pPr>
              <w:jc w:val="right"/>
              <w:ind w:right="158"/>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EDF0FC"/>
          </w:tcPr>
          <w:p>
            <w:pPr>
              <w:jc w:val="center"/>
              <w:ind w:left="379"/>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EDF0FC"/>
          </w:tcPr>
          <w:p>
            <w:pPr>
              <w:jc w:val="right"/>
              <w:ind w:right="218"/>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EDF0FC"/>
          </w:tcPr>
          <w:p>
            <w:pPr>
              <w:jc w:val="right"/>
              <w:ind w:right="18"/>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EDF0FC"/>
          </w:tcPr>
          <w:p>
            <w:pPr>
              <w:jc w:val="right"/>
              <w:ind w:right="121"/>
              <w:spacing w:after="0"/>
              <w:rPr>
                <w:sz w:val="20"/>
                <w:szCs w:val="20"/>
                <w:color w:val="auto"/>
              </w:rPr>
            </w:pPr>
            <w:r>
              <w:rPr>
                <w:rFonts w:ascii="Arial" w:cs="Arial" w:eastAsia="Arial" w:hAnsi="Arial"/>
                <w:sz w:val="13"/>
                <w:szCs w:val="13"/>
                <w:color w:val="auto"/>
              </w:rPr>
              <w:t>1,329</w:t>
            </w:r>
          </w:p>
        </w:tc>
        <w:tc>
          <w:tcPr>
            <w:tcW w:w="700" w:type="dxa"/>
            <w:vAlign w:val="bottom"/>
            <w:vMerge w:val="restart"/>
            <w:shd w:val="clear" w:color="auto" w:fill="EDF0FC"/>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EDF0FC"/>
          </w:tcPr>
          <w:p>
            <w:pPr>
              <w:jc w:val="right"/>
              <w:spacing w:after="0"/>
              <w:rPr>
                <w:sz w:val="20"/>
                <w:szCs w:val="20"/>
                <w:color w:val="auto"/>
              </w:rPr>
            </w:pPr>
            <w:r>
              <w:rPr>
                <w:rFonts w:ascii="Arial" w:cs="Arial" w:eastAsia="Arial" w:hAnsi="Arial"/>
                <w:sz w:val="13"/>
                <w:szCs w:val="13"/>
                <w:color w:val="auto"/>
              </w:rPr>
              <w:t>795,566</w:t>
            </w:r>
          </w:p>
        </w:tc>
        <w:tc>
          <w:tcPr>
            <w:tcW w:w="0" w:type="dxa"/>
            <w:vAlign w:val="bottom"/>
          </w:tcPr>
          <w:p>
            <w:pPr>
              <w:spacing w:after="0"/>
              <w:rPr>
                <w:sz w:val="1"/>
                <w:szCs w:val="1"/>
                <w:color w:val="auto"/>
              </w:rPr>
            </w:pPr>
          </w:p>
        </w:tc>
      </w:tr>
      <w:tr>
        <w:trPr>
          <w:trHeight w:val="170"/>
        </w:trPr>
        <w:tc>
          <w:tcPr>
            <w:tcW w:w="1180" w:type="dxa"/>
            <w:vAlign w:val="bottom"/>
            <w:shd w:val="clear" w:color="auto" w:fill="EDF0FC"/>
          </w:tcPr>
          <w:p>
            <w:pPr>
              <w:spacing w:after="0"/>
              <w:rPr>
                <w:sz w:val="14"/>
                <w:szCs w:val="14"/>
                <w:color w:val="auto"/>
              </w:rPr>
            </w:pPr>
          </w:p>
        </w:tc>
        <w:tc>
          <w:tcPr>
            <w:tcW w:w="660" w:type="dxa"/>
            <w:vAlign w:val="bottom"/>
            <w:vMerge w:val="continue"/>
            <w:shd w:val="clear" w:color="auto" w:fill="EDF0FC"/>
          </w:tcPr>
          <w:p>
            <w:pPr>
              <w:spacing w:after="0"/>
              <w:rPr>
                <w:sz w:val="14"/>
                <w:szCs w:val="14"/>
                <w:color w:val="auto"/>
              </w:rPr>
            </w:pPr>
          </w:p>
        </w:tc>
        <w:tc>
          <w:tcPr>
            <w:tcW w:w="280" w:type="dxa"/>
            <w:vAlign w:val="bottom"/>
            <w:vMerge w:val="continue"/>
            <w:shd w:val="clear" w:color="auto" w:fill="EDF0FC"/>
          </w:tcPr>
          <w:p>
            <w:pPr>
              <w:spacing w:after="0"/>
              <w:rPr>
                <w:sz w:val="14"/>
                <w:szCs w:val="14"/>
                <w:color w:val="auto"/>
              </w:rPr>
            </w:pPr>
          </w:p>
        </w:tc>
        <w:tc>
          <w:tcPr>
            <w:tcW w:w="800" w:type="dxa"/>
            <w:vAlign w:val="bottom"/>
            <w:vMerge w:val="continue"/>
            <w:shd w:val="clear" w:color="auto" w:fill="EDF0FC"/>
          </w:tcPr>
          <w:p>
            <w:pPr>
              <w:spacing w:after="0"/>
              <w:rPr>
                <w:sz w:val="14"/>
                <w:szCs w:val="14"/>
                <w:color w:val="auto"/>
              </w:rPr>
            </w:pPr>
          </w:p>
        </w:tc>
        <w:tc>
          <w:tcPr>
            <w:tcW w:w="1020" w:type="dxa"/>
            <w:vAlign w:val="bottom"/>
            <w:vMerge w:val="continue"/>
            <w:shd w:val="clear" w:color="auto" w:fill="EDF0FC"/>
          </w:tcPr>
          <w:p>
            <w:pPr>
              <w:spacing w:after="0"/>
              <w:rPr>
                <w:sz w:val="14"/>
                <w:szCs w:val="14"/>
                <w:color w:val="auto"/>
              </w:rPr>
            </w:pPr>
          </w:p>
        </w:tc>
        <w:tc>
          <w:tcPr>
            <w:tcW w:w="840" w:type="dxa"/>
            <w:vAlign w:val="bottom"/>
            <w:vMerge w:val="continue"/>
            <w:shd w:val="clear" w:color="auto" w:fill="EDF0FC"/>
          </w:tcPr>
          <w:p>
            <w:pPr>
              <w:spacing w:after="0"/>
              <w:rPr>
                <w:sz w:val="14"/>
                <w:szCs w:val="14"/>
                <w:color w:val="auto"/>
              </w:rPr>
            </w:pPr>
          </w:p>
        </w:tc>
        <w:tc>
          <w:tcPr>
            <w:tcW w:w="1060" w:type="dxa"/>
            <w:vAlign w:val="bottom"/>
            <w:vMerge w:val="continue"/>
            <w:shd w:val="clear" w:color="auto" w:fill="EDF0FC"/>
          </w:tcPr>
          <w:p>
            <w:pPr>
              <w:spacing w:after="0"/>
              <w:rPr>
                <w:sz w:val="14"/>
                <w:szCs w:val="14"/>
                <w:color w:val="auto"/>
              </w:rPr>
            </w:pPr>
          </w:p>
        </w:tc>
        <w:tc>
          <w:tcPr>
            <w:tcW w:w="840" w:type="dxa"/>
            <w:vAlign w:val="bottom"/>
            <w:vMerge w:val="continue"/>
            <w:shd w:val="clear" w:color="auto" w:fill="EDF0FC"/>
          </w:tcPr>
          <w:p>
            <w:pPr>
              <w:spacing w:after="0"/>
              <w:rPr>
                <w:sz w:val="14"/>
                <w:szCs w:val="14"/>
                <w:color w:val="auto"/>
              </w:rPr>
            </w:pPr>
          </w:p>
        </w:tc>
        <w:tc>
          <w:tcPr>
            <w:tcW w:w="740" w:type="dxa"/>
            <w:vAlign w:val="bottom"/>
            <w:vMerge w:val="continue"/>
            <w:shd w:val="clear" w:color="auto" w:fill="EDF0FC"/>
          </w:tcPr>
          <w:p>
            <w:pPr>
              <w:spacing w:after="0"/>
              <w:rPr>
                <w:sz w:val="14"/>
                <w:szCs w:val="14"/>
                <w:color w:val="auto"/>
              </w:rPr>
            </w:pPr>
          </w:p>
        </w:tc>
        <w:tc>
          <w:tcPr>
            <w:tcW w:w="960" w:type="dxa"/>
            <w:vAlign w:val="bottom"/>
            <w:vMerge w:val="continue"/>
            <w:shd w:val="clear" w:color="auto" w:fill="EDF0FC"/>
          </w:tcPr>
          <w:p>
            <w:pPr>
              <w:spacing w:after="0"/>
              <w:rPr>
                <w:sz w:val="14"/>
                <w:szCs w:val="14"/>
                <w:color w:val="auto"/>
              </w:rPr>
            </w:pPr>
          </w:p>
        </w:tc>
        <w:tc>
          <w:tcPr>
            <w:tcW w:w="560" w:type="dxa"/>
            <w:vAlign w:val="bottom"/>
            <w:vMerge w:val="continue"/>
            <w:shd w:val="clear" w:color="auto" w:fill="EDF0FC"/>
          </w:tcPr>
          <w:p>
            <w:pPr>
              <w:spacing w:after="0"/>
              <w:rPr>
                <w:sz w:val="14"/>
                <w:szCs w:val="14"/>
                <w:color w:val="auto"/>
              </w:rPr>
            </w:pPr>
          </w:p>
        </w:tc>
        <w:tc>
          <w:tcPr>
            <w:tcW w:w="860" w:type="dxa"/>
            <w:vAlign w:val="bottom"/>
            <w:vMerge w:val="continue"/>
            <w:shd w:val="clear" w:color="auto" w:fill="EDF0FC"/>
          </w:tcPr>
          <w:p>
            <w:pPr>
              <w:spacing w:after="0"/>
              <w:rPr>
                <w:sz w:val="14"/>
                <w:szCs w:val="14"/>
                <w:color w:val="auto"/>
              </w:rPr>
            </w:pPr>
          </w:p>
        </w:tc>
        <w:tc>
          <w:tcPr>
            <w:tcW w:w="700" w:type="dxa"/>
            <w:vAlign w:val="bottom"/>
            <w:vMerge w:val="continue"/>
            <w:shd w:val="clear" w:color="auto" w:fill="EDF0FC"/>
          </w:tcPr>
          <w:p>
            <w:pPr>
              <w:spacing w:after="0"/>
              <w:rPr>
                <w:sz w:val="14"/>
                <w:szCs w:val="14"/>
                <w:color w:val="auto"/>
              </w:rPr>
            </w:pPr>
          </w:p>
        </w:tc>
        <w:tc>
          <w:tcPr>
            <w:tcW w:w="740" w:type="dxa"/>
            <w:vAlign w:val="bottom"/>
            <w:vMerge w:val="continue"/>
            <w:shd w:val="clear" w:color="auto" w:fill="EDF0FC"/>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1180" w:type="dxa"/>
            <w:vAlign w:val="bottom"/>
            <w:shd w:val="clear" w:color="auto" w:fill="EDF0FC"/>
          </w:tcPr>
          <w:p>
            <w:pPr>
              <w:spacing w:after="0"/>
              <w:rPr>
                <w:sz w:val="24"/>
                <w:szCs w:val="24"/>
                <w:color w:val="auto"/>
              </w:rPr>
            </w:pPr>
          </w:p>
        </w:tc>
        <w:tc>
          <w:tcPr>
            <w:tcW w:w="660" w:type="dxa"/>
            <w:vAlign w:val="bottom"/>
            <w:shd w:val="clear" w:color="auto" w:fill="EDF0FC"/>
          </w:tcPr>
          <w:p>
            <w:pPr>
              <w:jc w:val="right"/>
              <w:spacing w:after="0"/>
              <w:rPr>
                <w:sz w:val="20"/>
                <w:szCs w:val="20"/>
                <w:color w:val="auto"/>
              </w:rPr>
            </w:pPr>
            <w:r>
              <w:rPr>
                <w:rFonts w:ascii="Arial" w:cs="Arial" w:eastAsia="Arial" w:hAnsi="Arial"/>
                <w:sz w:val="13"/>
                <w:szCs w:val="13"/>
                <w:color w:val="auto"/>
              </w:rPr>
              <w:t>PSU</w:t>
            </w:r>
          </w:p>
        </w:tc>
        <w:tc>
          <w:tcPr>
            <w:tcW w:w="280" w:type="dxa"/>
            <w:vAlign w:val="bottom"/>
            <w:shd w:val="clear" w:color="auto" w:fill="EDF0FC"/>
          </w:tcPr>
          <w:p>
            <w:pPr>
              <w:jc w:val="right"/>
              <w:ind w:right="139"/>
              <w:spacing w:after="0"/>
              <w:rPr>
                <w:sz w:val="20"/>
                <w:szCs w:val="20"/>
                <w:color w:val="auto"/>
              </w:rPr>
            </w:pPr>
            <w:r>
              <w:rPr>
                <w:rFonts w:ascii="Arial" w:cs="Arial" w:eastAsia="Arial" w:hAnsi="Arial"/>
                <w:sz w:val="8"/>
                <w:szCs w:val="8"/>
                <w:color w:val="auto"/>
                <w:w w:val="81"/>
              </w:rPr>
              <w:t>(4)</w:t>
            </w:r>
          </w:p>
        </w:tc>
        <w:tc>
          <w:tcPr>
            <w:tcW w:w="800" w:type="dxa"/>
            <w:vAlign w:val="bottom"/>
            <w:shd w:val="clear" w:color="auto" w:fill="EDF0FC"/>
          </w:tcPr>
          <w:p>
            <w:pPr>
              <w:jc w:val="right"/>
              <w:spacing w:after="0"/>
              <w:rPr>
                <w:sz w:val="20"/>
                <w:szCs w:val="20"/>
                <w:color w:val="auto"/>
              </w:rPr>
            </w:pPr>
            <w:r>
              <w:rPr>
                <w:rFonts w:ascii="Arial" w:cs="Arial" w:eastAsia="Arial" w:hAnsi="Arial"/>
                <w:sz w:val="13"/>
                <w:szCs w:val="13"/>
                <w:color w:val="auto"/>
              </w:rPr>
              <w:t>2/1/2024</w:t>
            </w:r>
          </w:p>
        </w:tc>
        <w:tc>
          <w:tcPr>
            <w:tcW w:w="1020" w:type="dxa"/>
            <w:vAlign w:val="bottom"/>
            <w:shd w:val="clear" w:color="auto" w:fill="EDF0FC"/>
          </w:tcPr>
          <w:p>
            <w:pPr>
              <w:jc w:val="right"/>
              <w:spacing w:after="0"/>
              <w:rPr>
                <w:sz w:val="20"/>
                <w:szCs w:val="20"/>
                <w:color w:val="auto"/>
              </w:rPr>
            </w:pPr>
            <w:r>
              <w:rPr>
                <w:rFonts w:ascii="Arial" w:cs="Arial" w:eastAsia="Arial" w:hAnsi="Arial"/>
                <w:sz w:val="13"/>
                <w:szCs w:val="13"/>
                <w:color w:val="auto"/>
              </w:rPr>
              <w:t>1/26/2024</w:t>
            </w:r>
          </w:p>
        </w:tc>
        <w:tc>
          <w:tcPr>
            <w:tcW w:w="840" w:type="dxa"/>
            <w:vAlign w:val="bottom"/>
            <w:shd w:val="clear" w:color="auto" w:fill="EDF0FC"/>
          </w:tcPr>
          <w:p>
            <w:pPr>
              <w:ind w:left="640"/>
              <w:spacing w:after="0"/>
              <w:rPr>
                <w:sz w:val="20"/>
                <w:szCs w:val="20"/>
                <w:color w:val="auto"/>
              </w:rPr>
            </w:pPr>
            <w:r>
              <w:rPr>
                <w:rFonts w:ascii="Arial" w:cs="Arial" w:eastAsia="Arial" w:hAnsi="Arial"/>
                <w:sz w:val="13"/>
                <w:szCs w:val="13"/>
                <w:color w:val="auto"/>
              </w:rPr>
              <w:t>—</w:t>
            </w:r>
          </w:p>
        </w:tc>
        <w:tc>
          <w:tcPr>
            <w:tcW w:w="1060" w:type="dxa"/>
            <w:vAlign w:val="bottom"/>
            <w:shd w:val="clear" w:color="auto" w:fill="EDF0FC"/>
          </w:tcPr>
          <w:p>
            <w:pPr>
              <w:jc w:val="right"/>
              <w:ind w:right="198"/>
              <w:spacing w:after="0"/>
              <w:rPr>
                <w:sz w:val="20"/>
                <w:szCs w:val="20"/>
                <w:color w:val="auto"/>
              </w:rPr>
            </w:pPr>
            <w:r>
              <w:rPr>
                <w:rFonts w:ascii="Arial" w:cs="Arial" w:eastAsia="Arial" w:hAnsi="Arial"/>
                <w:sz w:val="13"/>
                <w:szCs w:val="13"/>
                <w:color w:val="auto"/>
              </w:rPr>
              <w:t>—</w:t>
            </w:r>
          </w:p>
        </w:tc>
        <w:tc>
          <w:tcPr>
            <w:tcW w:w="840" w:type="dxa"/>
            <w:vAlign w:val="bottom"/>
            <w:shd w:val="clear" w:color="auto" w:fill="EDF0FC"/>
          </w:tcPr>
          <w:p>
            <w:pPr>
              <w:jc w:val="right"/>
              <w:ind w:right="158"/>
              <w:spacing w:after="0"/>
              <w:rPr>
                <w:sz w:val="20"/>
                <w:szCs w:val="20"/>
                <w:color w:val="auto"/>
              </w:rPr>
            </w:pPr>
            <w:r>
              <w:rPr>
                <w:rFonts w:ascii="Arial" w:cs="Arial" w:eastAsia="Arial" w:hAnsi="Arial"/>
                <w:sz w:val="13"/>
                <w:szCs w:val="13"/>
                <w:color w:val="auto"/>
              </w:rPr>
              <w:t>—</w:t>
            </w:r>
          </w:p>
        </w:tc>
        <w:tc>
          <w:tcPr>
            <w:tcW w:w="740" w:type="dxa"/>
            <w:vAlign w:val="bottom"/>
            <w:shd w:val="clear" w:color="auto" w:fill="EDF0FC"/>
          </w:tcPr>
          <w:p>
            <w:pPr>
              <w:jc w:val="center"/>
              <w:ind w:left="379"/>
              <w:spacing w:after="0"/>
              <w:rPr>
                <w:sz w:val="20"/>
                <w:szCs w:val="20"/>
                <w:color w:val="auto"/>
              </w:rPr>
            </w:pPr>
            <w:r>
              <w:rPr>
                <w:rFonts w:ascii="Arial" w:cs="Arial" w:eastAsia="Arial" w:hAnsi="Arial"/>
                <w:sz w:val="13"/>
                <w:szCs w:val="13"/>
                <w:color w:val="auto"/>
              </w:rPr>
              <w:t>395</w:t>
            </w:r>
          </w:p>
        </w:tc>
        <w:tc>
          <w:tcPr>
            <w:tcW w:w="960" w:type="dxa"/>
            <w:vAlign w:val="bottom"/>
            <w:shd w:val="clear" w:color="auto" w:fill="EDF0FC"/>
          </w:tcPr>
          <w:p>
            <w:pPr>
              <w:jc w:val="right"/>
              <w:ind w:right="218"/>
              <w:spacing w:after="0"/>
              <w:rPr>
                <w:sz w:val="20"/>
                <w:szCs w:val="20"/>
                <w:color w:val="auto"/>
              </w:rPr>
            </w:pPr>
            <w:r>
              <w:rPr>
                <w:rFonts w:ascii="Arial" w:cs="Arial" w:eastAsia="Arial" w:hAnsi="Arial"/>
                <w:sz w:val="13"/>
                <w:szCs w:val="13"/>
                <w:color w:val="auto"/>
              </w:rPr>
              <w:t>1,582</w:t>
            </w:r>
          </w:p>
        </w:tc>
        <w:tc>
          <w:tcPr>
            <w:tcW w:w="560" w:type="dxa"/>
            <w:vAlign w:val="bottom"/>
            <w:shd w:val="clear" w:color="auto" w:fill="EDF0FC"/>
          </w:tcPr>
          <w:p>
            <w:pPr>
              <w:jc w:val="right"/>
              <w:ind w:right="18"/>
              <w:spacing w:after="0"/>
              <w:rPr>
                <w:sz w:val="20"/>
                <w:szCs w:val="20"/>
                <w:color w:val="auto"/>
              </w:rPr>
            </w:pPr>
            <w:r>
              <w:rPr>
                <w:rFonts w:ascii="Arial" w:cs="Arial" w:eastAsia="Arial" w:hAnsi="Arial"/>
                <w:sz w:val="13"/>
                <w:szCs w:val="13"/>
                <w:color w:val="auto"/>
              </w:rPr>
              <w:t>3,164</w:t>
            </w:r>
          </w:p>
        </w:tc>
        <w:tc>
          <w:tcPr>
            <w:tcW w:w="860" w:type="dxa"/>
            <w:vAlign w:val="bottom"/>
            <w:shd w:val="clear" w:color="auto" w:fill="EDF0FC"/>
          </w:tcPr>
          <w:p>
            <w:pPr>
              <w:jc w:val="right"/>
              <w:ind w:right="121"/>
              <w:spacing w:after="0"/>
              <w:rPr>
                <w:sz w:val="20"/>
                <w:szCs w:val="20"/>
                <w:color w:val="auto"/>
              </w:rPr>
            </w:pPr>
            <w:r>
              <w:rPr>
                <w:rFonts w:ascii="Arial" w:cs="Arial" w:eastAsia="Arial" w:hAnsi="Arial"/>
                <w:sz w:val="13"/>
                <w:szCs w:val="13"/>
                <w:color w:val="auto"/>
              </w:rPr>
              <w:t>—</w:t>
            </w:r>
          </w:p>
        </w:tc>
        <w:tc>
          <w:tcPr>
            <w:tcW w:w="700" w:type="dxa"/>
            <w:vAlign w:val="bottom"/>
            <w:shd w:val="clear" w:color="auto" w:fill="EDF0FC"/>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shd w:val="clear" w:color="auto" w:fill="EDF0FC"/>
          </w:tcPr>
          <w:p>
            <w:pPr>
              <w:jc w:val="right"/>
              <w:spacing w:after="0"/>
              <w:rPr>
                <w:sz w:val="20"/>
                <w:szCs w:val="20"/>
                <w:color w:val="auto"/>
              </w:rPr>
            </w:pPr>
            <w:r>
              <w:rPr>
                <w:rFonts w:ascii="Arial" w:cs="Arial" w:eastAsia="Arial" w:hAnsi="Arial"/>
                <w:sz w:val="13"/>
                <w:szCs w:val="13"/>
                <w:color w:val="auto"/>
              </w:rPr>
              <w:t>795,113</w:t>
            </w:r>
          </w:p>
        </w:tc>
        <w:tc>
          <w:tcPr>
            <w:tcW w:w="0" w:type="dxa"/>
            <w:vAlign w:val="bottom"/>
          </w:tcPr>
          <w:p>
            <w:pPr>
              <w:spacing w:after="0"/>
              <w:rPr>
                <w:sz w:val="1"/>
                <w:szCs w:val="1"/>
                <w:color w:val="auto"/>
              </w:rPr>
            </w:pPr>
          </w:p>
        </w:tc>
      </w:tr>
      <w:tr>
        <w:trPr>
          <w:trHeight w:val="318"/>
        </w:trPr>
        <w:tc>
          <w:tcPr>
            <w:tcW w:w="1180" w:type="dxa"/>
            <w:vAlign w:val="bottom"/>
            <w:tcBorders>
              <w:bottom w:val="single" w:sz="8" w:color="EDF0FC"/>
            </w:tcBorders>
            <w:shd w:val="clear" w:color="auto" w:fill="EDF0FC"/>
          </w:tcPr>
          <w:p>
            <w:pPr>
              <w:spacing w:after="0"/>
              <w:rPr>
                <w:sz w:val="24"/>
                <w:szCs w:val="24"/>
                <w:color w:val="auto"/>
              </w:rPr>
            </w:pPr>
          </w:p>
        </w:tc>
        <w:tc>
          <w:tcPr>
            <w:tcW w:w="660" w:type="dxa"/>
            <w:vAlign w:val="bottom"/>
            <w:tcBorders>
              <w:bottom w:val="single" w:sz="8" w:color="EDF0FC"/>
            </w:tcBorders>
            <w:shd w:val="clear" w:color="auto" w:fill="EDF0FC"/>
          </w:tcPr>
          <w:p>
            <w:pPr>
              <w:jc w:val="right"/>
              <w:spacing w:after="0"/>
              <w:rPr>
                <w:sz w:val="20"/>
                <w:szCs w:val="20"/>
                <w:color w:val="auto"/>
              </w:rPr>
            </w:pPr>
            <w:r>
              <w:rPr>
                <w:rFonts w:ascii="Arial" w:cs="Arial" w:eastAsia="Arial" w:hAnsi="Arial"/>
                <w:sz w:val="13"/>
                <w:szCs w:val="13"/>
                <w:color w:val="auto"/>
              </w:rPr>
              <w:t>PSO</w:t>
            </w:r>
          </w:p>
        </w:tc>
        <w:tc>
          <w:tcPr>
            <w:tcW w:w="280" w:type="dxa"/>
            <w:vAlign w:val="bottom"/>
            <w:tcBorders>
              <w:bottom w:val="single" w:sz="8" w:color="EDF0FC"/>
            </w:tcBorders>
            <w:shd w:val="clear" w:color="auto" w:fill="EDF0FC"/>
          </w:tcPr>
          <w:p>
            <w:pPr>
              <w:jc w:val="right"/>
              <w:ind w:right="139"/>
              <w:spacing w:after="0"/>
              <w:rPr>
                <w:sz w:val="20"/>
                <w:szCs w:val="20"/>
                <w:color w:val="auto"/>
              </w:rPr>
            </w:pPr>
            <w:r>
              <w:rPr>
                <w:rFonts w:ascii="Arial" w:cs="Arial" w:eastAsia="Arial" w:hAnsi="Arial"/>
                <w:sz w:val="8"/>
                <w:szCs w:val="8"/>
                <w:color w:val="auto"/>
                <w:w w:val="81"/>
              </w:rPr>
              <w:t>(5)</w:t>
            </w:r>
          </w:p>
        </w:tc>
        <w:tc>
          <w:tcPr>
            <w:tcW w:w="800" w:type="dxa"/>
            <w:vAlign w:val="bottom"/>
            <w:tcBorders>
              <w:bottom w:val="single" w:sz="8" w:color="EDF0FC"/>
            </w:tcBorders>
            <w:shd w:val="clear" w:color="auto" w:fill="EDF0FC"/>
          </w:tcPr>
          <w:p>
            <w:pPr>
              <w:jc w:val="right"/>
              <w:spacing w:after="0"/>
              <w:rPr>
                <w:sz w:val="20"/>
                <w:szCs w:val="20"/>
                <w:color w:val="auto"/>
              </w:rPr>
            </w:pPr>
            <w:r>
              <w:rPr>
                <w:rFonts w:ascii="Arial" w:cs="Arial" w:eastAsia="Arial" w:hAnsi="Arial"/>
                <w:sz w:val="13"/>
                <w:szCs w:val="13"/>
                <w:color w:val="auto"/>
              </w:rPr>
              <w:t>2/1/2024</w:t>
            </w:r>
          </w:p>
        </w:tc>
        <w:tc>
          <w:tcPr>
            <w:tcW w:w="1020" w:type="dxa"/>
            <w:vAlign w:val="bottom"/>
            <w:tcBorders>
              <w:bottom w:val="single" w:sz="8" w:color="EDF0FC"/>
            </w:tcBorders>
            <w:shd w:val="clear" w:color="auto" w:fill="EDF0FC"/>
          </w:tcPr>
          <w:p>
            <w:pPr>
              <w:jc w:val="right"/>
              <w:spacing w:after="0"/>
              <w:rPr>
                <w:sz w:val="20"/>
                <w:szCs w:val="20"/>
                <w:color w:val="auto"/>
              </w:rPr>
            </w:pPr>
            <w:r>
              <w:rPr>
                <w:rFonts w:ascii="Arial" w:cs="Arial" w:eastAsia="Arial" w:hAnsi="Arial"/>
                <w:sz w:val="13"/>
                <w:szCs w:val="13"/>
                <w:color w:val="auto"/>
              </w:rPr>
              <w:t>1/26/2024</w:t>
            </w:r>
          </w:p>
        </w:tc>
        <w:tc>
          <w:tcPr>
            <w:tcW w:w="840" w:type="dxa"/>
            <w:vAlign w:val="bottom"/>
            <w:tcBorders>
              <w:bottom w:val="single" w:sz="8" w:color="EDF0FC"/>
            </w:tcBorders>
            <w:shd w:val="clear" w:color="auto" w:fill="EDF0FC"/>
          </w:tcPr>
          <w:p>
            <w:pPr>
              <w:ind w:left="64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EDF0FC"/>
            </w:tcBorders>
            <w:shd w:val="clear" w:color="auto" w:fill="EDF0FC"/>
          </w:tcPr>
          <w:p>
            <w:pPr>
              <w:jc w:val="right"/>
              <w:ind w:right="198"/>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DF0FC"/>
            </w:tcBorders>
            <w:shd w:val="clear" w:color="auto" w:fill="EDF0FC"/>
          </w:tcPr>
          <w:p>
            <w:pPr>
              <w:jc w:val="right"/>
              <w:ind w:right="158"/>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DF0FC"/>
            </w:tcBorders>
            <w:shd w:val="clear" w:color="auto" w:fill="EDF0FC"/>
          </w:tcPr>
          <w:p>
            <w:pPr>
              <w:jc w:val="right"/>
              <w:spacing w:after="0"/>
              <w:rPr>
                <w:sz w:val="20"/>
                <w:szCs w:val="20"/>
                <w:color w:val="auto"/>
              </w:rPr>
            </w:pPr>
            <w:r>
              <w:rPr>
                <w:rFonts w:ascii="Arial" w:cs="Arial" w:eastAsia="Arial" w:hAnsi="Arial"/>
                <w:sz w:val="13"/>
                <w:szCs w:val="13"/>
                <w:color w:val="auto"/>
              </w:rPr>
              <w:t>1,192</w:t>
            </w:r>
          </w:p>
        </w:tc>
        <w:tc>
          <w:tcPr>
            <w:tcW w:w="960" w:type="dxa"/>
            <w:vAlign w:val="bottom"/>
            <w:tcBorders>
              <w:bottom w:val="single" w:sz="8" w:color="EDF0FC"/>
            </w:tcBorders>
            <w:shd w:val="clear" w:color="auto" w:fill="EDF0FC"/>
          </w:tcPr>
          <w:p>
            <w:pPr>
              <w:jc w:val="right"/>
              <w:ind w:right="218"/>
              <w:spacing w:after="0"/>
              <w:rPr>
                <w:sz w:val="20"/>
                <w:szCs w:val="20"/>
                <w:color w:val="auto"/>
              </w:rPr>
            </w:pPr>
            <w:r>
              <w:rPr>
                <w:rFonts w:ascii="Arial" w:cs="Arial" w:eastAsia="Arial" w:hAnsi="Arial"/>
                <w:sz w:val="13"/>
                <w:szCs w:val="13"/>
                <w:color w:val="auto"/>
              </w:rPr>
              <w:t>4,768</w:t>
            </w:r>
          </w:p>
        </w:tc>
        <w:tc>
          <w:tcPr>
            <w:tcW w:w="560" w:type="dxa"/>
            <w:vAlign w:val="bottom"/>
            <w:tcBorders>
              <w:bottom w:val="single" w:sz="8" w:color="EDF0FC"/>
            </w:tcBorders>
            <w:shd w:val="clear" w:color="auto" w:fill="EDF0FC"/>
          </w:tcPr>
          <w:p>
            <w:pPr>
              <w:jc w:val="right"/>
              <w:ind w:right="18"/>
              <w:spacing w:after="0"/>
              <w:rPr>
                <w:sz w:val="20"/>
                <w:szCs w:val="20"/>
                <w:color w:val="auto"/>
              </w:rPr>
            </w:pPr>
            <w:r>
              <w:rPr>
                <w:rFonts w:ascii="Arial" w:cs="Arial" w:eastAsia="Arial" w:hAnsi="Arial"/>
                <w:sz w:val="13"/>
                <w:szCs w:val="13"/>
                <w:color w:val="auto"/>
              </w:rPr>
              <w:t>9,536</w:t>
            </w:r>
          </w:p>
        </w:tc>
        <w:tc>
          <w:tcPr>
            <w:tcW w:w="860" w:type="dxa"/>
            <w:vAlign w:val="bottom"/>
            <w:tcBorders>
              <w:bottom w:val="single" w:sz="8" w:color="EDF0FC"/>
            </w:tcBorders>
            <w:shd w:val="clear" w:color="auto" w:fill="EDF0FC"/>
          </w:tcPr>
          <w:p>
            <w:pPr>
              <w:jc w:val="right"/>
              <w:ind w:right="121"/>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EDF0FC"/>
            </w:tcBorders>
            <w:shd w:val="clear" w:color="auto" w:fill="EDF0FC"/>
          </w:tcPr>
          <w:p>
            <w:pPr>
              <w:jc w:val="right"/>
              <w:ind w:right="120"/>
              <w:spacing w:after="0"/>
              <w:rPr>
                <w:sz w:val="20"/>
                <w:szCs w:val="20"/>
                <w:color w:val="auto"/>
              </w:rPr>
            </w:pPr>
            <w:r>
              <w:rPr>
                <w:rFonts w:ascii="Arial" w:cs="Arial" w:eastAsia="Arial" w:hAnsi="Arial"/>
                <w:sz w:val="13"/>
                <w:szCs w:val="13"/>
                <w:color w:val="auto"/>
              </w:rPr>
              <w:t>598.62</w:t>
            </w:r>
          </w:p>
        </w:tc>
        <w:tc>
          <w:tcPr>
            <w:tcW w:w="740" w:type="dxa"/>
            <w:vAlign w:val="bottom"/>
            <w:tcBorders>
              <w:bottom w:val="single" w:sz="8" w:color="EDF0FC"/>
            </w:tcBorders>
            <w:shd w:val="clear" w:color="auto" w:fill="EDF0FC"/>
          </w:tcPr>
          <w:p>
            <w:pPr>
              <w:jc w:val="right"/>
              <w:spacing w:after="0"/>
              <w:rPr>
                <w:sz w:val="20"/>
                <w:szCs w:val="20"/>
                <w:color w:val="auto"/>
              </w:rPr>
            </w:pPr>
            <w:r>
              <w:rPr>
                <w:rFonts w:ascii="Arial" w:cs="Arial" w:eastAsia="Arial" w:hAnsi="Arial"/>
                <w:sz w:val="13"/>
                <w:szCs w:val="13"/>
                <w:color w:val="auto"/>
              </w:rPr>
              <w:t>1,060,070</w:t>
            </w:r>
          </w:p>
        </w:tc>
        <w:tc>
          <w:tcPr>
            <w:tcW w:w="0" w:type="dxa"/>
            <w:vAlign w:val="bottom"/>
          </w:tcPr>
          <w:p>
            <w:pPr>
              <w:spacing w:after="0"/>
              <w:rPr>
                <w:sz w:val="1"/>
                <w:szCs w:val="1"/>
                <w:color w:val="auto"/>
              </w:rPr>
            </w:pPr>
          </w:p>
        </w:tc>
      </w:tr>
      <w:tr>
        <w:trPr>
          <w:trHeight w:val="158"/>
        </w:trPr>
        <w:tc>
          <w:tcPr>
            <w:tcW w:w="1180" w:type="dxa"/>
            <w:vAlign w:val="bottom"/>
          </w:tcPr>
          <w:p>
            <w:pPr>
              <w:ind w:left="20"/>
              <w:spacing w:after="0"/>
              <w:rPr>
                <w:sz w:val="20"/>
                <w:szCs w:val="20"/>
                <w:color w:val="auto"/>
              </w:rPr>
            </w:pPr>
            <w:r>
              <w:rPr>
                <w:rFonts w:ascii="Arial" w:cs="Arial" w:eastAsia="Arial" w:hAnsi="Arial"/>
                <w:sz w:val="13"/>
                <w:szCs w:val="13"/>
                <w:b w:val="1"/>
                <w:bCs w:val="1"/>
                <w:color w:val="1A3FD6"/>
              </w:rPr>
              <w:t>C.D.</w:t>
            </w:r>
          </w:p>
        </w:tc>
        <w:tc>
          <w:tcPr>
            <w:tcW w:w="940" w:type="dxa"/>
            <w:vAlign w:val="bottom"/>
            <w:gridSpan w:val="2"/>
          </w:tcPr>
          <w:p>
            <w:pPr>
              <w:jc w:val="right"/>
              <w:ind w:right="259"/>
              <w:spacing w:after="0"/>
              <w:rPr>
                <w:sz w:val="20"/>
                <w:szCs w:val="20"/>
                <w:color w:val="auto"/>
              </w:rPr>
            </w:pPr>
            <w:r>
              <w:rPr>
                <w:rFonts w:ascii="Arial" w:cs="Arial" w:eastAsia="Arial" w:hAnsi="Arial"/>
                <w:sz w:val="13"/>
                <w:szCs w:val="13"/>
                <w:color w:val="auto"/>
              </w:rPr>
              <w:t>AIP</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1/26/2024</w:t>
            </w:r>
          </w:p>
        </w:tc>
        <w:tc>
          <w:tcPr>
            <w:tcW w:w="840" w:type="dxa"/>
            <w:vAlign w:val="bottom"/>
          </w:tcPr>
          <w:p>
            <w:pPr>
              <w:ind w:left="64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98"/>
              <w:spacing w:after="0"/>
              <w:rPr>
                <w:sz w:val="20"/>
                <w:szCs w:val="20"/>
                <w:color w:val="auto"/>
              </w:rPr>
            </w:pPr>
            <w:r>
              <w:rPr>
                <w:rFonts w:ascii="Arial" w:cs="Arial" w:eastAsia="Arial" w:hAnsi="Arial"/>
                <w:sz w:val="13"/>
                <w:szCs w:val="13"/>
                <w:color w:val="auto"/>
              </w:rPr>
              <w:t>1,150,190</w:t>
            </w:r>
          </w:p>
        </w:tc>
        <w:tc>
          <w:tcPr>
            <w:tcW w:w="840" w:type="dxa"/>
            <w:vAlign w:val="bottom"/>
          </w:tcPr>
          <w:p>
            <w:pPr>
              <w:jc w:val="right"/>
              <w:ind w:right="158"/>
              <w:spacing w:after="0"/>
              <w:rPr>
                <w:sz w:val="20"/>
                <w:szCs w:val="20"/>
                <w:color w:val="auto"/>
              </w:rPr>
            </w:pPr>
            <w:r>
              <w:rPr>
                <w:rFonts w:ascii="Arial" w:cs="Arial" w:eastAsia="Arial" w:hAnsi="Arial"/>
                <w:sz w:val="13"/>
                <w:szCs w:val="13"/>
                <w:color w:val="auto"/>
              </w:rPr>
              <w:t>1,725,285</w:t>
            </w:r>
          </w:p>
        </w:tc>
        <w:tc>
          <w:tcPr>
            <w:tcW w:w="740" w:type="dxa"/>
            <w:vAlign w:val="bottom"/>
          </w:tcPr>
          <w:p>
            <w:pPr>
              <w:jc w:val="center"/>
              <w:ind w:left="379"/>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18"/>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21"/>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1180" w:type="dxa"/>
            <w:vAlign w:val="bottom"/>
          </w:tcPr>
          <w:p>
            <w:pPr>
              <w:ind w:left="20"/>
              <w:spacing w:after="0" w:line="175" w:lineRule="exact"/>
              <w:rPr>
                <w:sz w:val="20"/>
                <w:szCs w:val="20"/>
                <w:color w:val="auto"/>
              </w:rPr>
            </w:pPr>
            <w:r>
              <w:rPr>
                <w:rFonts w:ascii="Arial" w:cs="Arial" w:eastAsia="Arial" w:hAnsi="Arial"/>
                <w:sz w:val="13"/>
                <w:szCs w:val="13"/>
                <w:b w:val="1"/>
                <w:bCs w:val="1"/>
                <w:color w:val="1A3FD6"/>
              </w:rPr>
              <w:t>Baer Pettit</w:t>
            </w:r>
            <w:r>
              <w:rPr>
                <w:rFonts w:ascii="Arial" w:cs="Arial" w:eastAsia="Arial" w:hAnsi="Arial"/>
                <w:sz w:val="16"/>
                <w:szCs w:val="16"/>
                <w:b w:val="1"/>
                <w:bCs w:val="1"/>
                <w:color w:val="1A3FD6"/>
                <w:vertAlign w:val="superscript"/>
              </w:rPr>
              <w:t>(2)</w:t>
            </w:r>
          </w:p>
        </w:tc>
        <w:tc>
          <w:tcPr>
            <w:tcW w:w="940" w:type="dxa"/>
            <w:vAlign w:val="bottom"/>
            <w:gridSpan w:val="2"/>
            <w:vMerge w:val="restart"/>
          </w:tcPr>
          <w:p>
            <w:pPr>
              <w:jc w:val="right"/>
              <w:ind w:right="139"/>
              <w:spacing w:after="0"/>
              <w:rPr>
                <w:sz w:val="20"/>
                <w:szCs w:val="20"/>
                <w:color w:val="auto"/>
              </w:rPr>
            </w:pPr>
            <w:r>
              <w:rPr>
                <w:rFonts w:ascii="Arial" w:cs="Arial" w:eastAsia="Arial" w:hAnsi="Arial"/>
                <w:sz w:val="13"/>
                <w:szCs w:val="13"/>
                <w:color w:val="auto"/>
              </w:rPr>
              <w:t xml:space="preserve">PSU </w:t>
            </w:r>
            <w:r>
              <w:rPr>
                <w:rFonts w:ascii="Arial" w:cs="Arial" w:eastAsia="Arial" w:hAnsi="Arial"/>
                <w:sz w:val="16"/>
                <w:szCs w:val="16"/>
                <w:color w:val="auto"/>
                <w:vertAlign w:val="superscript"/>
              </w:rPr>
              <w:t>(4)</w:t>
            </w: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2/1/2024</w:t>
            </w:r>
          </w:p>
        </w:tc>
        <w:tc>
          <w:tcPr>
            <w:tcW w:w="1020" w:type="dxa"/>
            <w:vAlign w:val="bottom"/>
          </w:tcPr>
          <w:p>
            <w:pPr>
              <w:jc w:val="right"/>
              <w:spacing w:after="0"/>
              <w:rPr>
                <w:sz w:val="20"/>
                <w:szCs w:val="20"/>
                <w:color w:val="auto"/>
              </w:rPr>
            </w:pPr>
            <w:r>
              <w:rPr>
                <w:rFonts w:ascii="Arial" w:cs="Arial" w:eastAsia="Arial" w:hAnsi="Arial"/>
                <w:sz w:val="13"/>
                <w:szCs w:val="13"/>
                <w:color w:val="auto"/>
              </w:rPr>
              <w:t>1/26/2024</w:t>
            </w:r>
          </w:p>
        </w:tc>
        <w:tc>
          <w:tcPr>
            <w:tcW w:w="840" w:type="dxa"/>
            <w:vAlign w:val="bottom"/>
          </w:tcPr>
          <w:p>
            <w:pPr>
              <w:ind w:left="64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740" w:type="dxa"/>
            <w:vAlign w:val="bottom"/>
          </w:tcPr>
          <w:p>
            <w:pPr>
              <w:jc w:val="center"/>
              <w:ind w:left="379"/>
              <w:spacing w:after="0"/>
              <w:rPr>
                <w:sz w:val="20"/>
                <w:szCs w:val="20"/>
                <w:color w:val="auto"/>
              </w:rPr>
            </w:pPr>
            <w:r>
              <w:rPr>
                <w:rFonts w:ascii="Arial" w:cs="Arial" w:eastAsia="Arial" w:hAnsi="Arial"/>
                <w:sz w:val="13"/>
                <w:szCs w:val="13"/>
                <w:color w:val="auto"/>
              </w:rPr>
              <w:t>970</w:t>
            </w:r>
          </w:p>
        </w:tc>
        <w:tc>
          <w:tcPr>
            <w:tcW w:w="960" w:type="dxa"/>
            <w:vAlign w:val="bottom"/>
          </w:tcPr>
          <w:p>
            <w:pPr>
              <w:jc w:val="right"/>
              <w:ind w:right="218"/>
              <w:spacing w:after="0"/>
              <w:rPr>
                <w:sz w:val="20"/>
                <w:szCs w:val="20"/>
                <w:color w:val="auto"/>
              </w:rPr>
            </w:pPr>
            <w:r>
              <w:rPr>
                <w:rFonts w:ascii="Arial" w:cs="Arial" w:eastAsia="Arial" w:hAnsi="Arial"/>
                <w:sz w:val="13"/>
                <w:szCs w:val="13"/>
                <w:color w:val="auto"/>
              </w:rPr>
              <w:t>3,880</w:t>
            </w:r>
          </w:p>
        </w:tc>
        <w:tc>
          <w:tcPr>
            <w:tcW w:w="560" w:type="dxa"/>
            <w:vAlign w:val="bottom"/>
          </w:tcPr>
          <w:p>
            <w:pPr>
              <w:jc w:val="right"/>
              <w:ind w:right="18"/>
              <w:spacing w:after="0"/>
              <w:rPr>
                <w:sz w:val="20"/>
                <w:szCs w:val="20"/>
                <w:color w:val="auto"/>
              </w:rPr>
            </w:pPr>
            <w:r>
              <w:rPr>
                <w:rFonts w:ascii="Arial" w:cs="Arial" w:eastAsia="Arial" w:hAnsi="Arial"/>
                <w:sz w:val="13"/>
                <w:szCs w:val="13"/>
                <w:color w:val="auto"/>
              </w:rPr>
              <w:t>7,760</w:t>
            </w:r>
          </w:p>
        </w:tc>
        <w:tc>
          <w:tcPr>
            <w:tcW w:w="860" w:type="dxa"/>
            <w:vAlign w:val="bottom"/>
          </w:tcPr>
          <w:p>
            <w:pPr>
              <w:jc w:val="right"/>
              <w:ind w:right="121"/>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1,950,088</w:t>
            </w:r>
          </w:p>
        </w:tc>
        <w:tc>
          <w:tcPr>
            <w:tcW w:w="0" w:type="dxa"/>
            <w:vAlign w:val="bottom"/>
          </w:tcPr>
          <w:p>
            <w:pPr>
              <w:spacing w:after="0"/>
              <w:rPr>
                <w:sz w:val="1"/>
                <w:szCs w:val="1"/>
                <w:color w:val="auto"/>
              </w:rPr>
            </w:pPr>
          </w:p>
        </w:tc>
      </w:tr>
      <w:tr>
        <w:trPr>
          <w:trHeight w:val="322"/>
        </w:trPr>
        <w:tc>
          <w:tcPr>
            <w:tcW w:w="1180" w:type="dxa"/>
            <w:vAlign w:val="bottom"/>
          </w:tcPr>
          <w:p>
            <w:pPr>
              <w:spacing w:after="0"/>
              <w:rPr>
                <w:sz w:val="24"/>
                <w:szCs w:val="24"/>
                <w:color w:val="auto"/>
              </w:rPr>
            </w:pPr>
          </w:p>
        </w:tc>
        <w:tc>
          <w:tcPr>
            <w:tcW w:w="940" w:type="dxa"/>
            <w:vAlign w:val="bottom"/>
            <w:gridSpan w:val="2"/>
          </w:tcPr>
          <w:p>
            <w:pPr>
              <w:jc w:val="right"/>
              <w:ind w:right="139"/>
              <w:spacing w:after="0"/>
              <w:rPr>
                <w:sz w:val="20"/>
                <w:szCs w:val="20"/>
                <w:color w:val="auto"/>
              </w:rPr>
            </w:pPr>
            <w:r>
              <w:rPr>
                <w:rFonts w:ascii="Arial" w:cs="Arial" w:eastAsia="Arial" w:hAnsi="Arial"/>
                <w:sz w:val="25"/>
                <w:szCs w:val="25"/>
                <w:color w:val="auto"/>
                <w:vertAlign w:val="subscript"/>
              </w:rPr>
              <w:t>PSO</w:t>
            </w:r>
            <w:r>
              <w:rPr>
                <w:rFonts w:ascii="Arial" w:cs="Arial" w:eastAsia="Arial" w:hAnsi="Arial"/>
                <w:sz w:val="8"/>
                <w:szCs w:val="8"/>
                <w:color w:val="auto"/>
              </w:rPr>
              <w:t xml:space="preserve"> (5)</w:t>
            </w:r>
          </w:p>
        </w:tc>
        <w:tc>
          <w:tcPr>
            <w:tcW w:w="800" w:type="dxa"/>
            <w:vAlign w:val="bottom"/>
          </w:tcPr>
          <w:p>
            <w:pPr>
              <w:jc w:val="right"/>
              <w:spacing w:after="0"/>
              <w:rPr>
                <w:sz w:val="20"/>
                <w:szCs w:val="20"/>
                <w:color w:val="auto"/>
              </w:rPr>
            </w:pPr>
            <w:r>
              <w:rPr>
                <w:rFonts w:ascii="Arial" w:cs="Arial" w:eastAsia="Arial" w:hAnsi="Arial"/>
                <w:sz w:val="13"/>
                <w:szCs w:val="13"/>
                <w:color w:val="auto"/>
              </w:rPr>
              <w:t>2/1/2024</w:t>
            </w:r>
          </w:p>
        </w:tc>
        <w:tc>
          <w:tcPr>
            <w:tcW w:w="1020" w:type="dxa"/>
            <w:vAlign w:val="bottom"/>
          </w:tcPr>
          <w:p>
            <w:pPr>
              <w:jc w:val="right"/>
              <w:spacing w:after="0"/>
              <w:rPr>
                <w:sz w:val="20"/>
                <w:szCs w:val="20"/>
                <w:color w:val="auto"/>
              </w:rPr>
            </w:pPr>
            <w:r>
              <w:rPr>
                <w:rFonts w:ascii="Arial" w:cs="Arial" w:eastAsia="Arial" w:hAnsi="Arial"/>
                <w:sz w:val="13"/>
                <w:szCs w:val="13"/>
                <w:color w:val="auto"/>
              </w:rPr>
              <w:t>1/26/2024</w:t>
            </w:r>
          </w:p>
        </w:tc>
        <w:tc>
          <w:tcPr>
            <w:tcW w:w="840" w:type="dxa"/>
            <w:vAlign w:val="bottom"/>
          </w:tcPr>
          <w:p>
            <w:pPr>
              <w:ind w:left="64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5,116</w:t>
            </w:r>
          </w:p>
        </w:tc>
        <w:tc>
          <w:tcPr>
            <w:tcW w:w="960" w:type="dxa"/>
            <w:vAlign w:val="bottom"/>
          </w:tcPr>
          <w:p>
            <w:pPr>
              <w:jc w:val="right"/>
              <w:ind w:right="218"/>
              <w:spacing w:after="0"/>
              <w:rPr>
                <w:sz w:val="20"/>
                <w:szCs w:val="20"/>
                <w:color w:val="auto"/>
              </w:rPr>
            </w:pPr>
            <w:r>
              <w:rPr>
                <w:rFonts w:ascii="Arial" w:cs="Arial" w:eastAsia="Arial" w:hAnsi="Arial"/>
                <w:sz w:val="13"/>
                <w:szCs w:val="13"/>
                <w:color w:val="auto"/>
              </w:rPr>
              <w:t>20,466</w:t>
            </w:r>
          </w:p>
        </w:tc>
        <w:tc>
          <w:tcPr>
            <w:tcW w:w="560" w:type="dxa"/>
            <w:vAlign w:val="bottom"/>
          </w:tcPr>
          <w:p>
            <w:pPr>
              <w:jc w:val="right"/>
              <w:ind w:right="18"/>
              <w:spacing w:after="0"/>
              <w:rPr>
                <w:sz w:val="20"/>
                <w:szCs w:val="20"/>
                <w:color w:val="auto"/>
              </w:rPr>
            </w:pPr>
            <w:r>
              <w:rPr>
                <w:rFonts w:ascii="Arial" w:cs="Arial" w:eastAsia="Arial" w:hAnsi="Arial"/>
                <w:sz w:val="13"/>
                <w:szCs w:val="13"/>
                <w:color w:val="auto"/>
              </w:rPr>
              <w:t>40,932</w:t>
            </w:r>
          </w:p>
        </w:tc>
        <w:tc>
          <w:tcPr>
            <w:tcW w:w="860" w:type="dxa"/>
            <w:vAlign w:val="bottom"/>
          </w:tcPr>
          <w:p>
            <w:pPr>
              <w:jc w:val="right"/>
              <w:ind w:right="121"/>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20"/>
              <w:spacing w:after="0"/>
              <w:rPr>
                <w:sz w:val="20"/>
                <w:szCs w:val="20"/>
                <w:color w:val="auto"/>
              </w:rPr>
            </w:pPr>
            <w:r>
              <w:rPr>
                <w:rFonts w:ascii="Arial" w:cs="Arial" w:eastAsia="Arial" w:hAnsi="Arial"/>
                <w:sz w:val="13"/>
                <w:szCs w:val="13"/>
                <w:color w:val="auto"/>
              </w:rPr>
              <w:t>598.62</w:t>
            </w:r>
          </w:p>
        </w:tc>
        <w:tc>
          <w:tcPr>
            <w:tcW w:w="740" w:type="dxa"/>
            <w:vAlign w:val="bottom"/>
          </w:tcPr>
          <w:p>
            <w:pPr>
              <w:jc w:val="right"/>
              <w:spacing w:after="0"/>
              <w:rPr>
                <w:sz w:val="20"/>
                <w:szCs w:val="20"/>
                <w:color w:val="auto"/>
              </w:rPr>
            </w:pPr>
            <w:r>
              <w:rPr>
                <w:rFonts w:ascii="Arial" w:cs="Arial" w:eastAsia="Arial" w:hAnsi="Arial"/>
                <w:sz w:val="13"/>
                <w:szCs w:val="13"/>
                <w:color w:val="auto"/>
              </w:rPr>
              <w:t>4,550,206</w:t>
            </w:r>
          </w:p>
        </w:tc>
        <w:tc>
          <w:tcPr>
            <w:tcW w:w="0" w:type="dxa"/>
            <w:vAlign w:val="bottom"/>
          </w:tcPr>
          <w:p>
            <w:pPr>
              <w:spacing w:after="0"/>
              <w:rPr>
                <w:sz w:val="1"/>
                <w:szCs w:val="1"/>
                <w:color w:val="auto"/>
              </w:rPr>
            </w:pPr>
          </w:p>
        </w:tc>
      </w:tr>
      <w:tr>
        <w:trPr>
          <w:trHeight w:val="188"/>
        </w:trPr>
        <w:tc>
          <w:tcPr>
            <w:tcW w:w="1180" w:type="dxa"/>
            <w:vAlign w:val="bottom"/>
            <w:shd w:val="clear" w:color="auto" w:fill="EDF0FC"/>
          </w:tcPr>
          <w:p>
            <w:pPr>
              <w:ind w:left="20"/>
              <w:spacing w:after="0"/>
              <w:rPr>
                <w:sz w:val="20"/>
                <w:szCs w:val="20"/>
                <w:color w:val="auto"/>
              </w:rPr>
            </w:pPr>
            <w:r>
              <w:rPr>
                <w:rFonts w:ascii="Arial" w:cs="Arial" w:eastAsia="Arial" w:hAnsi="Arial"/>
                <w:sz w:val="13"/>
                <w:szCs w:val="13"/>
                <w:b w:val="1"/>
                <w:bCs w:val="1"/>
                <w:color w:val="1A3FD6"/>
              </w:rPr>
              <w:t>Scott A. Crum</w:t>
            </w:r>
          </w:p>
        </w:tc>
        <w:tc>
          <w:tcPr>
            <w:tcW w:w="660" w:type="dxa"/>
            <w:vAlign w:val="bottom"/>
            <w:shd w:val="clear" w:color="auto" w:fill="EDF0FC"/>
          </w:tcPr>
          <w:p>
            <w:pPr>
              <w:jc w:val="right"/>
              <w:spacing w:after="0"/>
              <w:rPr>
                <w:sz w:val="20"/>
                <w:szCs w:val="20"/>
                <w:color w:val="auto"/>
              </w:rPr>
            </w:pPr>
            <w:r>
              <w:rPr>
                <w:rFonts w:ascii="Arial" w:cs="Arial" w:eastAsia="Arial" w:hAnsi="Arial"/>
                <w:sz w:val="13"/>
                <w:szCs w:val="13"/>
                <w:color w:val="auto"/>
              </w:rPr>
              <w:t>AIP</w:t>
            </w:r>
          </w:p>
        </w:tc>
        <w:tc>
          <w:tcPr>
            <w:tcW w:w="280" w:type="dxa"/>
            <w:vAlign w:val="bottom"/>
            <w:shd w:val="clear" w:color="auto" w:fill="EDF0FC"/>
          </w:tcPr>
          <w:p>
            <w:pPr>
              <w:spacing w:after="0"/>
              <w:rPr>
                <w:sz w:val="16"/>
                <w:szCs w:val="16"/>
                <w:color w:val="auto"/>
              </w:rPr>
            </w:pPr>
          </w:p>
        </w:tc>
        <w:tc>
          <w:tcPr>
            <w:tcW w:w="800" w:type="dxa"/>
            <w:vAlign w:val="bottom"/>
            <w:shd w:val="clear" w:color="auto" w:fill="ED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EDF0FC"/>
          </w:tcPr>
          <w:p>
            <w:pPr>
              <w:jc w:val="right"/>
              <w:spacing w:after="0"/>
              <w:rPr>
                <w:sz w:val="20"/>
                <w:szCs w:val="20"/>
                <w:color w:val="auto"/>
              </w:rPr>
            </w:pPr>
            <w:r>
              <w:rPr>
                <w:rFonts w:ascii="Arial" w:cs="Arial" w:eastAsia="Arial" w:hAnsi="Arial"/>
                <w:sz w:val="13"/>
                <w:szCs w:val="13"/>
                <w:color w:val="auto"/>
              </w:rPr>
              <w:t>1/26/2024</w:t>
            </w:r>
          </w:p>
        </w:tc>
        <w:tc>
          <w:tcPr>
            <w:tcW w:w="840" w:type="dxa"/>
            <w:vAlign w:val="bottom"/>
            <w:shd w:val="clear" w:color="auto" w:fill="EDF0FC"/>
          </w:tcPr>
          <w:p>
            <w:pPr>
              <w:ind w:left="640"/>
              <w:spacing w:after="0"/>
              <w:rPr>
                <w:sz w:val="20"/>
                <w:szCs w:val="20"/>
                <w:color w:val="auto"/>
              </w:rPr>
            </w:pPr>
            <w:r>
              <w:rPr>
                <w:rFonts w:ascii="Arial" w:cs="Arial" w:eastAsia="Arial" w:hAnsi="Arial"/>
                <w:sz w:val="13"/>
                <w:szCs w:val="13"/>
                <w:color w:val="auto"/>
              </w:rPr>
              <w:t>—</w:t>
            </w:r>
          </w:p>
        </w:tc>
        <w:tc>
          <w:tcPr>
            <w:tcW w:w="1060" w:type="dxa"/>
            <w:vAlign w:val="bottom"/>
            <w:shd w:val="clear" w:color="auto" w:fill="EDF0FC"/>
          </w:tcPr>
          <w:p>
            <w:pPr>
              <w:jc w:val="right"/>
              <w:ind w:right="198"/>
              <w:spacing w:after="0"/>
              <w:rPr>
                <w:sz w:val="20"/>
                <w:szCs w:val="20"/>
                <w:color w:val="auto"/>
              </w:rPr>
            </w:pPr>
            <w:r>
              <w:rPr>
                <w:rFonts w:ascii="Arial" w:cs="Arial" w:eastAsia="Arial" w:hAnsi="Arial"/>
                <w:sz w:val="13"/>
                <w:szCs w:val="13"/>
                <w:color w:val="auto"/>
              </w:rPr>
              <w:t>700,000</w:t>
            </w:r>
          </w:p>
        </w:tc>
        <w:tc>
          <w:tcPr>
            <w:tcW w:w="840" w:type="dxa"/>
            <w:vAlign w:val="bottom"/>
            <w:shd w:val="clear" w:color="auto" w:fill="EDF0FC"/>
          </w:tcPr>
          <w:p>
            <w:pPr>
              <w:jc w:val="right"/>
              <w:ind w:right="158"/>
              <w:spacing w:after="0"/>
              <w:rPr>
                <w:sz w:val="20"/>
                <w:szCs w:val="20"/>
                <w:color w:val="auto"/>
              </w:rPr>
            </w:pPr>
            <w:r>
              <w:rPr>
                <w:rFonts w:ascii="Arial" w:cs="Arial" w:eastAsia="Arial" w:hAnsi="Arial"/>
                <w:sz w:val="13"/>
                <w:szCs w:val="13"/>
                <w:color w:val="auto"/>
              </w:rPr>
              <w:t>1,050,000</w:t>
            </w:r>
          </w:p>
        </w:tc>
        <w:tc>
          <w:tcPr>
            <w:tcW w:w="740" w:type="dxa"/>
            <w:vAlign w:val="bottom"/>
            <w:shd w:val="clear" w:color="auto" w:fill="EDF0FC"/>
          </w:tcPr>
          <w:p>
            <w:pPr>
              <w:jc w:val="center"/>
              <w:ind w:left="379"/>
              <w:spacing w:after="0"/>
              <w:rPr>
                <w:sz w:val="20"/>
                <w:szCs w:val="20"/>
                <w:color w:val="auto"/>
              </w:rPr>
            </w:pPr>
            <w:r>
              <w:rPr>
                <w:rFonts w:ascii="Arial" w:cs="Arial" w:eastAsia="Arial" w:hAnsi="Arial"/>
                <w:sz w:val="13"/>
                <w:szCs w:val="13"/>
                <w:color w:val="auto"/>
              </w:rPr>
              <w:t>—</w:t>
            </w:r>
          </w:p>
        </w:tc>
        <w:tc>
          <w:tcPr>
            <w:tcW w:w="960" w:type="dxa"/>
            <w:vAlign w:val="bottom"/>
            <w:shd w:val="clear" w:color="auto" w:fill="EDF0FC"/>
          </w:tcPr>
          <w:p>
            <w:pPr>
              <w:jc w:val="right"/>
              <w:ind w:right="218"/>
              <w:spacing w:after="0"/>
              <w:rPr>
                <w:sz w:val="20"/>
                <w:szCs w:val="20"/>
                <w:color w:val="auto"/>
              </w:rPr>
            </w:pPr>
            <w:r>
              <w:rPr>
                <w:rFonts w:ascii="Arial" w:cs="Arial" w:eastAsia="Arial" w:hAnsi="Arial"/>
                <w:sz w:val="13"/>
                <w:szCs w:val="13"/>
                <w:color w:val="auto"/>
              </w:rPr>
              <w:t>—</w:t>
            </w:r>
          </w:p>
        </w:tc>
        <w:tc>
          <w:tcPr>
            <w:tcW w:w="560" w:type="dxa"/>
            <w:vAlign w:val="bottom"/>
            <w:shd w:val="clear" w:color="auto" w:fill="EDF0FC"/>
          </w:tcPr>
          <w:p>
            <w:pPr>
              <w:jc w:val="right"/>
              <w:ind w:right="18"/>
              <w:spacing w:after="0"/>
              <w:rPr>
                <w:sz w:val="20"/>
                <w:szCs w:val="20"/>
                <w:color w:val="auto"/>
              </w:rPr>
            </w:pPr>
            <w:r>
              <w:rPr>
                <w:rFonts w:ascii="Arial" w:cs="Arial" w:eastAsia="Arial" w:hAnsi="Arial"/>
                <w:sz w:val="13"/>
                <w:szCs w:val="13"/>
                <w:color w:val="auto"/>
              </w:rPr>
              <w:t>—</w:t>
            </w:r>
          </w:p>
        </w:tc>
        <w:tc>
          <w:tcPr>
            <w:tcW w:w="860" w:type="dxa"/>
            <w:vAlign w:val="bottom"/>
            <w:shd w:val="clear" w:color="auto" w:fill="EDF0FC"/>
          </w:tcPr>
          <w:p>
            <w:pPr>
              <w:jc w:val="right"/>
              <w:ind w:right="121"/>
              <w:spacing w:after="0"/>
              <w:rPr>
                <w:sz w:val="20"/>
                <w:szCs w:val="20"/>
                <w:color w:val="auto"/>
              </w:rPr>
            </w:pPr>
            <w:r>
              <w:rPr>
                <w:rFonts w:ascii="Arial" w:cs="Arial" w:eastAsia="Arial" w:hAnsi="Arial"/>
                <w:sz w:val="13"/>
                <w:szCs w:val="13"/>
                <w:color w:val="auto"/>
              </w:rPr>
              <w:t>—</w:t>
            </w:r>
          </w:p>
        </w:tc>
        <w:tc>
          <w:tcPr>
            <w:tcW w:w="700" w:type="dxa"/>
            <w:vAlign w:val="bottom"/>
            <w:shd w:val="clear" w:color="auto" w:fill="EDF0FC"/>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shd w:val="clear" w:color="auto" w:fill="ED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11"/>
        </w:trPr>
        <w:tc>
          <w:tcPr>
            <w:tcW w:w="1180" w:type="dxa"/>
            <w:vAlign w:val="bottom"/>
            <w:shd w:val="clear" w:color="auto" w:fill="EDF0FC"/>
          </w:tcPr>
          <w:p>
            <w:pPr>
              <w:spacing w:after="0"/>
              <w:rPr>
                <w:sz w:val="24"/>
                <w:szCs w:val="24"/>
                <w:color w:val="auto"/>
              </w:rPr>
            </w:pPr>
          </w:p>
        </w:tc>
        <w:tc>
          <w:tcPr>
            <w:tcW w:w="660" w:type="dxa"/>
            <w:vAlign w:val="bottom"/>
            <w:shd w:val="clear" w:color="auto" w:fill="EDF0FC"/>
          </w:tcPr>
          <w:p>
            <w:pPr>
              <w:jc w:val="right"/>
              <w:spacing w:after="0"/>
              <w:rPr>
                <w:sz w:val="20"/>
                <w:szCs w:val="20"/>
                <w:color w:val="auto"/>
              </w:rPr>
            </w:pPr>
            <w:r>
              <w:rPr>
                <w:rFonts w:ascii="Arial" w:cs="Arial" w:eastAsia="Arial" w:hAnsi="Arial"/>
                <w:sz w:val="13"/>
                <w:szCs w:val="13"/>
                <w:color w:val="auto"/>
              </w:rPr>
              <w:t>RSU</w:t>
            </w:r>
          </w:p>
        </w:tc>
        <w:tc>
          <w:tcPr>
            <w:tcW w:w="280" w:type="dxa"/>
            <w:vAlign w:val="bottom"/>
            <w:shd w:val="clear" w:color="auto" w:fill="EDF0FC"/>
          </w:tcPr>
          <w:p>
            <w:pPr>
              <w:jc w:val="right"/>
              <w:ind w:right="139"/>
              <w:spacing w:after="0"/>
              <w:rPr>
                <w:sz w:val="20"/>
                <w:szCs w:val="20"/>
                <w:color w:val="auto"/>
              </w:rPr>
            </w:pPr>
            <w:r>
              <w:rPr>
                <w:rFonts w:ascii="Arial" w:cs="Arial" w:eastAsia="Arial" w:hAnsi="Arial"/>
                <w:sz w:val="8"/>
                <w:szCs w:val="8"/>
                <w:color w:val="auto"/>
                <w:w w:val="81"/>
              </w:rPr>
              <w:t>(3)</w:t>
            </w:r>
          </w:p>
        </w:tc>
        <w:tc>
          <w:tcPr>
            <w:tcW w:w="800" w:type="dxa"/>
            <w:vAlign w:val="bottom"/>
            <w:shd w:val="clear" w:color="auto" w:fill="EDF0FC"/>
          </w:tcPr>
          <w:p>
            <w:pPr>
              <w:jc w:val="right"/>
              <w:spacing w:after="0"/>
              <w:rPr>
                <w:sz w:val="20"/>
                <w:szCs w:val="20"/>
                <w:color w:val="auto"/>
              </w:rPr>
            </w:pPr>
            <w:r>
              <w:rPr>
                <w:rFonts w:ascii="Arial" w:cs="Arial" w:eastAsia="Arial" w:hAnsi="Arial"/>
                <w:sz w:val="13"/>
                <w:szCs w:val="13"/>
                <w:color w:val="auto"/>
              </w:rPr>
              <w:t>2/1/2024</w:t>
            </w:r>
          </w:p>
        </w:tc>
        <w:tc>
          <w:tcPr>
            <w:tcW w:w="1020" w:type="dxa"/>
            <w:vAlign w:val="bottom"/>
            <w:shd w:val="clear" w:color="auto" w:fill="EDF0FC"/>
          </w:tcPr>
          <w:p>
            <w:pPr>
              <w:jc w:val="right"/>
              <w:spacing w:after="0"/>
              <w:rPr>
                <w:sz w:val="20"/>
                <w:szCs w:val="20"/>
                <w:color w:val="auto"/>
              </w:rPr>
            </w:pPr>
            <w:r>
              <w:rPr>
                <w:rFonts w:ascii="Arial" w:cs="Arial" w:eastAsia="Arial" w:hAnsi="Arial"/>
                <w:sz w:val="13"/>
                <w:szCs w:val="13"/>
                <w:color w:val="auto"/>
              </w:rPr>
              <w:t>1/26/2024</w:t>
            </w:r>
          </w:p>
        </w:tc>
        <w:tc>
          <w:tcPr>
            <w:tcW w:w="840" w:type="dxa"/>
            <w:vAlign w:val="bottom"/>
            <w:shd w:val="clear" w:color="auto" w:fill="EDF0FC"/>
          </w:tcPr>
          <w:p>
            <w:pPr>
              <w:ind w:left="640"/>
              <w:spacing w:after="0"/>
              <w:rPr>
                <w:sz w:val="20"/>
                <w:szCs w:val="20"/>
                <w:color w:val="auto"/>
              </w:rPr>
            </w:pPr>
            <w:r>
              <w:rPr>
                <w:rFonts w:ascii="Arial" w:cs="Arial" w:eastAsia="Arial" w:hAnsi="Arial"/>
                <w:sz w:val="13"/>
                <w:szCs w:val="13"/>
                <w:color w:val="auto"/>
              </w:rPr>
              <w:t>—</w:t>
            </w:r>
          </w:p>
        </w:tc>
        <w:tc>
          <w:tcPr>
            <w:tcW w:w="1060" w:type="dxa"/>
            <w:vAlign w:val="bottom"/>
            <w:shd w:val="clear" w:color="auto" w:fill="EDF0FC"/>
          </w:tcPr>
          <w:p>
            <w:pPr>
              <w:jc w:val="right"/>
              <w:ind w:right="198"/>
              <w:spacing w:after="0"/>
              <w:rPr>
                <w:sz w:val="20"/>
                <w:szCs w:val="20"/>
                <w:color w:val="auto"/>
              </w:rPr>
            </w:pPr>
            <w:r>
              <w:rPr>
                <w:rFonts w:ascii="Arial" w:cs="Arial" w:eastAsia="Arial" w:hAnsi="Arial"/>
                <w:sz w:val="13"/>
                <w:szCs w:val="13"/>
                <w:color w:val="auto"/>
              </w:rPr>
              <w:t>—</w:t>
            </w:r>
          </w:p>
        </w:tc>
        <w:tc>
          <w:tcPr>
            <w:tcW w:w="840" w:type="dxa"/>
            <w:vAlign w:val="bottom"/>
            <w:shd w:val="clear" w:color="auto" w:fill="EDF0FC"/>
          </w:tcPr>
          <w:p>
            <w:pPr>
              <w:jc w:val="right"/>
              <w:ind w:right="158"/>
              <w:spacing w:after="0"/>
              <w:rPr>
                <w:sz w:val="20"/>
                <w:szCs w:val="20"/>
                <w:color w:val="auto"/>
              </w:rPr>
            </w:pPr>
            <w:r>
              <w:rPr>
                <w:rFonts w:ascii="Arial" w:cs="Arial" w:eastAsia="Arial" w:hAnsi="Arial"/>
                <w:sz w:val="13"/>
                <w:szCs w:val="13"/>
                <w:color w:val="auto"/>
              </w:rPr>
              <w:t>—</w:t>
            </w:r>
          </w:p>
        </w:tc>
        <w:tc>
          <w:tcPr>
            <w:tcW w:w="740" w:type="dxa"/>
            <w:vAlign w:val="bottom"/>
            <w:shd w:val="clear" w:color="auto" w:fill="EDF0FC"/>
          </w:tcPr>
          <w:p>
            <w:pPr>
              <w:jc w:val="center"/>
              <w:ind w:left="379"/>
              <w:spacing w:after="0"/>
              <w:rPr>
                <w:sz w:val="20"/>
                <w:szCs w:val="20"/>
                <w:color w:val="auto"/>
              </w:rPr>
            </w:pPr>
            <w:r>
              <w:rPr>
                <w:rFonts w:ascii="Arial" w:cs="Arial" w:eastAsia="Arial" w:hAnsi="Arial"/>
                <w:sz w:val="13"/>
                <w:szCs w:val="13"/>
                <w:color w:val="auto"/>
              </w:rPr>
              <w:t>—</w:t>
            </w:r>
          </w:p>
        </w:tc>
        <w:tc>
          <w:tcPr>
            <w:tcW w:w="960" w:type="dxa"/>
            <w:vAlign w:val="bottom"/>
            <w:shd w:val="clear" w:color="auto" w:fill="EDF0FC"/>
          </w:tcPr>
          <w:p>
            <w:pPr>
              <w:jc w:val="right"/>
              <w:ind w:right="218"/>
              <w:spacing w:after="0"/>
              <w:rPr>
                <w:sz w:val="20"/>
                <w:szCs w:val="20"/>
                <w:color w:val="auto"/>
              </w:rPr>
            </w:pPr>
            <w:r>
              <w:rPr>
                <w:rFonts w:ascii="Arial" w:cs="Arial" w:eastAsia="Arial" w:hAnsi="Arial"/>
                <w:sz w:val="13"/>
                <w:szCs w:val="13"/>
                <w:color w:val="auto"/>
              </w:rPr>
              <w:t>—</w:t>
            </w:r>
          </w:p>
        </w:tc>
        <w:tc>
          <w:tcPr>
            <w:tcW w:w="560" w:type="dxa"/>
            <w:vAlign w:val="bottom"/>
            <w:shd w:val="clear" w:color="auto" w:fill="EDF0FC"/>
          </w:tcPr>
          <w:p>
            <w:pPr>
              <w:jc w:val="right"/>
              <w:ind w:right="18"/>
              <w:spacing w:after="0"/>
              <w:rPr>
                <w:sz w:val="20"/>
                <w:szCs w:val="20"/>
                <w:color w:val="auto"/>
              </w:rPr>
            </w:pPr>
            <w:r>
              <w:rPr>
                <w:rFonts w:ascii="Arial" w:cs="Arial" w:eastAsia="Arial" w:hAnsi="Arial"/>
                <w:sz w:val="13"/>
                <w:szCs w:val="13"/>
                <w:color w:val="auto"/>
              </w:rPr>
              <w:t>—</w:t>
            </w:r>
          </w:p>
        </w:tc>
        <w:tc>
          <w:tcPr>
            <w:tcW w:w="860" w:type="dxa"/>
            <w:vAlign w:val="bottom"/>
            <w:shd w:val="clear" w:color="auto" w:fill="EDF0FC"/>
          </w:tcPr>
          <w:p>
            <w:pPr>
              <w:jc w:val="right"/>
              <w:ind w:right="121"/>
              <w:spacing w:after="0"/>
              <w:rPr>
                <w:sz w:val="20"/>
                <w:szCs w:val="20"/>
                <w:color w:val="auto"/>
              </w:rPr>
            </w:pPr>
            <w:r>
              <w:rPr>
                <w:rFonts w:ascii="Arial" w:cs="Arial" w:eastAsia="Arial" w:hAnsi="Arial"/>
                <w:sz w:val="13"/>
                <w:szCs w:val="13"/>
                <w:color w:val="auto"/>
              </w:rPr>
              <w:t>1,003</w:t>
            </w:r>
          </w:p>
        </w:tc>
        <w:tc>
          <w:tcPr>
            <w:tcW w:w="700" w:type="dxa"/>
            <w:vAlign w:val="bottom"/>
            <w:shd w:val="clear" w:color="auto" w:fill="EDF0FC"/>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shd w:val="clear" w:color="auto" w:fill="EDF0FC"/>
          </w:tcPr>
          <w:p>
            <w:pPr>
              <w:jc w:val="right"/>
              <w:spacing w:after="0"/>
              <w:rPr>
                <w:sz w:val="20"/>
                <w:szCs w:val="20"/>
                <w:color w:val="auto"/>
              </w:rPr>
            </w:pPr>
            <w:r>
              <w:rPr>
                <w:rFonts w:ascii="Arial" w:cs="Arial" w:eastAsia="Arial" w:hAnsi="Arial"/>
                <w:sz w:val="13"/>
                <w:szCs w:val="13"/>
                <w:color w:val="auto"/>
              </w:rPr>
              <w:t>600,416</w:t>
            </w:r>
          </w:p>
        </w:tc>
        <w:tc>
          <w:tcPr>
            <w:tcW w:w="0" w:type="dxa"/>
            <w:vAlign w:val="bottom"/>
          </w:tcPr>
          <w:p>
            <w:pPr>
              <w:spacing w:after="0"/>
              <w:rPr>
                <w:sz w:val="1"/>
                <w:szCs w:val="1"/>
                <w:color w:val="auto"/>
              </w:rPr>
            </w:pPr>
          </w:p>
        </w:tc>
      </w:tr>
      <w:tr>
        <w:trPr>
          <w:trHeight w:val="310"/>
        </w:trPr>
        <w:tc>
          <w:tcPr>
            <w:tcW w:w="1180" w:type="dxa"/>
            <w:vAlign w:val="bottom"/>
            <w:shd w:val="clear" w:color="auto" w:fill="EDF0FC"/>
          </w:tcPr>
          <w:p>
            <w:pPr>
              <w:spacing w:after="0"/>
              <w:rPr>
                <w:sz w:val="24"/>
                <w:szCs w:val="24"/>
                <w:color w:val="auto"/>
              </w:rPr>
            </w:pPr>
          </w:p>
        </w:tc>
        <w:tc>
          <w:tcPr>
            <w:tcW w:w="660" w:type="dxa"/>
            <w:vAlign w:val="bottom"/>
            <w:shd w:val="clear" w:color="auto" w:fill="EDF0FC"/>
          </w:tcPr>
          <w:p>
            <w:pPr>
              <w:jc w:val="right"/>
              <w:spacing w:after="0"/>
              <w:rPr>
                <w:sz w:val="20"/>
                <w:szCs w:val="20"/>
                <w:color w:val="auto"/>
              </w:rPr>
            </w:pPr>
            <w:r>
              <w:rPr>
                <w:rFonts w:ascii="Arial" w:cs="Arial" w:eastAsia="Arial" w:hAnsi="Arial"/>
                <w:sz w:val="13"/>
                <w:szCs w:val="13"/>
                <w:color w:val="auto"/>
              </w:rPr>
              <w:t>PSU</w:t>
            </w:r>
          </w:p>
        </w:tc>
        <w:tc>
          <w:tcPr>
            <w:tcW w:w="280" w:type="dxa"/>
            <w:vAlign w:val="bottom"/>
            <w:shd w:val="clear" w:color="auto" w:fill="EDF0FC"/>
          </w:tcPr>
          <w:p>
            <w:pPr>
              <w:jc w:val="right"/>
              <w:ind w:right="139"/>
              <w:spacing w:after="0"/>
              <w:rPr>
                <w:sz w:val="20"/>
                <w:szCs w:val="20"/>
                <w:color w:val="auto"/>
              </w:rPr>
            </w:pPr>
            <w:r>
              <w:rPr>
                <w:rFonts w:ascii="Arial" w:cs="Arial" w:eastAsia="Arial" w:hAnsi="Arial"/>
                <w:sz w:val="8"/>
                <w:szCs w:val="8"/>
                <w:color w:val="auto"/>
                <w:w w:val="81"/>
              </w:rPr>
              <w:t>(4)</w:t>
            </w:r>
          </w:p>
        </w:tc>
        <w:tc>
          <w:tcPr>
            <w:tcW w:w="800" w:type="dxa"/>
            <w:vAlign w:val="bottom"/>
            <w:shd w:val="clear" w:color="auto" w:fill="EDF0FC"/>
          </w:tcPr>
          <w:p>
            <w:pPr>
              <w:jc w:val="right"/>
              <w:spacing w:after="0"/>
              <w:rPr>
                <w:sz w:val="20"/>
                <w:szCs w:val="20"/>
                <w:color w:val="auto"/>
              </w:rPr>
            </w:pPr>
            <w:r>
              <w:rPr>
                <w:rFonts w:ascii="Arial" w:cs="Arial" w:eastAsia="Arial" w:hAnsi="Arial"/>
                <w:sz w:val="13"/>
                <w:szCs w:val="13"/>
                <w:color w:val="auto"/>
              </w:rPr>
              <w:t>2/1/2024</w:t>
            </w:r>
          </w:p>
        </w:tc>
        <w:tc>
          <w:tcPr>
            <w:tcW w:w="1020" w:type="dxa"/>
            <w:vAlign w:val="bottom"/>
            <w:shd w:val="clear" w:color="auto" w:fill="EDF0FC"/>
          </w:tcPr>
          <w:p>
            <w:pPr>
              <w:jc w:val="right"/>
              <w:spacing w:after="0"/>
              <w:rPr>
                <w:sz w:val="20"/>
                <w:szCs w:val="20"/>
                <w:color w:val="auto"/>
              </w:rPr>
            </w:pPr>
            <w:r>
              <w:rPr>
                <w:rFonts w:ascii="Arial" w:cs="Arial" w:eastAsia="Arial" w:hAnsi="Arial"/>
                <w:sz w:val="13"/>
                <w:szCs w:val="13"/>
                <w:color w:val="auto"/>
              </w:rPr>
              <w:t>1/26/2024</w:t>
            </w:r>
          </w:p>
        </w:tc>
        <w:tc>
          <w:tcPr>
            <w:tcW w:w="840" w:type="dxa"/>
            <w:vAlign w:val="bottom"/>
            <w:shd w:val="clear" w:color="auto" w:fill="EDF0FC"/>
          </w:tcPr>
          <w:p>
            <w:pPr>
              <w:ind w:left="640"/>
              <w:spacing w:after="0"/>
              <w:rPr>
                <w:sz w:val="20"/>
                <w:szCs w:val="20"/>
                <w:color w:val="auto"/>
              </w:rPr>
            </w:pPr>
            <w:r>
              <w:rPr>
                <w:rFonts w:ascii="Arial" w:cs="Arial" w:eastAsia="Arial" w:hAnsi="Arial"/>
                <w:sz w:val="13"/>
                <w:szCs w:val="13"/>
                <w:color w:val="auto"/>
              </w:rPr>
              <w:t>—</w:t>
            </w:r>
          </w:p>
        </w:tc>
        <w:tc>
          <w:tcPr>
            <w:tcW w:w="1060" w:type="dxa"/>
            <w:vAlign w:val="bottom"/>
            <w:shd w:val="clear" w:color="auto" w:fill="EDF0FC"/>
          </w:tcPr>
          <w:p>
            <w:pPr>
              <w:jc w:val="right"/>
              <w:ind w:right="198"/>
              <w:spacing w:after="0"/>
              <w:rPr>
                <w:sz w:val="20"/>
                <w:szCs w:val="20"/>
                <w:color w:val="auto"/>
              </w:rPr>
            </w:pPr>
            <w:r>
              <w:rPr>
                <w:rFonts w:ascii="Arial" w:cs="Arial" w:eastAsia="Arial" w:hAnsi="Arial"/>
                <w:sz w:val="13"/>
                <w:szCs w:val="13"/>
                <w:color w:val="auto"/>
              </w:rPr>
              <w:t>—</w:t>
            </w:r>
          </w:p>
        </w:tc>
        <w:tc>
          <w:tcPr>
            <w:tcW w:w="840" w:type="dxa"/>
            <w:vAlign w:val="bottom"/>
            <w:shd w:val="clear" w:color="auto" w:fill="EDF0FC"/>
          </w:tcPr>
          <w:p>
            <w:pPr>
              <w:jc w:val="right"/>
              <w:ind w:right="158"/>
              <w:spacing w:after="0"/>
              <w:rPr>
                <w:sz w:val="20"/>
                <w:szCs w:val="20"/>
                <w:color w:val="auto"/>
              </w:rPr>
            </w:pPr>
            <w:r>
              <w:rPr>
                <w:rFonts w:ascii="Arial" w:cs="Arial" w:eastAsia="Arial" w:hAnsi="Arial"/>
                <w:sz w:val="13"/>
                <w:szCs w:val="13"/>
                <w:color w:val="auto"/>
              </w:rPr>
              <w:t>—</w:t>
            </w:r>
          </w:p>
        </w:tc>
        <w:tc>
          <w:tcPr>
            <w:tcW w:w="740" w:type="dxa"/>
            <w:vAlign w:val="bottom"/>
            <w:shd w:val="clear" w:color="auto" w:fill="EDF0FC"/>
          </w:tcPr>
          <w:p>
            <w:pPr>
              <w:jc w:val="center"/>
              <w:ind w:left="379"/>
              <w:spacing w:after="0"/>
              <w:rPr>
                <w:sz w:val="20"/>
                <w:szCs w:val="20"/>
                <w:color w:val="auto"/>
              </w:rPr>
            </w:pPr>
            <w:r>
              <w:rPr>
                <w:rFonts w:ascii="Arial" w:cs="Arial" w:eastAsia="Arial" w:hAnsi="Arial"/>
                <w:sz w:val="13"/>
                <w:szCs w:val="13"/>
                <w:color w:val="auto"/>
              </w:rPr>
              <w:t>298</w:t>
            </w:r>
          </w:p>
        </w:tc>
        <w:tc>
          <w:tcPr>
            <w:tcW w:w="960" w:type="dxa"/>
            <w:vAlign w:val="bottom"/>
            <w:shd w:val="clear" w:color="auto" w:fill="EDF0FC"/>
          </w:tcPr>
          <w:p>
            <w:pPr>
              <w:jc w:val="right"/>
              <w:ind w:right="218"/>
              <w:spacing w:after="0"/>
              <w:rPr>
                <w:sz w:val="20"/>
                <w:szCs w:val="20"/>
                <w:color w:val="auto"/>
              </w:rPr>
            </w:pPr>
            <w:r>
              <w:rPr>
                <w:rFonts w:ascii="Arial" w:cs="Arial" w:eastAsia="Arial" w:hAnsi="Arial"/>
                <w:sz w:val="13"/>
                <w:szCs w:val="13"/>
                <w:color w:val="auto"/>
              </w:rPr>
              <w:t>1,194</w:t>
            </w:r>
          </w:p>
        </w:tc>
        <w:tc>
          <w:tcPr>
            <w:tcW w:w="560" w:type="dxa"/>
            <w:vAlign w:val="bottom"/>
            <w:shd w:val="clear" w:color="auto" w:fill="EDF0FC"/>
          </w:tcPr>
          <w:p>
            <w:pPr>
              <w:jc w:val="right"/>
              <w:ind w:right="18"/>
              <w:spacing w:after="0"/>
              <w:rPr>
                <w:sz w:val="20"/>
                <w:szCs w:val="20"/>
                <w:color w:val="auto"/>
              </w:rPr>
            </w:pPr>
            <w:r>
              <w:rPr>
                <w:rFonts w:ascii="Arial" w:cs="Arial" w:eastAsia="Arial" w:hAnsi="Arial"/>
                <w:sz w:val="13"/>
                <w:szCs w:val="13"/>
                <w:color w:val="auto"/>
              </w:rPr>
              <w:t>2,388</w:t>
            </w:r>
          </w:p>
        </w:tc>
        <w:tc>
          <w:tcPr>
            <w:tcW w:w="860" w:type="dxa"/>
            <w:vAlign w:val="bottom"/>
            <w:shd w:val="clear" w:color="auto" w:fill="EDF0FC"/>
          </w:tcPr>
          <w:p>
            <w:pPr>
              <w:jc w:val="right"/>
              <w:ind w:right="121"/>
              <w:spacing w:after="0"/>
              <w:rPr>
                <w:sz w:val="20"/>
                <w:szCs w:val="20"/>
                <w:color w:val="auto"/>
              </w:rPr>
            </w:pPr>
            <w:r>
              <w:rPr>
                <w:rFonts w:ascii="Arial" w:cs="Arial" w:eastAsia="Arial" w:hAnsi="Arial"/>
                <w:sz w:val="13"/>
                <w:szCs w:val="13"/>
                <w:color w:val="auto"/>
              </w:rPr>
              <w:t>—</w:t>
            </w:r>
          </w:p>
        </w:tc>
        <w:tc>
          <w:tcPr>
            <w:tcW w:w="700" w:type="dxa"/>
            <w:vAlign w:val="bottom"/>
            <w:shd w:val="clear" w:color="auto" w:fill="EDF0FC"/>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shd w:val="clear" w:color="auto" w:fill="EDF0FC"/>
          </w:tcPr>
          <w:p>
            <w:pPr>
              <w:jc w:val="right"/>
              <w:spacing w:after="0"/>
              <w:rPr>
                <w:sz w:val="20"/>
                <w:szCs w:val="20"/>
                <w:color w:val="auto"/>
              </w:rPr>
            </w:pPr>
            <w:r>
              <w:rPr>
                <w:rFonts w:ascii="Arial" w:cs="Arial" w:eastAsia="Arial" w:hAnsi="Arial"/>
                <w:sz w:val="13"/>
                <w:szCs w:val="13"/>
                <w:color w:val="auto"/>
              </w:rPr>
              <w:t>600,104</w:t>
            </w:r>
          </w:p>
        </w:tc>
        <w:tc>
          <w:tcPr>
            <w:tcW w:w="0" w:type="dxa"/>
            <w:vAlign w:val="bottom"/>
          </w:tcPr>
          <w:p>
            <w:pPr>
              <w:spacing w:after="0"/>
              <w:rPr>
                <w:sz w:val="1"/>
                <w:szCs w:val="1"/>
                <w:color w:val="auto"/>
              </w:rPr>
            </w:pPr>
          </w:p>
        </w:tc>
      </w:tr>
      <w:tr>
        <w:trPr>
          <w:trHeight w:val="318"/>
        </w:trPr>
        <w:tc>
          <w:tcPr>
            <w:tcW w:w="1180" w:type="dxa"/>
            <w:vAlign w:val="bottom"/>
            <w:tcBorders>
              <w:bottom w:val="single" w:sz="8" w:color="EDF0FC"/>
            </w:tcBorders>
            <w:shd w:val="clear" w:color="auto" w:fill="EDF0FC"/>
          </w:tcPr>
          <w:p>
            <w:pPr>
              <w:spacing w:after="0"/>
              <w:rPr>
                <w:sz w:val="24"/>
                <w:szCs w:val="24"/>
                <w:color w:val="auto"/>
              </w:rPr>
            </w:pPr>
          </w:p>
        </w:tc>
        <w:tc>
          <w:tcPr>
            <w:tcW w:w="660" w:type="dxa"/>
            <w:vAlign w:val="bottom"/>
            <w:tcBorders>
              <w:bottom w:val="single" w:sz="8" w:color="EDF0FC"/>
            </w:tcBorders>
            <w:shd w:val="clear" w:color="auto" w:fill="EDF0FC"/>
          </w:tcPr>
          <w:p>
            <w:pPr>
              <w:jc w:val="right"/>
              <w:spacing w:after="0"/>
              <w:rPr>
                <w:sz w:val="20"/>
                <w:szCs w:val="20"/>
                <w:color w:val="auto"/>
              </w:rPr>
            </w:pPr>
            <w:r>
              <w:rPr>
                <w:rFonts w:ascii="Arial" w:cs="Arial" w:eastAsia="Arial" w:hAnsi="Arial"/>
                <w:sz w:val="13"/>
                <w:szCs w:val="13"/>
                <w:color w:val="auto"/>
              </w:rPr>
              <w:t>PSO</w:t>
            </w:r>
          </w:p>
        </w:tc>
        <w:tc>
          <w:tcPr>
            <w:tcW w:w="280" w:type="dxa"/>
            <w:vAlign w:val="bottom"/>
            <w:tcBorders>
              <w:bottom w:val="single" w:sz="8" w:color="EDF0FC"/>
            </w:tcBorders>
            <w:shd w:val="clear" w:color="auto" w:fill="EDF0FC"/>
          </w:tcPr>
          <w:p>
            <w:pPr>
              <w:jc w:val="right"/>
              <w:ind w:right="139"/>
              <w:spacing w:after="0"/>
              <w:rPr>
                <w:sz w:val="20"/>
                <w:szCs w:val="20"/>
                <w:color w:val="auto"/>
              </w:rPr>
            </w:pPr>
            <w:r>
              <w:rPr>
                <w:rFonts w:ascii="Arial" w:cs="Arial" w:eastAsia="Arial" w:hAnsi="Arial"/>
                <w:sz w:val="8"/>
                <w:szCs w:val="8"/>
                <w:color w:val="auto"/>
                <w:w w:val="81"/>
              </w:rPr>
              <w:t>(5)</w:t>
            </w:r>
          </w:p>
        </w:tc>
        <w:tc>
          <w:tcPr>
            <w:tcW w:w="800" w:type="dxa"/>
            <w:vAlign w:val="bottom"/>
            <w:tcBorders>
              <w:bottom w:val="single" w:sz="8" w:color="EDF0FC"/>
            </w:tcBorders>
            <w:shd w:val="clear" w:color="auto" w:fill="EDF0FC"/>
          </w:tcPr>
          <w:p>
            <w:pPr>
              <w:jc w:val="right"/>
              <w:spacing w:after="0"/>
              <w:rPr>
                <w:sz w:val="20"/>
                <w:szCs w:val="20"/>
                <w:color w:val="auto"/>
              </w:rPr>
            </w:pPr>
            <w:r>
              <w:rPr>
                <w:rFonts w:ascii="Arial" w:cs="Arial" w:eastAsia="Arial" w:hAnsi="Arial"/>
                <w:sz w:val="13"/>
                <w:szCs w:val="13"/>
                <w:color w:val="auto"/>
              </w:rPr>
              <w:t>2/1/2024</w:t>
            </w:r>
          </w:p>
        </w:tc>
        <w:tc>
          <w:tcPr>
            <w:tcW w:w="1020" w:type="dxa"/>
            <w:vAlign w:val="bottom"/>
            <w:tcBorders>
              <w:bottom w:val="single" w:sz="8" w:color="EDF0FC"/>
            </w:tcBorders>
            <w:shd w:val="clear" w:color="auto" w:fill="EDF0FC"/>
          </w:tcPr>
          <w:p>
            <w:pPr>
              <w:jc w:val="right"/>
              <w:spacing w:after="0"/>
              <w:rPr>
                <w:sz w:val="20"/>
                <w:szCs w:val="20"/>
                <w:color w:val="auto"/>
              </w:rPr>
            </w:pPr>
            <w:r>
              <w:rPr>
                <w:rFonts w:ascii="Arial" w:cs="Arial" w:eastAsia="Arial" w:hAnsi="Arial"/>
                <w:sz w:val="13"/>
                <w:szCs w:val="13"/>
                <w:color w:val="auto"/>
              </w:rPr>
              <w:t>1/26/2024</w:t>
            </w:r>
          </w:p>
        </w:tc>
        <w:tc>
          <w:tcPr>
            <w:tcW w:w="840" w:type="dxa"/>
            <w:vAlign w:val="bottom"/>
            <w:tcBorders>
              <w:bottom w:val="single" w:sz="8" w:color="EDF0FC"/>
            </w:tcBorders>
            <w:shd w:val="clear" w:color="auto" w:fill="EDF0FC"/>
          </w:tcPr>
          <w:p>
            <w:pPr>
              <w:ind w:left="64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EDF0FC"/>
            </w:tcBorders>
            <w:shd w:val="clear" w:color="auto" w:fill="EDF0FC"/>
          </w:tcPr>
          <w:p>
            <w:pPr>
              <w:jc w:val="right"/>
              <w:ind w:right="198"/>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DF0FC"/>
            </w:tcBorders>
            <w:shd w:val="clear" w:color="auto" w:fill="EDF0FC"/>
          </w:tcPr>
          <w:p>
            <w:pPr>
              <w:jc w:val="right"/>
              <w:ind w:right="158"/>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EDF0FC"/>
            </w:tcBorders>
            <w:shd w:val="clear" w:color="auto" w:fill="EDF0FC"/>
          </w:tcPr>
          <w:p>
            <w:pPr>
              <w:jc w:val="center"/>
              <w:ind w:left="379"/>
              <w:spacing w:after="0"/>
              <w:rPr>
                <w:sz w:val="20"/>
                <w:szCs w:val="20"/>
                <w:color w:val="auto"/>
              </w:rPr>
            </w:pPr>
            <w:r>
              <w:rPr>
                <w:rFonts w:ascii="Arial" w:cs="Arial" w:eastAsia="Arial" w:hAnsi="Arial"/>
                <w:sz w:val="13"/>
                <w:szCs w:val="13"/>
                <w:color w:val="auto"/>
              </w:rPr>
              <w:t>899</w:t>
            </w:r>
          </w:p>
        </w:tc>
        <w:tc>
          <w:tcPr>
            <w:tcW w:w="960" w:type="dxa"/>
            <w:vAlign w:val="bottom"/>
            <w:tcBorders>
              <w:bottom w:val="single" w:sz="8" w:color="EDF0FC"/>
            </w:tcBorders>
            <w:shd w:val="clear" w:color="auto" w:fill="EDF0FC"/>
          </w:tcPr>
          <w:p>
            <w:pPr>
              <w:jc w:val="right"/>
              <w:ind w:right="218"/>
              <w:spacing w:after="0"/>
              <w:rPr>
                <w:sz w:val="20"/>
                <w:szCs w:val="20"/>
                <w:color w:val="auto"/>
              </w:rPr>
            </w:pPr>
            <w:r>
              <w:rPr>
                <w:rFonts w:ascii="Arial" w:cs="Arial" w:eastAsia="Arial" w:hAnsi="Arial"/>
                <w:sz w:val="13"/>
                <w:szCs w:val="13"/>
                <w:color w:val="auto"/>
              </w:rPr>
              <w:t>3,599</w:t>
            </w:r>
          </w:p>
        </w:tc>
        <w:tc>
          <w:tcPr>
            <w:tcW w:w="560" w:type="dxa"/>
            <w:vAlign w:val="bottom"/>
            <w:tcBorders>
              <w:bottom w:val="single" w:sz="8" w:color="EDF0FC"/>
            </w:tcBorders>
            <w:shd w:val="clear" w:color="auto" w:fill="EDF0FC"/>
          </w:tcPr>
          <w:p>
            <w:pPr>
              <w:jc w:val="right"/>
              <w:ind w:right="18"/>
              <w:spacing w:after="0"/>
              <w:rPr>
                <w:sz w:val="20"/>
                <w:szCs w:val="20"/>
                <w:color w:val="auto"/>
              </w:rPr>
            </w:pPr>
            <w:r>
              <w:rPr>
                <w:rFonts w:ascii="Arial" w:cs="Arial" w:eastAsia="Arial" w:hAnsi="Arial"/>
                <w:sz w:val="13"/>
                <w:szCs w:val="13"/>
                <w:color w:val="auto"/>
              </w:rPr>
              <w:t>7,198</w:t>
            </w:r>
          </w:p>
        </w:tc>
        <w:tc>
          <w:tcPr>
            <w:tcW w:w="860" w:type="dxa"/>
            <w:vAlign w:val="bottom"/>
            <w:tcBorders>
              <w:bottom w:val="single" w:sz="8" w:color="EDF0FC"/>
            </w:tcBorders>
            <w:shd w:val="clear" w:color="auto" w:fill="EDF0FC"/>
          </w:tcPr>
          <w:p>
            <w:pPr>
              <w:jc w:val="right"/>
              <w:ind w:right="121"/>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EDF0FC"/>
            </w:tcBorders>
            <w:shd w:val="clear" w:color="auto" w:fill="EDF0FC"/>
          </w:tcPr>
          <w:p>
            <w:pPr>
              <w:jc w:val="right"/>
              <w:ind w:right="120"/>
              <w:spacing w:after="0"/>
              <w:rPr>
                <w:sz w:val="20"/>
                <w:szCs w:val="20"/>
                <w:color w:val="auto"/>
              </w:rPr>
            </w:pPr>
            <w:r>
              <w:rPr>
                <w:rFonts w:ascii="Arial" w:cs="Arial" w:eastAsia="Arial" w:hAnsi="Arial"/>
                <w:sz w:val="13"/>
                <w:szCs w:val="13"/>
                <w:color w:val="auto"/>
              </w:rPr>
              <w:t>598.62</w:t>
            </w:r>
          </w:p>
        </w:tc>
        <w:tc>
          <w:tcPr>
            <w:tcW w:w="740" w:type="dxa"/>
            <w:vAlign w:val="bottom"/>
            <w:tcBorders>
              <w:bottom w:val="single" w:sz="8" w:color="EDF0FC"/>
            </w:tcBorders>
            <w:shd w:val="clear" w:color="auto" w:fill="EDF0FC"/>
          </w:tcPr>
          <w:p>
            <w:pPr>
              <w:jc w:val="right"/>
              <w:spacing w:after="0"/>
              <w:rPr>
                <w:sz w:val="20"/>
                <w:szCs w:val="20"/>
                <w:color w:val="auto"/>
              </w:rPr>
            </w:pPr>
            <w:r>
              <w:rPr>
                <w:rFonts w:ascii="Arial" w:cs="Arial" w:eastAsia="Arial" w:hAnsi="Arial"/>
                <w:sz w:val="13"/>
                <w:szCs w:val="13"/>
                <w:color w:val="auto"/>
              </w:rPr>
              <w:t>800,166</w:t>
            </w:r>
          </w:p>
        </w:tc>
        <w:tc>
          <w:tcPr>
            <w:tcW w:w="0" w:type="dxa"/>
            <w:vAlign w:val="bottom"/>
          </w:tcPr>
          <w:p>
            <w:pPr>
              <w:spacing w:after="0"/>
              <w:rPr>
                <w:sz w:val="1"/>
                <w:szCs w:val="1"/>
                <w:color w:val="auto"/>
              </w:rPr>
            </w:pPr>
          </w:p>
        </w:tc>
      </w:tr>
      <w:tr>
        <w:trPr>
          <w:trHeight w:val="158"/>
        </w:trPr>
        <w:tc>
          <w:tcPr>
            <w:tcW w:w="1180" w:type="dxa"/>
            <w:vAlign w:val="bottom"/>
          </w:tcPr>
          <w:p>
            <w:pPr>
              <w:ind w:left="20"/>
              <w:spacing w:after="0"/>
              <w:rPr>
                <w:sz w:val="20"/>
                <w:szCs w:val="20"/>
                <w:color w:val="auto"/>
              </w:rPr>
            </w:pPr>
            <w:r>
              <w:rPr>
                <w:rFonts w:ascii="Arial" w:cs="Arial" w:eastAsia="Arial" w:hAnsi="Arial"/>
                <w:sz w:val="13"/>
                <w:szCs w:val="13"/>
                <w:b w:val="1"/>
                <w:bCs w:val="1"/>
                <w:color w:val="1A3FD6"/>
              </w:rPr>
              <w:t>Robert</w:t>
            </w:r>
          </w:p>
        </w:tc>
        <w:tc>
          <w:tcPr>
            <w:tcW w:w="940" w:type="dxa"/>
            <w:vAlign w:val="bottom"/>
            <w:gridSpan w:val="2"/>
            <w:vMerge w:val="restart"/>
          </w:tcPr>
          <w:p>
            <w:pPr>
              <w:jc w:val="right"/>
              <w:ind w:right="259"/>
              <w:spacing w:after="0"/>
              <w:rPr>
                <w:sz w:val="20"/>
                <w:szCs w:val="20"/>
                <w:color w:val="auto"/>
              </w:rPr>
            </w:pPr>
            <w:r>
              <w:rPr>
                <w:rFonts w:ascii="Arial" w:cs="Arial" w:eastAsia="Arial" w:hAnsi="Arial"/>
                <w:sz w:val="13"/>
                <w:szCs w:val="13"/>
                <w:color w:val="auto"/>
              </w:rPr>
              <w:t>AIP</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1/26/2024</w:t>
            </w:r>
          </w:p>
        </w:tc>
        <w:tc>
          <w:tcPr>
            <w:tcW w:w="840" w:type="dxa"/>
            <w:vAlign w:val="bottom"/>
            <w:vMerge w:val="restart"/>
          </w:tcPr>
          <w:p>
            <w:pPr>
              <w:ind w:left="640"/>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198"/>
              <w:spacing w:after="0"/>
              <w:rPr>
                <w:sz w:val="20"/>
                <w:szCs w:val="20"/>
                <w:color w:val="auto"/>
              </w:rPr>
            </w:pPr>
            <w:r>
              <w:rPr>
                <w:rFonts w:ascii="Arial" w:cs="Arial" w:eastAsia="Arial" w:hAnsi="Arial"/>
                <w:sz w:val="13"/>
                <w:szCs w:val="13"/>
                <w:color w:val="auto"/>
              </w:rPr>
              <w:t>650,000</w:t>
            </w:r>
          </w:p>
        </w:tc>
        <w:tc>
          <w:tcPr>
            <w:tcW w:w="840" w:type="dxa"/>
            <w:vAlign w:val="bottom"/>
            <w:vMerge w:val="restart"/>
          </w:tcPr>
          <w:p>
            <w:pPr>
              <w:jc w:val="right"/>
              <w:ind w:right="158"/>
              <w:spacing w:after="0"/>
              <w:rPr>
                <w:sz w:val="20"/>
                <w:szCs w:val="20"/>
                <w:color w:val="auto"/>
              </w:rPr>
            </w:pPr>
            <w:r>
              <w:rPr>
                <w:rFonts w:ascii="Arial" w:cs="Arial" w:eastAsia="Arial" w:hAnsi="Arial"/>
                <w:sz w:val="13"/>
                <w:szCs w:val="13"/>
                <w:color w:val="auto"/>
              </w:rPr>
              <w:t>975,000</w:t>
            </w:r>
          </w:p>
        </w:tc>
        <w:tc>
          <w:tcPr>
            <w:tcW w:w="740" w:type="dxa"/>
            <w:vAlign w:val="bottom"/>
            <w:vMerge w:val="restart"/>
          </w:tcPr>
          <w:p>
            <w:pPr>
              <w:jc w:val="center"/>
              <w:ind w:left="379"/>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ind w:right="218"/>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ind w:right="18"/>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121"/>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1"/>
        </w:trPr>
        <w:tc>
          <w:tcPr>
            <w:tcW w:w="1180" w:type="dxa"/>
            <w:vAlign w:val="bottom"/>
            <w:vMerge w:val="restart"/>
          </w:tcPr>
          <w:p>
            <w:pPr>
              <w:ind w:left="20"/>
              <w:spacing w:after="0"/>
              <w:rPr>
                <w:sz w:val="20"/>
                <w:szCs w:val="20"/>
                <w:color w:val="auto"/>
              </w:rPr>
            </w:pPr>
            <w:r>
              <w:rPr>
                <w:rFonts w:ascii="Arial" w:cs="Arial" w:eastAsia="Arial" w:hAnsi="Arial"/>
                <w:sz w:val="13"/>
                <w:szCs w:val="13"/>
                <w:b w:val="1"/>
                <w:bCs w:val="1"/>
                <w:color w:val="1A3FD6"/>
              </w:rPr>
              <w:t>J. Gutowski</w:t>
            </w:r>
          </w:p>
        </w:tc>
        <w:tc>
          <w:tcPr>
            <w:tcW w:w="94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118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1180" w:type="dxa"/>
            <w:vAlign w:val="bottom"/>
          </w:tcPr>
          <w:p>
            <w:pPr>
              <w:spacing w:after="0"/>
              <w:rPr>
                <w:sz w:val="24"/>
                <w:szCs w:val="24"/>
                <w:color w:val="auto"/>
              </w:rPr>
            </w:pPr>
          </w:p>
        </w:tc>
        <w:tc>
          <w:tcPr>
            <w:tcW w:w="940" w:type="dxa"/>
            <w:vAlign w:val="bottom"/>
            <w:gridSpan w:val="2"/>
          </w:tcPr>
          <w:p>
            <w:pPr>
              <w:jc w:val="right"/>
              <w:ind w:right="139"/>
              <w:spacing w:after="0"/>
              <w:rPr>
                <w:sz w:val="20"/>
                <w:szCs w:val="20"/>
                <w:color w:val="auto"/>
              </w:rPr>
            </w:pPr>
            <w:r>
              <w:rPr>
                <w:rFonts w:ascii="Arial" w:cs="Arial" w:eastAsia="Arial" w:hAnsi="Arial"/>
                <w:sz w:val="25"/>
                <w:szCs w:val="25"/>
                <w:color w:val="auto"/>
                <w:vertAlign w:val="subscript"/>
              </w:rPr>
              <w:t>RSU</w:t>
            </w:r>
            <w:r>
              <w:rPr>
                <w:rFonts w:ascii="Arial" w:cs="Arial" w:eastAsia="Arial" w:hAnsi="Arial"/>
                <w:sz w:val="8"/>
                <w:szCs w:val="8"/>
                <w:color w:val="auto"/>
              </w:rPr>
              <w:t xml:space="preserve"> (3)</w:t>
            </w:r>
          </w:p>
        </w:tc>
        <w:tc>
          <w:tcPr>
            <w:tcW w:w="800" w:type="dxa"/>
            <w:vAlign w:val="bottom"/>
          </w:tcPr>
          <w:p>
            <w:pPr>
              <w:jc w:val="right"/>
              <w:spacing w:after="0"/>
              <w:rPr>
                <w:sz w:val="20"/>
                <w:szCs w:val="20"/>
                <w:color w:val="auto"/>
              </w:rPr>
            </w:pPr>
            <w:r>
              <w:rPr>
                <w:rFonts w:ascii="Arial" w:cs="Arial" w:eastAsia="Arial" w:hAnsi="Arial"/>
                <w:sz w:val="13"/>
                <w:szCs w:val="13"/>
                <w:color w:val="auto"/>
              </w:rPr>
              <w:t>2/1/2024</w:t>
            </w:r>
          </w:p>
        </w:tc>
        <w:tc>
          <w:tcPr>
            <w:tcW w:w="1020" w:type="dxa"/>
            <w:vAlign w:val="bottom"/>
          </w:tcPr>
          <w:p>
            <w:pPr>
              <w:jc w:val="right"/>
              <w:spacing w:after="0"/>
              <w:rPr>
                <w:sz w:val="20"/>
                <w:szCs w:val="20"/>
                <w:color w:val="auto"/>
              </w:rPr>
            </w:pPr>
            <w:r>
              <w:rPr>
                <w:rFonts w:ascii="Arial" w:cs="Arial" w:eastAsia="Arial" w:hAnsi="Arial"/>
                <w:sz w:val="13"/>
                <w:szCs w:val="13"/>
                <w:color w:val="auto"/>
              </w:rPr>
              <w:t>1/26/2024</w:t>
            </w:r>
          </w:p>
        </w:tc>
        <w:tc>
          <w:tcPr>
            <w:tcW w:w="840" w:type="dxa"/>
            <w:vAlign w:val="bottom"/>
          </w:tcPr>
          <w:p>
            <w:pPr>
              <w:ind w:left="64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740" w:type="dxa"/>
            <w:vAlign w:val="bottom"/>
          </w:tcPr>
          <w:p>
            <w:pPr>
              <w:jc w:val="center"/>
              <w:ind w:left="379"/>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218"/>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21"/>
              <w:spacing w:after="0"/>
              <w:rPr>
                <w:sz w:val="20"/>
                <w:szCs w:val="20"/>
                <w:color w:val="auto"/>
              </w:rPr>
            </w:pPr>
            <w:r>
              <w:rPr>
                <w:rFonts w:ascii="Arial" w:cs="Arial" w:eastAsia="Arial" w:hAnsi="Arial"/>
                <w:sz w:val="13"/>
                <w:szCs w:val="13"/>
                <w:color w:val="auto"/>
              </w:rPr>
              <w:t>727</w:t>
            </w:r>
          </w:p>
        </w:tc>
        <w:tc>
          <w:tcPr>
            <w:tcW w:w="700" w:type="dxa"/>
            <w:vAlign w:val="bottom"/>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435,197</w:t>
            </w:r>
          </w:p>
        </w:tc>
        <w:tc>
          <w:tcPr>
            <w:tcW w:w="0" w:type="dxa"/>
            <w:vAlign w:val="bottom"/>
          </w:tcPr>
          <w:p>
            <w:pPr>
              <w:spacing w:after="0"/>
              <w:rPr>
                <w:sz w:val="1"/>
                <w:szCs w:val="1"/>
                <w:color w:val="auto"/>
              </w:rPr>
            </w:pPr>
          </w:p>
        </w:tc>
      </w:tr>
      <w:tr>
        <w:trPr>
          <w:trHeight w:val="310"/>
        </w:trPr>
        <w:tc>
          <w:tcPr>
            <w:tcW w:w="1180" w:type="dxa"/>
            <w:vAlign w:val="bottom"/>
          </w:tcPr>
          <w:p>
            <w:pPr>
              <w:spacing w:after="0"/>
              <w:rPr>
                <w:sz w:val="24"/>
                <w:szCs w:val="24"/>
                <w:color w:val="auto"/>
              </w:rPr>
            </w:pPr>
          </w:p>
        </w:tc>
        <w:tc>
          <w:tcPr>
            <w:tcW w:w="940" w:type="dxa"/>
            <w:vAlign w:val="bottom"/>
            <w:gridSpan w:val="2"/>
          </w:tcPr>
          <w:p>
            <w:pPr>
              <w:jc w:val="right"/>
              <w:ind w:right="139"/>
              <w:spacing w:after="0"/>
              <w:rPr>
                <w:sz w:val="20"/>
                <w:szCs w:val="20"/>
                <w:color w:val="auto"/>
              </w:rPr>
            </w:pPr>
            <w:r>
              <w:rPr>
                <w:rFonts w:ascii="Arial" w:cs="Arial" w:eastAsia="Arial" w:hAnsi="Arial"/>
                <w:sz w:val="25"/>
                <w:szCs w:val="25"/>
                <w:color w:val="auto"/>
                <w:vertAlign w:val="subscript"/>
              </w:rPr>
              <w:t>PSU</w:t>
            </w:r>
            <w:r>
              <w:rPr>
                <w:rFonts w:ascii="Arial" w:cs="Arial" w:eastAsia="Arial" w:hAnsi="Arial"/>
                <w:sz w:val="8"/>
                <w:szCs w:val="8"/>
                <w:color w:val="auto"/>
              </w:rPr>
              <w:t xml:space="preserve"> (4)</w:t>
            </w:r>
          </w:p>
        </w:tc>
        <w:tc>
          <w:tcPr>
            <w:tcW w:w="800" w:type="dxa"/>
            <w:vAlign w:val="bottom"/>
          </w:tcPr>
          <w:p>
            <w:pPr>
              <w:jc w:val="right"/>
              <w:spacing w:after="0"/>
              <w:rPr>
                <w:sz w:val="20"/>
                <w:szCs w:val="20"/>
                <w:color w:val="auto"/>
              </w:rPr>
            </w:pPr>
            <w:r>
              <w:rPr>
                <w:rFonts w:ascii="Arial" w:cs="Arial" w:eastAsia="Arial" w:hAnsi="Arial"/>
                <w:sz w:val="13"/>
                <w:szCs w:val="13"/>
                <w:color w:val="auto"/>
              </w:rPr>
              <w:t>2/1/2024</w:t>
            </w:r>
          </w:p>
        </w:tc>
        <w:tc>
          <w:tcPr>
            <w:tcW w:w="1020" w:type="dxa"/>
            <w:vAlign w:val="bottom"/>
          </w:tcPr>
          <w:p>
            <w:pPr>
              <w:jc w:val="right"/>
              <w:spacing w:after="0"/>
              <w:rPr>
                <w:sz w:val="20"/>
                <w:szCs w:val="20"/>
                <w:color w:val="auto"/>
              </w:rPr>
            </w:pPr>
            <w:r>
              <w:rPr>
                <w:rFonts w:ascii="Arial" w:cs="Arial" w:eastAsia="Arial" w:hAnsi="Arial"/>
                <w:sz w:val="13"/>
                <w:szCs w:val="13"/>
                <w:color w:val="auto"/>
              </w:rPr>
              <w:t>1/26/2024</w:t>
            </w:r>
          </w:p>
        </w:tc>
        <w:tc>
          <w:tcPr>
            <w:tcW w:w="840" w:type="dxa"/>
            <w:vAlign w:val="bottom"/>
          </w:tcPr>
          <w:p>
            <w:pPr>
              <w:ind w:left="64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98"/>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58"/>
              <w:spacing w:after="0"/>
              <w:rPr>
                <w:sz w:val="20"/>
                <w:szCs w:val="20"/>
                <w:color w:val="auto"/>
              </w:rPr>
            </w:pPr>
            <w:r>
              <w:rPr>
                <w:rFonts w:ascii="Arial" w:cs="Arial" w:eastAsia="Arial" w:hAnsi="Arial"/>
                <w:sz w:val="13"/>
                <w:szCs w:val="13"/>
                <w:color w:val="auto"/>
              </w:rPr>
              <w:t>—</w:t>
            </w:r>
          </w:p>
        </w:tc>
        <w:tc>
          <w:tcPr>
            <w:tcW w:w="740" w:type="dxa"/>
            <w:vAlign w:val="bottom"/>
          </w:tcPr>
          <w:p>
            <w:pPr>
              <w:jc w:val="center"/>
              <w:ind w:left="379"/>
              <w:spacing w:after="0"/>
              <w:rPr>
                <w:sz w:val="20"/>
                <w:szCs w:val="20"/>
                <w:color w:val="auto"/>
              </w:rPr>
            </w:pPr>
            <w:r>
              <w:rPr>
                <w:rFonts w:ascii="Arial" w:cs="Arial" w:eastAsia="Arial" w:hAnsi="Arial"/>
                <w:sz w:val="13"/>
                <w:szCs w:val="13"/>
                <w:color w:val="auto"/>
              </w:rPr>
              <w:t>216</w:t>
            </w:r>
          </w:p>
        </w:tc>
        <w:tc>
          <w:tcPr>
            <w:tcW w:w="960" w:type="dxa"/>
            <w:vAlign w:val="bottom"/>
          </w:tcPr>
          <w:p>
            <w:pPr>
              <w:jc w:val="right"/>
              <w:ind w:right="218"/>
              <w:spacing w:after="0"/>
              <w:rPr>
                <w:sz w:val="20"/>
                <w:szCs w:val="20"/>
                <w:color w:val="auto"/>
              </w:rPr>
            </w:pPr>
            <w:r>
              <w:rPr>
                <w:rFonts w:ascii="Arial" w:cs="Arial" w:eastAsia="Arial" w:hAnsi="Arial"/>
                <w:sz w:val="13"/>
                <w:szCs w:val="13"/>
                <w:color w:val="auto"/>
              </w:rPr>
              <w:t>866</w:t>
            </w:r>
          </w:p>
        </w:tc>
        <w:tc>
          <w:tcPr>
            <w:tcW w:w="560" w:type="dxa"/>
            <w:vAlign w:val="bottom"/>
          </w:tcPr>
          <w:p>
            <w:pPr>
              <w:jc w:val="right"/>
              <w:ind w:right="18"/>
              <w:spacing w:after="0"/>
              <w:rPr>
                <w:sz w:val="20"/>
                <w:szCs w:val="20"/>
                <w:color w:val="auto"/>
              </w:rPr>
            </w:pPr>
            <w:r>
              <w:rPr>
                <w:rFonts w:ascii="Arial" w:cs="Arial" w:eastAsia="Arial" w:hAnsi="Arial"/>
                <w:sz w:val="13"/>
                <w:szCs w:val="13"/>
                <w:color w:val="auto"/>
              </w:rPr>
              <w:t>1,732</w:t>
            </w:r>
          </w:p>
        </w:tc>
        <w:tc>
          <w:tcPr>
            <w:tcW w:w="860" w:type="dxa"/>
            <w:vAlign w:val="bottom"/>
          </w:tcPr>
          <w:p>
            <w:pPr>
              <w:jc w:val="right"/>
              <w:ind w:right="121"/>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435,251</w:t>
            </w:r>
          </w:p>
        </w:tc>
        <w:tc>
          <w:tcPr>
            <w:tcW w:w="0" w:type="dxa"/>
            <w:vAlign w:val="bottom"/>
          </w:tcPr>
          <w:p>
            <w:pPr>
              <w:spacing w:after="0"/>
              <w:rPr>
                <w:sz w:val="1"/>
                <w:szCs w:val="1"/>
                <w:color w:val="auto"/>
              </w:rPr>
            </w:pPr>
          </w:p>
        </w:tc>
      </w:tr>
      <w:tr>
        <w:trPr>
          <w:trHeight w:val="225"/>
        </w:trPr>
        <w:tc>
          <w:tcPr>
            <w:tcW w:w="1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3"/>
                <w:szCs w:val="13"/>
                <w:color w:val="auto"/>
              </w:rPr>
              <w:t xml:space="preserve">PSO </w:t>
            </w:r>
            <w:r>
              <w:rPr>
                <w:rFonts w:ascii="Arial" w:cs="Arial" w:eastAsia="Arial" w:hAnsi="Arial"/>
                <w:sz w:val="16"/>
                <w:szCs w:val="16"/>
                <w:color w:val="auto"/>
                <w:vertAlign w:val="superscript"/>
              </w:rPr>
              <w:t>(5)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2/1/2024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1/26/2024</w:t>
            </w: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center"/>
              <w:ind w:left="379"/>
              <w:spacing w:after="0"/>
              <w:rPr>
                <w:sz w:val="20"/>
                <w:szCs w:val="20"/>
                <w:color w:val="auto"/>
              </w:rPr>
            </w:pPr>
            <w:r>
              <w:rPr>
                <w:rFonts w:ascii="Arial" w:cs="Arial" w:eastAsia="Arial" w:hAnsi="Arial"/>
                <w:sz w:val="13"/>
                <w:szCs w:val="13"/>
                <w:color w:val="auto"/>
              </w:rPr>
              <w:t>652</w:t>
            </w:r>
          </w:p>
        </w:tc>
        <w:tc>
          <w:tcPr>
            <w:tcW w:w="96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color w:val="auto"/>
              </w:rPr>
              <w:t>2,609</w:t>
            </w:r>
          </w:p>
        </w:tc>
        <w:tc>
          <w:tcPr>
            <w:tcW w:w="56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5,218</w:t>
            </w:r>
          </w:p>
        </w:tc>
        <w:tc>
          <w:tcPr>
            <w:tcW w:w="86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color w:val="auto"/>
              </w:rPr>
              <w:t>598.62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580,059</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0" w:hanging="192"/>
        <w:spacing w:after="0" w:line="239" w:lineRule="auto"/>
        <w:tabs>
          <w:tab w:leader="none" w:pos="187" w:val="left"/>
        </w:tabs>
        <w:numPr>
          <w:ilvl w:val="0"/>
          <w:numId w:val="92"/>
        </w:numPr>
        <w:rPr>
          <w:rFonts w:ascii="Arial" w:cs="Arial" w:eastAsia="Arial" w:hAnsi="Arial"/>
          <w:sz w:val="19"/>
          <w:szCs w:val="19"/>
          <w:color w:val="auto"/>
          <w:vertAlign w:val="superscript"/>
        </w:rPr>
      </w:pPr>
      <w:r>
        <w:rPr>
          <w:rFonts w:ascii="Arial" w:cs="Arial" w:eastAsia="Arial" w:hAnsi="Arial"/>
          <w:sz w:val="14"/>
          <w:szCs w:val="14"/>
          <w:color w:val="auto"/>
        </w:rPr>
        <w:t>Represents the target and maximum payouts with respect to the AIP for 2024. There are no threshold or minimum payouts under the AIP. For additional information regarding the AIP, see “Compensation Discussion and Analysis–Variable Compensation–Annual Cash Incentives” above.</w:t>
      </w:r>
    </w:p>
    <w:p>
      <w:pPr>
        <w:spacing w:after="0" w:line="25"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92"/>
        </w:numPr>
        <w:rPr>
          <w:rFonts w:ascii="Arial" w:cs="Arial" w:eastAsia="Arial" w:hAnsi="Arial"/>
          <w:sz w:val="19"/>
          <w:szCs w:val="19"/>
          <w:color w:val="auto"/>
          <w:vertAlign w:val="superscript"/>
        </w:rPr>
      </w:pPr>
      <w:r>
        <w:rPr>
          <w:rFonts w:ascii="Arial" w:cs="Arial" w:eastAsia="Arial" w:hAnsi="Arial"/>
          <w:sz w:val="14"/>
          <w:szCs w:val="14"/>
          <w:color w:val="auto"/>
        </w:rPr>
        <w:t>Mr. Pettit’s 2024 AIP payment was £868,320.</w:t>
      </w:r>
    </w:p>
    <w:p>
      <w:pPr>
        <w:spacing w:after="0" w:line="53"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92"/>
        </w:numPr>
        <w:rPr>
          <w:rFonts w:ascii="Arial" w:cs="Arial" w:eastAsia="Arial" w:hAnsi="Arial"/>
          <w:sz w:val="9"/>
          <w:szCs w:val="9"/>
          <w:color w:val="auto"/>
        </w:rPr>
      </w:pPr>
      <w:r>
        <w:rPr>
          <w:rFonts w:ascii="Arial" w:cs="Arial" w:eastAsia="Arial" w:hAnsi="Arial"/>
          <w:sz w:val="14"/>
          <w:szCs w:val="14"/>
          <w:color w:val="auto"/>
        </w:rPr>
        <w:t>Represents service vesting RSUs granted during 2024 that cliff-vest on February 1, 2027, subject to continued service through the vesting date.</w:t>
      </w:r>
    </w:p>
    <w:p>
      <w:pPr>
        <w:spacing w:after="0" w:line="68" w:lineRule="exact"/>
        <w:rPr>
          <w:rFonts w:ascii="Arial" w:cs="Arial" w:eastAsia="Arial" w:hAnsi="Arial"/>
          <w:sz w:val="9"/>
          <w:szCs w:val="9"/>
          <w:color w:val="auto"/>
        </w:rPr>
      </w:pPr>
    </w:p>
    <w:p>
      <w:pPr>
        <w:ind w:left="200" w:right="80" w:hanging="192"/>
        <w:spacing w:after="0" w:line="303" w:lineRule="auto"/>
        <w:tabs>
          <w:tab w:leader="none" w:pos="187" w:val="left"/>
        </w:tabs>
        <w:numPr>
          <w:ilvl w:val="0"/>
          <w:numId w:val="92"/>
        </w:numPr>
        <w:rPr>
          <w:rFonts w:ascii="Arial" w:cs="Arial" w:eastAsia="Arial" w:hAnsi="Arial"/>
          <w:sz w:val="9"/>
          <w:szCs w:val="9"/>
          <w:color w:val="auto"/>
        </w:rPr>
      </w:pPr>
      <w:r>
        <w:rPr>
          <w:rFonts w:ascii="Arial" w:cs="Arial" w:eastAsia="Arial" w:hAnsi="Arial"/>
          <w:sz w:val="14"/>
          <w:szCs w:val="14"/>
          <w:color w:val="auto"/>
        </w:rPr>
        <w:t>Represents the target number of PSUs granted during 2024 that cliff-vest at the end of a three-year performance period from February 1, 2024 to January 31, 2027, subject to achievement of a TSR CAGR performance metric and continued service through the last day of the performance period. The actual number of PSUs will be determined at the end of the performance period and may be adjusted down to 0% or up to 200% of the target amount.</w:t>
      </w:r>
    </w:p>
    <w:p>
      <w:pPr>
        <w:spacing w:after="0" w:line="11" w:lineRule="exact"/>
        <w:rPr>
          <w:rFonts w:ascii="Arial" w:cs="Arial" w:eastAsia="Arial" w:hAnsi="Arial"/>
          <w:sz w:val="9"/>
          <w:szCs w:val="9"/>
          <w:color w:val="auto"/>
        </w:rPr>
      </w:pPr>
    </w:p>
    <w:p>
      <w:pPr>
        <w:ind w:left="200" w:right="60" w:hanging="192"/>
        <w:spacing w:after="0" w:line="258" w:lineRule="auto"/>
        <w:tabs>
          <w:tab w:leader="none" w:pos="187" w:val="left"/>
        </w:tabs>
        <w:numPr>
          <w:ilvl w:val="0"/>
          <w:numId w:val="92"/>
        </w:numPr>
        <w:rPr>
          <w:rFonts w:ascii="Arial" w:cs="Arial" w:eastAsia="Arial" w:hAnsi="Arial"/>
          <w:sz w:val="19"/>
          <w:szCs w:val="19"/>
          <w:color w:val="auto"/>
          <w:vertAlign w:val="superscript"/>
        </w:rPr>
      </w:pPr>
      <w:r>
        <w:rPr>
          <w:rFonts w:ascii="Arial" w:cs="Arial" w:eastAsia="Arial" w:hAnsi="Arial"/>
          <w:sz w:val="14"/>
          <w:szCs w:val="14"/>
          <w:color w:val="auto"/>
        </w:rPr>
        <w:t>Represents the target number of PSOs granted during 2024 that cliff-vest and become exercisable on the third anniversary of the grant date, subject to the combined level of achievement of (i) a cumulative revenue performance goal and (ii) a cumulative adjusted EPS performance goal, in each case measured over a cumulative three-year performance period from January 1, 2024 to December 31, 2026. The actual number of PSOs will be determined at the end of the performance period and may be adjusted down to 0% or up to 200% of the target amount.</w:t>
      </w:r>
    </w:p>
    <w:p>
      <w:pPr>
        <w:spacing w:after="0" w:line="42" w:lineRule="exact"/>
        <w:rPr>
          <w:rFonts w:ascii="Arial" w:cs="Arial" w:eastAsia="Arial" w:hAnsi="Arial"/>
          <w:sz w:val="19"/>
          <w:szCs w:val="19"/>
          <w:color w:val="auto"/>
          <w:vertAlign w:val="superscript"/>
        </w:rPr>
      </w:pPr>
    </w:p>
    <w:p>
      <w:pPr>
        <w:ind w:left="200" w:right="140" w:hanging="192"/>
        <w:spacing w:after="0" w:line="290" w:lineRule="auto"/>
        <w:tabs>
          <w:tab w:leader="none" w:pos="187" w:val="left"/>
        </w:tabs>
        <w:numPr>
          <w:ilvl w:val="0"/>
          <w:numId w:val="92"/>
        </w:numPr>
        <w:rPr>
          <w:rFonts w:ascii="Arial" w:cs="Arial" w:eastAsia="Arial" w:hAnsi="Arial"/>
          <w:sz w:val="9"/>
          <w:szCs w:val="9"/>
          <w:color w:val="auto"/>
        </w:rPr>
      </w:pPr>
      <w:r>
        <w:rPr>
          <w:rFonts w:ascii="Arial" w:cs="Arial" w:eastAsia="Arial" w:hAnsi="Arial"/>
          <w:sz w:val="14"/>
          <w:szCs w:val="14"/>
          <w:color w:val="auto"/>
        </w:rPr>
        <w:t>Represents the grant date fair value of stock and option awards as computed in accordance with FASB ASC Subtopic 718-10. The grant date fair value for the RSUs was based on the closing share price of MSCI common stock on the trading day preceding the grant date or service inception date. For PSUs, the grant date fair value is based on the probable outcome of the performance conditions as of the grant date, consistent with the estimate of aggregate compensation cost to be recognized over the service period determined as of the grant date under FASB ASC Subtopic 718-10. For PSOs, the grant date fair value was calculated using the Black-Scholes option pricing model, in accordance with FASB ASC Subtopic 718-10. For the values of the PSUs and PSOs, assuming attainment of the maximum level of the performance conditions, see footnote 2 to the “Summary Compensation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683895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8420"/>
              <w:spacing w:after="0"/>
              <w:rPr>
                <w:sz w:val="20"/>
                <w:szCs w:val="20"/>
                <w:color w:val="auto"/>
              </w:rPr>
            </w:pPr>
            <w:r>
              <w:rPr>
                <w:rFonts w:ascii="Arial" w:cs="Arial" w:eastAsia="Arial" w:hAnsi="Arial"/>
                <w:sz w:val="14"/>
                <w:szCs w:val="14"/>
                <w:b w:val="1"/>
                <w:bCs w:val="1"/>
                <w:color w:val="1A3FD6"/>
              </w:rPr>
              <w:t>Compensation Matters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87</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384"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Outstanding Equity Awards at Fiscal Year-End</w:t>
      </w:r>
    </w:p>
    <w:p>
      <w:pPr>
        <w:spacing w:after="0" w:line="200"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The following table shows the number of shares covered by outstanding PSOs, RSUs, PSUs held by each of our NEOs on December 31, 2024, which units remain subject to forfeiture and cancellation provisions.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400" w:type="dxa"/>
            <w:vAlign w:val="bottom"/>
          </w:tcPr>
          <w:p>
            <w:pPr>
              <w:spacing w:after="0"/>
              <w:rPr>
                <w:sz w:val="17"/>
                <w:szCs w:val="17"/>
                <w:color w:val="auto"/>
              </w:rPr>
            </w:pPr>
          </w:p>
        </w:tc>
        <w:tc>
          <w:tcPr>
            <w:tcW w:w="1160" w:type="dxa"/>
            <w:vAlign w:val="bottom"/>
            <w:tcBorders>
              <w:bottom w:val="single" w:sz="8" w:color="1A3FD6"/>
            </w:tcBorders>
          </w:tcPr>
          <w:p>
            <w:pPr>
              <w:spacing w:after="0"/>
              <w:rPr>
                <w:sz w:val="17"/>
                <w:szCs w:val="17"/>
                <w:color w:val="auto"/>
              </w:rPr>
            </w:pPr>
          </w:p>
        </w:tc>
        <w:tc>
          <w:tcPr>
            <w:tcW w:w="1440" w:type="dxa"/>
            <w:vAlign w:val="bottom"/>
            <w:tcBorders>
              <w:bottom w:val="single" w:sz="8" w:color="1A3FD6"/>
            </w:tcBorders>
            <w:gridSpan w:val="2"/>
          </w:tcPr>
          <w:p>
            <w:pPr>
              <w:jc w:val="right"/>
              <w:ind w:right="261"/>
              <w:spacing w:after="0"/>
              <w:rPr>
                <w:sz w:val="20"/>
                <w:szCs w:val="20"/>
                <w:color w:val="auto"/>
              </w:rPr>
            </w:pPr>
            <w:r>
              <w:rPr>
                <w:rFonts w:ascii="Arial" w:cs="Arial" w:eastAsia="Arial" w:hAnsi="Arial"/>
                <w:sz w:val="14"/>
                <w:szCs w:val="14"/>
                <w:b w:val="1"/>
                <w:bCs w:val="1"/>
                <w:color w:val="auto"/>
              </w:rPr>
              <w:t>Option Awards</w:t>
            </w:r>
          </w:p>
        </w:tc>
        <w:tc>
          <w:tcPr>
            <w:tcW w:w="1100" w:type="dxa"/>
            <w:vAlign w:val="bottom"/>
            <w:tcBorders>
              <w:bottom w:val="single" w:sz="8" w:color="1A3FD6"/>
            </w:tcBorders>
          </w:tcPr>
          <w:p>
            <w:pPr>
              <w:spacing w:after="0"/>
              <w:rPr>
                <w:sz w:val="17"/>
                <w:szCs w:val="17"/>
                <w:color w:val="auto"/>
              </w:rPr>
            </w:pPr>
          </w:p>
        </w:tc>
        <w:tc>
          <w:tcPr>
            <w:tcW w:w="1380" w:type="dxa"/>
            <w:vAlign w:val="bottom"/>
            <w:tcBorders>
              <w:bottom w:val="single" w:sz="8" w:color="1A3FD6"/>
            </w:tcBorders>
          </w:tcPr>
          <w:p>
            <w:pPr>
              <w:spacing w:after="0"/>
              <w:rPr>
                <w:sz w:val="17"/>
                <w:szCs w:val="17"/>
                <w:color w:val="auto"/>
              </w:rPr>
            </w:pPr>
          </w:p>
        </w:tc>
        <w:tc>
          <w:tcPr>
            <w:tcW w:w="2580" w:type="dxa"/>
            <w:vAlign w:val="bottom"/>
            <w:tcBorders>
              <w:bottom w:val="single" w:sz="8" w:color="1A3FD6"/>
            </w:tcBorders>
            <w:gridSpan w:val="2"/>
          </w:tcPr>
          <w:p>
            <w:pPr>
              <w:jc w:val="right"/>
              <w:ind w:right="925"/>
              <w:spacing w:after="0"/>
              <w:rPr>
                <w:sz w:val="20"/>
                <w:szCs w:val="20"/>
                <w:color w:val="auto"/>
              </w:rPr>
            </w:pPr>
            <w:r>
              <w:rPr>
                <w:rFonts w:ascii="Arial" w:cs="Arial" w:eastAsia="Arial" w:hAnsi="Arial"/>
                <w:sz w:val="14"/>
                <w:szCs w:val="14"/>
                <w:b w:val="1"/>
                <w:bCs w:val="1"/>
                <w:color w:val="auto"/>
              </w:rPr>
              <w:t>Stock Awards</w:t>
            </w:r>
          </w:p>
        </w:tc>
        <w:tc>
          <w:tcPr>
            <w:tcW w:w="1180" w:type="dxa"/>
            <w:vAlign w:val="bottom"/>
            <w:tcBorders>
              <w:bottom w:val="single" w:sz="8" w:color="1A3FD6"/>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Incentive</w:t>
            </w: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tcPr>
          <w:p>
            <w:pPr>
              <w:jc w:val="right"/>
              <w:ind w:right="145"/>
              <w:spacing w:after="0"/>
              <w:rPr>
                <w:sz w:val="20"/>
                <w:szCs w:val="20"/>
                <w:color w:val="auto"/>
              </w:rPr>
            </w:pPr>
            <w:r>
              <w:rPr>
                <w:rFonts w:ascii="Arial" w:cs="Arial" w:eastAsia="Arial" w:hAnsi="Arial"/>
                <w:sz w:val="14"/>
                <w:szCs w:val="14"/>
                <w:b w:val="1"/>
                <w:bCs w:val="1"/>
                <w:color w:val="auto"/>
              </w:rPr>
              <w:t>Equity</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Plan Awards:</w:t>
            </w: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Equity</w:t>
            </w: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jc w:val="right"/>
              <w:ind w:right="145"/>
              <w:spacing w:after="0"/>
              <w:rPr>
                <w:sz w:val="20"/>
                <w:szCs w:val="20"/>
                <w:color w:val="auto"/>
              </w:rPr>
            </w:pPr>
            <w:r>
              <w:rPr>
                <w:rFonts w:ascii="Arial" w:cs="Arial" w:eastAsia="Arial" w:hAnsi="Arial"/>
                <w:sz w:val="14"/>
                <w:szCs w:val="14"/>
                <w:b w:val="1"/>
                <w:bCs w:val="1"/>
                <w:color w:val="auto"/>
              </w:rPr>
              <w:t>Incentive</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Incentive</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80" w:type="dxa"/>
            <w:vAlign w:val="bottom"/>
          </w:tcPr>
          <w:p>
            <w:pPr>
              <w:jc w:val="right"/>
              <w:ind w:right="145"/>
              <w:spacing w:after="0"/>
              <w:rPr>
                <w:sz w:val="20"/>
                <w:szCs w:val="20"/>
                <w:color w:val="auto"/>
              </w:rPr>
            </w:pPr>
            <w:r>
              <w:rPr>
                <w:rFonts w:ascii="Arial" w:cs="Arial" w:eastAsia="Arial" w:hAnsi="Arial"/>
                <w:sz w:val="14"/>
                <w:szCs w:val="14"/>
                <w:b w:val="1"/>
                <w:bCs w:val="1"/>
                <w:color w:val="auto"/>
              </w:rPr>
              <w:t>Plan Awards:</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Plan Awards:</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0" w:type="dxa"/>
            <w:vAlign w:val="bottom"/>
          </w:tcPr>
          <w:p>
            <w:pPr>
              <w:jc w:val="right"/>
              <w:ind w:right="167"/>
              <w:spacing w:after="0"/>
              <w:rPr>
                <w:sz w:val="20"/>
                <w:szCs w:val="20"/>
                <w:color w:val="auto"/>
              </w:rPr>
            </w:pPr>
            <w:r>
              <w:rPr>
                <w:rFonts w:ascii="Arial" w:cs="Arial" w:eastAsia="Arial" w:hAnsi="Arial"/>
                <w:sz w:val="14"/>
                <w:szCs w:val="14"/>
                <w:b w:val="1"/>
                <w:bCs w:val="1"/>
                <w:color w:val="auto"/>
              </w:rPr>
              <w:t>Market</w:t>
            </w:r>
          </w:p>
        </w:tc>
        <w:tc>
          <w:tcPr>
            <w:tcW w:w="1380" w:type="dxa"/>
            <w:vAlign w:val="bottom"/>
          </w:tcPr>
          <w:p>
            <w:pPr>
              <w:jc w:val="right"/>
              <w:ind w:right="145"/>
              <w:spacing w:after="0"/>
              <w:rPr>
                <w:sz w:val="20"/>
                <w:szCs w:val="20"/>
                <w:color w:val="auto"/>
              </w:rPr>
            </w:pPr>
            <w:r>
              <w:rPr>
                <w:rFonts w:ascii="Arial" w:cs="Arial" w:eastAsia="Arial" w:hAnsi="Arial"/>
                <w:sz w:val="14"/>
                <w:szCs w:val="14"/>
                <w:b w:val="1"/>
                <w:bCs w:val="1"/>
                <w:color w:val="auto"/>
              </w:rPr>
              <w:t>Number of</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80" w:type="dxa"/>
            <w:vAlign w:val="bottom"/>
          </w:tcPr>
          <w:p>
            <w:pPr>
              <w:jc w:val="right"/>
              <w:ind w:right="124"/>
              <w:spacing w:after="0"/>
              <w:rPr>
                <w:sz w:val="20"/>
                <w:szCs w:val="20"/>
                <w:color w:val="auto"/>
              </w:rPr>
            </w:pPr>
            <w:r>
              <w:rPr>
                <w:rFonts w:ascii="Arial" w:cs="Arial" w:eastAsia="Arial" w:hAnsi="Arial"/>
                <w:sz w:val="14"/>
                <w:szCs w:val="14"/>
                <w:b w:val="1"/>
                <w:bCs w:val="1"/>
                <w:color w:val="auto"/>
              </w:rPr>
              <w:t>Number of</w:t>
            </w:r>
          </w:p>
        </w:tc>
        <w:tc>
          <w:tcPr>
            <w:tcW w:w="1200" w:type="dxa"/>
            <w:vAlign w:val="bottom"/>
          </w:tcPr>
          <w:p>
            <w:pPr>
              <w:jc w:val="right"/>
              <w:ind w:right="167"/>
              <w:spacing w:after="0"/>
              <w:rPr>
                <w:sz w:val="20"/>
                <w:szCs w:val="20"/>
                <w:color w:val="auto"/>
              </w:rPr>
            </w:pPr>
            <w:r>
              <w:rPr>
                <w:rFonts w:ascii="Arial" w:cs="Arial" w:eastAsia="Arial" w:hAnsi="Arial"/>
                <w:sz w:val="14"/>
                <w:szCs w:val="14"/>
                <w:b w:val="1"/>
                <w:bCs w:val="1"/>
                <w:color w:val="auto"/>
              </w:rPr>
              <w:t>Value of</w:t>
            </w:r>
          </w:p>
        </w:tc>
        <w:tc>
          <w:tcPr>
            <w:tcW w:w="1380" w:type="dxa"/>
            <w:vAlign w:val="bottom"/>
          </w:tcPr>
          <w:p>
            <w:pPr>
              <w:jc w:val="right"/>
              <w:ind w:right="145"/>
              <w:spacing w:after="0"/>
              <w:rPr>
                <w:sz w:val="20"/>
                <w:szCs w:val="20"/>
                <w:color w:val="auto"/>
              </w:rPr>
            </w:pPr>
            <w:r>
              <w:rPr>
                <w:rFonts w:ascii="Arial" w:cs="Arial" w:eastAsia="Arial" w:hAnsi="Arial"/>
                <w:sz w:val="14"/>
                <w:szCs w:val="14"/>
                <w:b w:val="1"/>
                <w:bCs w:val="1"/>
                <w:color w:val="auto"/>
              </w:rPr>
              <w:t>Unearned</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Unearned</w:t>
            </w: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Securities</w:t>
            </w: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jc w:val="right"/>
              <w:ind w:right="124"/>
              <w:spacing w:after="0"/>
              <w:rPr>
                <w:sz w:val="20"/>
                <w:szCs w:val="20"/>
                <w:color w:val="auto"/>
              </w:rPr>
            </w:pPr>
            <w:r>
              <w:rPr>
                <w:rFonts w:ascii="Arial" w:cs="Arial" w:eastAsia="Arial" w:hAnsi="Arial"/>
                <w:sz w:val="14"/>
                <w:szCs w:val="14"/>
                <w:b w:val="1"/>
                <w:bCs w:val="1"/>
                <w:color w:val="auto"/>
              </w:rPr>
              <w:t>Shares or</w:t>
            </w:r>
          </w:p>
        </w:tc>
        <w:tc>
          <w:tcPr>
            <w:tcW w:w="1200" w:type="dxa"/>
            <w:vAlign w:val="bottom"/>
          </w:tcPr>
          <w:p>
            <w:pPr>
              <w:jc w:val="right"/>
              <w:ind w:right="167"/>
              <w:spacing w:after="0"/>
              <w:rPr>
                <w:sz w:val="20"/>
                <w:szCs w:val="20"/>
                <w:color w:val="auto"/>
              </w:rPr>
            </w:pPr>
            <w:r>
              <w:rPr>
                <w:rFonts w:ascii="Arial" w:cs="Arial" w:eastAsia="Arial" w:hAnsi="Arial"/>
                <w:sz w:val="14"/>
                <w:szCs w:val="14"/>
                <w:b w:val="1"/>
                <w:bCs w:val="1"/>
                <w:color w:val="auto"/>
              </w:rPr>
              <w:t>Shares or</w:t>
            </w:r>
          </w:p>
        </w:tc>
        <w:tc>
          <w:tcPr>
            <w:tcW w:w="1380" w:type="dxa"/>
            <w:vAlign w:val="bottom"/>
          </w:tcPr>
          <w:p>
            <w:pPr>
              <w:jc w:val="right"/>
              <w:ind w:right="145"/>
              <w:spacing w:after="0"/>
              <w:rPr>
                <w:sz w:val="20"/>
                <w:szCs w:val="20"/>
                <w:color w:val="auto"/>
              </w:rPr>
            </w:pPr>
            <w:r>
              <w:rPr>
                <w:rFonts w:ascii="Arial" w:cs="Arial" w:eastAsia="Arial" w:hAnsi="Arial"/>
                <w:sz w:val="14"/>
                <w:szCs w:val="14"/>
                <w:b w:val="1"/>
                <w:bCs w:val="1"/>
                <w:color w:val="auto"/>
              </w:rPr>
              <w:t>Shares, Units</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Shares, Units</w:t>
            </w: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Underlying</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80" w:type="dxa"/>
            <w:vAlign w:val="bottom"/>
          </w:tcPr>
          <w:p>
            <w:pPr>
              <w:jc w:val="right"/>
              <w:ind w:right="124"/>
              <w:spacing w:after="0"/>
              <w:rPr>
                <w:sz w:val="20"/>
                <w:szCs w:val="20"/>
                <w:color w:val="auto"/>
              </w:rPr>
            </w:pPr>
            <w:r>
              <w:rPr>
                <w:rFonts w:ascii="Arial" w:cs="Arial" w:eastAsia="Arial" w:hAnsi="Arial"/>
                <w:sz w:val="14"/>
                <w:szCs w:val="14"/>
                <w:b w:val="1"/>
                <w:bCs w:val="1"/>
                <w:color w:val="auto"/>
              </w:rPr>
              <w:t>Units of Stock</w:t>
            </w:r>
          </w:p>
        </w:tc>
        <w:tc>
          <w:tcPr>
            <w:tcW w:w="1200" w:type="dxa"/>
            <w:vAlign w:val="bottom"/>
          </w:tcPr>
          <w:p>
            <w:pPr>
              <w:jc w:val="right"/>
              <w:ind w:right="167"/>
              <w:spacing w:after="0"/>
              <w:rPr>
                <w:sz w:val="20"/>
                <w:szCs w:val="20"/>
                <w:color w:val="auto"/>
              </w:rPr>
            </w:pPr>
            <w:r>
              <w:rPr>
                <w:rFonts w:ascii="Arial" w:cs="Arial" w:eastAsia="Arial" w:hAnsi="Arial"/>
                <w:sz w:val="14"/>
                <w:szCs w:val="14"/>
                <w:b w:val="1"/>
                <w:bCs w:val="1"/>
                <w:color w:val="auto"/>
              </w:rPr>
              <w:t>Units of</w:t>
            </w:r>
          </w:p>
        </w:tc>
        <w:tc>
          <w:tcPr>
            <w:tcW w:w="1380" w:type="dxa"/>
            <w:vAlign w:val="bottom"/>
          </w:tcPr>
          <w:p>
            <w:pPr>
              <w:jc w:val="right"/>
              <w:ind w:right="145"/>
              <w:spacing w:after="0"/>
              <w:rPr>
                <w:sz w:val="20"/>
                <w:szCs w:val="20"/>
                <w:color w:val="auto"/>
              </w:rPr>
            </w:pPr>
            <w:r>
              <w:rPr>
                <w:rFonts w:ascii="Arial" w:cs="Arial" w:eastAsia="Arial" w:hAnsi="Arial"/>
                <w:sz w:val="14"/>
                <w:szCs w:val="14"/>
                <w:b w:val="1"/>
                <w:bCs w:val="1"/>
                <w:color w:val="auto"/>
              </w:rPr>
              <w:t>or Other</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or Other</w:t>
            </w: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Unexercised</w:t>
            </w:r>
          </w:p>
        </w:tc>
        <w:tc>
          <w:tcPr>
            <w:tcW w:w="1100" w:type="dxa"/>
            <w:vAlign w:val="bottom"/>
          </w:tcPr>
          <w:p>
            <w:pPr>
              <w:jc w:val="right"/>
              <w:ind w:right="121"/>
              <w:spacing w:after="0"/>
              <w:rPr>
                <w:sz w:val="20"/>
                <w:szCs w:val="20"/>
                <w:color w:val="auto"/>
              </w:rPr>
            </w:pPr>
            <w:r>
              <w:rPr>
                <w:rFonts w:ascii="Arial" w:cs="Arial" w:eastAsia="Arial" w:hAnsi="Arial"/>
                <w:sz w:val="14"/>
                <w:szCs w:val="14"/>
                <w:b w:val="1"/>
                <w:bCs w:val="1"/>
                <w:color w:val="auto"/>
              </w:rPr>
              <w:t>Option</w:t>
            </w:r>
          </w:p>
        </w:tc>
        <w:tc>
          <w:tcPr>
            <w:tcW w:w="1100" w:type="dxa"/>
            <w:vAlign w:val="bottom"/>
          </w:tcPr>
          <w:p>
            <w:pPr>
              <w:spacing w:after="0"/>
              <w:rPr>
                <w:sz w:val="15"/>
                <w:szCs w:val="15"/>
                <w:color w:val="auto"/>
              </w:rPr>
            </w:pPr>
          </w:p>
        </w:tc>
        <w:tc>
          <w:tcPr>
            <w:tcW w:w="1380" w:type="dxa"/>
            <w:vAlign w:val="bottom"/>
          </w:tcPr>
          <w:p>
            <w:pPr>
              <w:jc w:val="right"/>
              <w:ind w:right="124"/>
              <w:spacing w:after="0"/>
              <w:rPr>
                <w:sz w:val="20"/>
                <w:szCs w:val="20"/>
                <w:color w:val="auto"/>
              </w:rPr>
            </w:pPr>
            <w:r>
              <w:rPr>
                <w:rFonts w:ascii="Arial" w:cs="Arial" w:eastAsia="Arial" w:hAnsi="Arial"/>
                <w:sz w:val="14"/>
                <w:szCs w:val="14"/>
                <w:b w:val="1"/>
                <w:bCs w:val="1"/>
                <w:color w:val="auto"/>
              </w:rPr>
              <w:t>That</w:t>
            </w:r>
          </w:p>
        </w:tc>
        <w:tc>
          <w:tcPr>
            <w:tcW w:w="1200" w:type="dxa"/>
            <w:vAlign w:val="bottom"/>
          </w:tcPr>
          <w:p>
            <w:pPr>
              <w:jc w:val="right"/>
              <w:ind w:right="167"/>
              <w:spacing w:after="0"/>
              <w:rPr>
                <w:sz w:val="20"/>
                <w:szCs w:val="20"/>
                <w:color w:val="auto"/>
              </w:rPr>
            </w:pPr>
            <w:r>
              <w:rPr>
                <w:rFonts w:ascii="Arial" w:cs="Arial" w:eastAsia="Arial" w:hAnsi="Arial"/>
                <w:sz w:val="14"/>
                <w:szCs w:val="14"/>
                <w:b w:val="1"/>
                <w:bCs w:val="1"/>
                <w:color w:val="auto"/>
              </w:rPr>
              <w:t>Stock That</w:t>
            </w:r>
          </w:p>
        </w:tc>
        <w:tc>
          <w:tcPr>
            <w:tcW w:w="1380" w:type="dxa"/>
            <w:vAlign w:val="bottom"/>
          </w:tcPr>
          <w:p>
            <w:pPr>
              <w:jc w:val="right"/>
              <w:ind w:right="145"/>
              <w:spacing w:after="0"/>
              <w:rPr>
                <w:sz w:val="20"/>
                <w:szCs w:val="20"/>
                <w:color w:val="auto"/>
              </w:rPr>
            </w:pPr>
            <w:r>
              <w:rPr>
                <w:rFonts w:ascii="Arial" w:cs="Arial" w:eastAsia="Arial" w:hAnsi="Arial"/>
                <w:sz w:val="14"/>
                <w:szCs w:val="14"/>
                <w:b w:val="1"/>
                <w:bCs w:val="1"/>
                <w:color w:val="auto"/>
              </w:rPr>
              <w:t>Rights That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Rights That</w:t>
            </w: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b w:val="1"/>
                <w:bCs w:val="1"/>
                <w:color w:val="auto"/>
              </w:rPr>
              <w:t>Unearned</w:t>
            </w:r>
          </w:p>
        </w:tc>
        <w:tc>
          <w:tcPr>
            <w:tcW w:w="1100" w:type="dxa"/>
            <w:vAlign w:val="bottom"/>
          </w:tcPr>
          <w:p>
            <w:pPr>
              <w:jc w:val="center"/>
              <w:ind w:left="41"/>
              <w:spacing w:after="0"/>
              <w:rPr>
                <w:sz w:val="20"/>
                <w:szCs w:val="20"/>
                <w:color w:val="auto"/>
              </w:rPr>
            </w:pPr>
            <w:r>
              <w:rPr>
                <w:rFonts w:ascii="Arial" w:cs="Arial" w:eastAsia="Arial" w:hAnsi="Arial"/>
                <w:sz w:val="14"/>
                <w:szCs w:val="14"/>
                <w:b w:val="1"/>
                <w:bCs w:val="1"/>
                <w:color w:val="auto"/>
              </w:rPr>
              <w:t>Exercise</w:t>
            </w:r>
          </w:p>
        </w:tc>
        <w:tc>
          <w:tcPr>
            <w:tcW w:w="1100" w:type="dxa"/>
            <w:vAlign w:val="bottom"/>
          </w:tcPr>
          <w:p>
            <w:pPr>
              <w:jc w:val="right"/>
              <w:ind w:right="121"/>
              <w:spacing w:after="0"/>
              <w:rPr>
                <w:sz w:val="20"/>
                <w:szCs w:val="20"/>
                <w:color w:val="auto"/>
              </w:rPr>
            </w:pPr>
            <w:r>
              <w:rPr>
                <w:rFonts w:ascii="Arial" w:cs="Arial" w:eastAsia="Arial" w:hAnsi="Arial"/>
                <w:sz w:val="14"/>
                <w:szCs w:val="14"/>
                <w:b w:val="1"/>
                <w:bCs w:val="1"/>
                <w:color w:val="auto"/>
              </w:rPr>
              <w:t>Option</w:t>
            </w:r>
          </w:p>
        </w:tc>
        <w:tc>
          <w:tcPr>
            <w:tcW w:w="1380" w:type="dxa"/>
            <w:vAlign w:val="bottom"/>
          </w:tcPr>
          <w:p>
            <w:pPr>
              <w:jc w:val="right"/>
              <w:ind w:right="124"/>
              <w:spacing w:after="0"/>
              <w:rPr>
                <w:sz w:val="20"/>
                <w:szCs w:val="20"/>
                <w:color w:val="auto"/>
              </w:rPr>
            </w:pPr>
            <w:r>
              <w:rPr>
                <w:rFonts w:ascii="Arial" w:cs="Arial" w:eastAsia="Arial" w:hAnsi="Arial"/>
                <w:sz w:val="14"/>
                <w:szCs w:val="14"/>
                <w:b w:val="1"/>
                <w:bCs w:val="1"/>
                <w:color w:val="auto"/>
              </w:rPr>
              <w:t>Have Not</w:t>
            </w:r>
          </w:p>
        </w:tc>
        <w:tc>
          <w:tcPr>
            <w:tcW w:w="1200" w:type="dxa"/>
            <w:vAlign w:val="bottom"/>
          </w:tcPr>
          <w:p>
            <w:pPr>
              <w:jc w:val="right"/>
              <w:ind w:right="167"/>
              <w:spacing w:after="0"/>
              <w:rPr>
                <w:sz w:val="20"/>
                <w:szCs w:val="20"/>
                <w:color w:val="auto"/>
              </w:rPr>
            </w:pPr>
            <w:r>
              <w:rPr>
                <w:rFonts w:ascii="Arial" w:cs="Arial" w:eastAsia="Arial" w:hAnsi="Arial"/>
                <w:sz w:val="14"/>
                <w:szCs w:val="14"/>
                <w:b w:val="1"/>
                <w:bCs w:val="1"/>
                <w:color w:val="auto"/>
              </w:rPr>
              <w:t>Have Not</w:t>
            </w:r>
          </w:p>
        </w:tc>
        <w:tc>
          <w:tcPr>
            <w:tcW w:w="1380" w:type="dxa"/>
            <w:vAlign w:val="bottom"/>
          </w:tcPr>
          <w:p>
            <w:pPr>
              <w:jc w:val="right"/>
              <w:ind w:right="145"/>
              <w:spacing w:after="0"/>
              <w:rPr>
                <w:sz w:val="20"/>
                <w:szCs w:val="20"/>
                <w:color w:val="auto"/>
              </w:rPr>
            </w:pPr>
            <w:r>
              <w:rPr>
                <w:rFonts w:ascii="Arial" w:cs="Arial" w:eastAsia="Arial" w:hAnsi="Arial"/>
                <w:sz w:val="14"/>
                <w:szCs w:val="14"/>
                <w:b w:val="1"/>
                <w:bCs w:val="1"/>
                <w:color w:val="auto"/>
              </w:rPr>
              <w:t>Have Not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73"/>
        </w:trPr>
        <w:tc>
          <w:tcPr>
            <w:tcW w:w="2400" w:type="dxa"/>
            <w:vAlign w:val="bottom"/>
          </w:tcPr>
          <w:p>
            <w:pPr>
              <w:spacing w:after="0"/>
              <w:rPr>
                <w:sz w:val="15"/>
                <w:szCs w:val="15"/>
                <w:color w:val="auto"/>
              </w:rPr>
            </w:pPr>
          </w:p>
        </w:tc>
        <w:tc>
          <w:tcPr>
            <w:tcW w:w="1500" w:type="dxa"/>
            <w:vAlign w:val="bottom"/>
            <w:gridSpan w:val="2"/>
          </w:tcPr>
          <w:p>
            <w:pPr>
              <w:jc w:val="center"/>
              <w:ind w:left="864"/>
              <w:spacing w:after="0"/>
              <w:rPr>
                <w:sz w:val="20"/>
                <w:szCs w:val="20"/>
                <w:color w:val="auto"/>
              </w:rPr>
            </w:pPr>
            <w:r>
              <w:rPr>
                <w:rFonts w:ascii="Arial" w:cs="Arial" w:eastAsia="Arial" w:hAnsi="Arial"/>
                <w:sz w:val="14"/>
                <w:szCs w:val="14"/>
                <w:b w:val="1"/>
                <w:bCs w:val="1"/>
                <w:color w:val="auto"/>
              </w:rPr>
              <w:t>Options</w:t>
            </w:r>
          </w:p>
        </w:tc>
        <w:tc>
          <w:tcPr>
            <w:tcW w:w="1100" w:type="dxa"/>
            <w:vAlign w:val="bottom"/>
          </w:tcPr>
          <w:p>
            <w:pPr>
              <w:jc w:val="right"/>
              <w:ind w:right="121"/>
              <w:spacing w:after="0"/>
              <w:rPr>
                <w:sz w:val="20"/>
                <w:szCs w:val="20"/>
                <w:color w:val="auto"/>
              </w:rPr>
            </w:pPr>
            <w:r>
              <w:rPr>
                <w:rFonts w:ascii="Arial" w:cs="Arial" w:eastAsia="Arial" w:hAnsi="Arial"/>
                <w:sz w:val="14"/>
                <w:szCs w:val="14"/>
                <w:b w:val="1"/>
                <w:bCs w:val="1"/>
                <w:color w:val="auto"/>
              </w:rPr>
              <w:t>Price</w:t>
            </w:r>
          </w:p>
        </w:tc>
        <w:tc>
          <w:tcPr>
            <w:tcW w:w="1100" w:type="dxa"/>
            <w:vAlign w:val="bottom"/>
          </w:tcPr>
          <w:p>
            <w:pPr>
              <w:jc w:val="right"/>
              <w:ind w:right="121"/>
              <w:spacing w:after="0"/>
              <w:rPr>
                <w:sz w:val="20"/>
                <w:szCs w:val="20"/>
                <w:color w:val="auto"/>
              </w:rPr>
            </w:pPr>
            <w:r>
              <w:rPr>
                <w:rFonts w:ascii="Arial" w:cs="Arial" w:eastAsia="Arial" w:hAnsi="Arial"/>
                <w:sz w:val="14"/>
                <w:szCs w:val="14"/>
                <w:b w:val="1"/>
                <w:bCs w:val="1"/>
                <w:color w:val="auto"/>
              </w:rPr>
              <w:t>Expiration</w:t>
            </w:r>
          </w:p>
        </w:tc>
        <w:tc>
          <w:tcPr>
            <w:tcW w:w="1380" w:type="dxa"/>
            <w:vAlign w:val="bottom"/>
          </w:tcPr>
          <w:p>
            <w:pPr>
              <w:jc w:val="right"/>
              <w:ind w:right="124"/>
              <w:spacing w:after="0"/>
              <w:rPr>
                <w:sz w:val="20"/>
                <w:szCs w:val="20"/>
                <w:color w:val="auto"/>
              </w:rPr>
            </w:pPr>
            <w:r>
              <w:rPr>
                <w:rFonts w:ascii="Arial" w:cs="Arial" w:eastAsia="Arial" w:hAnsi="Arial"/>
                <w:sz w:val="14"/>
                <w:szCs w:val="14"/>
                <w:b w:val="1"/>
                <w:bCs w:val="1"/>
                <w:color w:val="auto"/>
              </w:rPr>
              <w:t>Vested</w:t>
            </w:r>
          </w:p>
        </w:tc>
        <w:tc>
          <w:tcPr>
            <w:tcW w:w="1200" w:type="dxa"/>
            <w:vAlign w:val="bottom"/>
          </w:tcPr>
          <w:p>
            <w:pPr>
              <w:jc w:val="right"/>
              <w:ind w:right="167"/>
              <w:spacing w:after="0"/>
              <w:rPr>
                <w:sz w:val="20"/>
                <w:szCs w:val="20"/>
                <w:color w:val="auto"/>
              </w:rPr>
            </w:pPr>
            <w:r>
              <w:rPr>
                <w:rFonts w:ascii="Arial" w:cs="Arial" w:eastAsia="Arial" w:hAnsi="Arial"/>
                <w:sz w:val="14"/>
                <w:szCs w:val="14"/>
                <w:b w:val="1"/>
                <w:bCs w:val="1"/>
                <w:color w:val="auto"/>
              </w:rPr>
              <w:t>Vested</w:t>
            </w:r>
          </w:p>
        </w:tc>
        <w:tc>
          <w:tcPr>
            <w:tcW w:w="1380" w:type="dxa"/>
            <w:vAlign w:val="bottom"/>
          </w:tcPr>
          <w:p>
            <w:pPr>
              <w:jc w:val="right"/>
              <w:ind w:right="145"/>
              <w:spacing w:after="0"/>
              <w:rPr>
                <w:sz w:val="20"/>
                <w:szCs w:val="20"/>
                <w:color w:val="auto"/>
              </w:rPr>
            </w:pPr>
            <w:r>
              <w:rPr>
                <w:rFonts w:ascii="Arial" w:cs="Arial" w:eastAsia="Arial" w:hAnsi="Arial"/>
                <w:sz w:val="14"/>
                <w:szCs w:val="14"/>
                <w:b w:val="1"/>
                <w:bCs w:val="1"/>
                <w:color w:val="auto"/>
              </w:rPr>
              <w:t>Vested</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214"/>
        </w:trPr>
        <w:tc>
          <w:tcPr>
            <w:tcW w:w="3560" w:type="dxa"/>
            <w:vAlign w:val="bottom"/>
            <w:tcBorders>
              <w:bottom w:val="single" w:sz="8" w:color="1A3FD6"/>
            </w:tcBorders>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34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1A3FD6"/>
            </w:tcBorders>
          </w:tcPr>
          <w:p>
            <w:pPr>
              <w:jc w:val="right"/>
              <w:ind w:right="121"/>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1A3FD6"/>
            </w:tcBorders>
          </w:tcPr>
          <w:p>
            <w:pPr>
              <w:jc w:val="right"/>
              <w:ind w:right="121"/>
              <w:spacing w:after="0"/>
              <w:rPr>
                <w:sz w:val="20"/>
                <w:szCs w:val="20"/>
                <w:color w:val="auto"/>
              </w:rPr>
            </w:pPr>
            <w:r>
              <w:rPr>
                <w:rFonts w:ascii="Arial" w:cs="Arial" w:eastAsia="Arial" w:hAnsi="Arial"/>
                <w:sz w:val="14"/>
                <w:szCs w:val="14"/>
                <w:b w:val="1"/>
                <w:bCs w:val="1"/>
                <w:color w:val="auto"/>
              </w:rPr>
              <w:t>Date</w:t>
            </w:r>
          </w:p>
        </w:tc>
        <w:tc>
          <w:tcPr>
            <w:tcW w:w="1380" w:type="dxa"/>
            <w:vAlign w:val="bottom"/>
            <w:tcBorders>
              <w:bottom w:val="single" w:sz="8" w:color="1A3FD6"/>
            </w:tcBorders>
          </w:tcPr>
          <w:p>
            <w:pPr>
              <w:jc w:val="right"/>
              <w:ind w:right="124"/>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(4)</w:t>
            </w:r>
          </w:p>
        </w:tc>
        <w:tc>
          <w:tcPr>
            <w:tcW w:w="1200" w:type="dxa"/>
            <w:vAlign w:val="bottom"/>
            <w:tcBorders>
              <w:bottom w:val="single" w:sz="8" w:color="1A3FD6"/>
            </w:tcBorders>
          </w:tcPr>
          <w:p>
            <w:pPr>
              <w:jc w:val="right"/>
              <w:ind w:right="167"/>
              <w:spacing w:after="0" w:line="214"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9"/>
                <w:szCs w:val="9"/>
                <w:b w:val="1"/>
                <w:bCs w:val="1"/>
                <w:color w:val="auto"/>
              </w:rPr>
              <w:t>(5)</w:t>
            </w:r>
          </w:p>
        </w:tc>
        <w:tc>
          <w:tcPr>
            <w:tcW w:w="1380" w:type="dxa"/>
            <w:vAlign w:val="bottom"/>
            <w:tcBorders>
              <w:bottom w:val="single" w:sz="8" w:color="1A3FD6"/>
            </w:tcBorders>
          </w:tcPr>
          <w:p>
            <w:pPr>
              <w:jc w:val="right"/>
              <w:ind w:right="145"/>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(6)</w:t>
            </w:r>
          </w:p>
        </w:tc>
        <w:tc>
          <w:tcPr>
            <w:tcW w:w="1180" w:type="dxa"/>
            <w:vAlign w:val="bottom"/>
            <w:tcBorders>
              <w:bottom w:val="single" w:sz="8" w:color="1A3FD6"/>
            </w:tcBorders>
          </w:tcPr>
          <w:p>
            <w:pPr>
              <w:jc w:val="right"/>
              <w:spacing w:after="0" w:line="214"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9"/>
                <w:szCs w:val="9"/>
                <w:b w:val="1"/>
                <w:bCs w:val="1"/>
                <w:color w:val="auto"/>
              </w:rPr>
              <w:t>(6)</w:t>
            </w:r>
          </w:p>
        </w:tc>
        <w:tc>
          <w:tcPr>
            <w:tcW w:w="0" w:type="dxa"/>
            <w:vAlign w:val="bottom"/>
          </w:tcPr>
          <w:p>
            <w:pPr>
              <w:spacing w:after="0"/>
              <w:rPr>
                <w:sz w:val="1"/>
                <w:szCs w:val="1"/>
                <w:color w:val="auto"/>
              </w:rPr>
            </w:pPr>
          </w:p>
        </w:tc>
      </w:tr>
      <w:tr>
        <w:trPr>
          <w:trHeight w:val="229"/>
        </w:trPr>
        <w:tc>
          <w:tcPr>
            <w:tcW w:w="3560" w:type="dxa"/>
            <w:vAlign w:val="bottom"/>
            <w:gridSpan w:val="2"/>
          </w:tcPr>
          <w:p>
            <w:pPr>
              <w:ind w:left="20"/>
              <w:spacing w:after="0"/>
              <w:rPr>
                <w:sz w:val="20"/>
                <w:szCs w:val="20"/>
                <w:color w:val="auto"/>
              </w:rPr>
            </w:pPr>
            <w:r>
              <w:rPr>
                <w:rFonts w:ascii="Arial" w:cs="Arial" w:eastAsia="Arial" w:hAnsi="Arial"/>
                <w:sz w:val="16"/>
                <w:szCs w:val="16"/>
                <w:b w:val="1"/>
                <w:bCs w:val="1"/>
                <w:color w:val="1A3FD6"/>
              </w:rPr>
              <w:t>Henry A. Fernandez</w:t>
            </w:r>
          </w:p>
        </w:tc>
        <w:tc>
          <w:tcPr>
            <w:tcW w:w="340" w:type="dxa"/>
            <w:vAlign w:val="bottom"/>
            <w:vMerge w:val="restart"/>
          </w:tcPr>
          <w:p>
            <w:pPr>
              <w:jc w:val="center"/>
              <w:ind w:right="125"/>
              <w:spacing w:after="0"/>
              <w:rPr>
                <w:sz w:val="20"/>
                <w:szCs w:val="20"/>
                <w:color w:val="auto"/>
              </w:rPr>
            </w:pPr>
            <w:r>
              <w:rPr>
                <w:rFonts w:ascii="Arial" w:cs="Arial" w:eastAsia="Arial" w:hAnsi="Arial"/>
                <w:sz w:val="11"/>
                <w:szCs w:val="11"/>
                <w:color w:val="auto"/>
                <w:w w:val="88"/>
              </w:rPr>
              <w:t>(3)</w:t>
            </w: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80" w:type="dxa"/>
            <w:vAlign w:val="bottom"/>
          </w:tcPr>
          <w:p>
            <w:pPr>
              <w:jc w:val="right"/>
              <w:ind w:right="184"/>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7"/>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5"/>
              <w:spacing w:after="0"/>
              <w:rPr>
                <w:sz w:val="20"/>
                <w:szCs w:val="20"/>
                <w:color w:val="auto"/>
              </w:rPr>
            </w:pPr>
            <w:r>
              <w:rPr>
                <w:rFonts w:ascii="Arial" w:cs="Arial" w:eastAsia="Arial" w:hAnsi="Arial"/>
                <w:sz w:val="16"/>
                <w:szCs w:val="16"/>
                <w:color w:val="auto"/>
              </w:rPr>
              <w:t>90,972</w:t>
            </w:r>
          </w:p>
        </w:tc>
        <w:tc>
          <w:tcPr>
            <w:tcW w:w="1180" w:type="dxa"/>
            <w:vAlign w:val="bottom"/>
          </w:tcPr>
          <w:p>
            <w:pPr>
              <w:jc w:val="right"/>
              <w:ind w:right="7"/>
              <w:spacing w:after="0"/>
              <w:rPr>
                <w:sz w:val="20"/>
                <w:szCs w:val="20"/>
                <w:color w:val="auto"/>
              </w:rPr>
            </w:pPr>
            <w:r>
              <w:rPr>
                <w:rFonts w:ascii="Arial" w:cs="Arial" w:eastAsia="Arial" w:hAnsi="Arial"/>
                <w:sz w:val="16"/>
                <w:szCs w:val="16"/>
                <w:color w:val="auto"/>
              </w:rPr>
              <w:t>54,584,110</w:t>
            </w:r>
          </w:p>
        </w:tc>
        <w:tc>
          <w:tcPr>
            <w:tcW w:w="0" w:type="dxa"/>
            <w:vAlign w:val="bottom"/>
          </w:tcPr>
          <w:p>
            <w:pPr>
              <w:spacing w:after="0"/>
              <w:rPr>
                <w:sz w:val="1"/>
                <w:szCs w:val="1"/>
                <w:color w:val="auto"/>
              </w:rPr>
            </w:pPr>
          </w:p>
        </w:tc>
      </w:tr>
      <w:tr>
        <w:trPr>
          <w:trHeight w:val="235"/>
        </w:trPr>
        <w:tc>
          <w:tcPr>
            <w:tcW w:w="3560" w:type="dxa"/>
            <w:vAlign w:val="bottom"/>
            <w:gridSpan w:val="2"/>
          </w:tcPr>
          <w:p>
            <w:pPr>
              <w:jc w:val="right"/>
              <w:spacing w:after="0"/>
              <w:rPr>
                <w:sz w:val="20"/>
                <w:szCs w:val="20"/>
                <w:color w:val="auto"/>
              </w:rPr>
            </w:pPr>
            <w:r>
              <w:rPr>
                <w:rFonts w:ascii="Arial" w:cs="Arial" w:eastAsia="Arial" w:hAnsi="Arial"/>
                <w:sz w:val="16"/>
                <w:szCs w:val="16"/>
                <w:color w:val="auto"/>
              </w:rPr>
              <w:t>73,046</w:t>
            </w:r>
          </w:p>
        </w:tc>
        <w:tc>
          <w:tcPr>
            <w:tcW w:w="340" w:type="dxa"/>
            <w:vAlign w:val="bottom"/>
            <w:vMerge w:val="continue"/>
          </w:tcPr>
          <w:p>
            <w:pPr>
              <w:spacing w:after="0"/>
              <w:rPr>
                <w:sz w:val="20"/>
                <w:szCs w:val="20"/>
                <w:color w:val="auto"/>
              </w:rPr>
            </w:pPr>
          </w:p>
        </w:tc>
        <w:tc>
          <w:tcPr>
            <w:tcW w:w="1100" w:type="dxa"/>
            <w:vAlign w:val="bottom"/>
          </w:tcPr>
          <w:p>
            <w:pPr>
              <w:jc w:val="center"/>
              <w:ind w:left="41"/>
              <w:spacing w:after="0"/>
              <w:rPr>
                <w:sz w:val="20"/>
                <w:szCs w:val="20"/>
                <w:color w:val="auto"/>
              </w:rPr>
            </w:pPr>
            <w:r>
              <w:rPr>
                <w:rFonts w:ascii="Arial" w:cs="Arial" w:eastAsia="Arial" w:hAnsi="Arial"/>
                <w:sz w:val="16"/>
                <w:szCs w:val="16"/>
                <w:color w:val="auto"/>
              </w:rPr>
              <w:t>598.62</w:t>
            </w: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2/1/2034</w:t>
            </w:r>
          </w:p>
        </w:tc>
        <w:tc>
          <w:tcPr>
            <w:tcW w:w="1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jc w:val="right"/>
              <w:spacing w:after="0"/>
              <w:rPr>
                <w:sz w:val="20"/>
                <w:szCs w:val="20"/>
                <w:color w:val="auto"/>
              </w:rPr>
            </w:pPr>
            <w:r>
              <w:rPr>
                <w:rFonts w:ascii="Arial" w:cs="Arial" w:eastAsia="Arial" w:hAnsi="Arial"/>
                <w:sz w:val="16"/>
                <w:szCs w:val="16"/>
                <w:color w:val="auto"/>
              </w:rPr>
              <w:t>55,848</w:t>
            </w:r>
          </w:p>
        </w:tc>
        <w:tc>
          <w:tcPr>
            <w:tcW w:w="340" w:type="dxa"/>
            <w:vAlign w:val="bottom"/>
          </w:tcPr>
          <w:p>
            <w:pPr>
              <w:jc w:val="center"/>
              <w:ind w:right="125"/>
              <w:spacing w:after="0"/>
              <w:rPr>
                <w:sz w:val="20"/>
                <w:szCs w:val="20"/>
                <w:color w:val="auto"/>
              </w:rPr>
            </w:pPr>
            <w:r>
              <w:rPr>
                <w:rFonts w:ascii="Arial" w:cs="Arial" w:eastAsia="Arial" w:hAnsi="Arial"/>
                <w:sz w:val="11"/>
                <w:szCs w:val="11"/>
                <w:color w:val="auto"/>
                <w:w w:val="88"/>
              </w:rPr>
              <w:t>(2)</w:t>
            </w:r>
          </w:p>
        </w:tc>
        <w:tc>
          <w:tcPr>
            <w:tcW w:w="1100" w:type="dxa"/>
            <w:vAlign w:val="bottom"/>
          </w:tcPr>
          <w:p>
            <w:pPr>
              <w:jc w:val="center"/>
              <w:ind w:left="41"/>
              <w:spacing w:after="0"/>
              <w:rPr>
                <w:sz w:val="20"/>
                <w:szCs w:val="20"/>
                <w:color w:val="auto"/>
              </w:rPr>
            </w:pPr>
            <w:r>
              <w:rPr>
                <w:rFonts w:ascii="Arial" w:cs="Arial" w:eastAsia="Arial" w:hAnsi="Arial"/>
                <w:sz w:val="16"/>
                <w:szCs w:val="16"/>
                <w:color w:val="auto"/>
              </w:rPr>
              <w:t>554.52</w:t>
            </w: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2/2/2033</w:t>
            </w:r>
          </w:p>
        </w:tc>
        <w:tc>
          <w:tcPr>
            <w:tcW w:w="1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560" w:type="dxa"/>
            <w:vAlign w:val="bottom"/>
            <w:gridSpan w:val="2"/>
          </w:tcPr>
          <w:p>
            <w:pPr>
              <w:jc w:val="right"/>
              <w:spacing w:after="0"/>
              <w:rPr>
                <w:sz w:val="20"/>
                <w:szCs w:val="20"/>
                <w:color w:val="auto"/>
              </w:rPr>
            </w:pPr>
            <w:r>
              <w:rPr>
                <w:rFonts w:ascii="Arial" w:cs="Arial" w:eastAsia="Arial" w:hAnsi="Arial"/>
                <w:sz w:val="16"/>
                <w:szCs w:val="16"/>
                <w:color w:val="auto"/>
              </w:rPr>
              <w:t>29,564</w:t>
            </w:r>
          </w:p>
        </w:tc>
        <w:tc>
          <w:tcPr>
            <w:tcW w:w="340" w:type="dxa"/>
            <w:vAlign w:val="bottom"/>
          </w:tcPr>
          <w:p>
            <w:pPr>
              <w:jc w:val="center"/>
              <w:ind w:right="125"/>
              <w:spacing w:after="0"/>
              <w:rPr>
                <w:sz w:val="20"/>
                <w:szCs w:val="20"/>
                <w:color w:val="auto"/>
              </w:rPr>
            </w:pPr>
            <w:r>
              <w:rPr>
                <w:rFonts w:ascii="Arial" w:cs="Arial" w:eastAsia="Arial" w:hAnsi="Arial"/>
                <w:sz w:val="11"/>
                <w:szCs w:val="11"/>
                <w:color w:val="auto"/>
                <w:w w:val="88"/>
              </w:rPr>
              <w:t>(1)</w:t>
            </w:r>
          </w:p>
        </w:tc>
        <w:tc>
          <w:tcPr>
            <w:tcW w:w="1100" w:type="dxa"/>
            <w:vAlign w:val="bottom"/>
          </w:tcPr>
          <w:p>
            <w:pPr>
              <w:jc w:val="center"/>
              <w:ind w:left="41"/>
              <w:spacing w:after="0"/>
              <w:rPr>
                <w:sz w:val="20"/>
                <w:szCs w:val="20"/>
                <w:color w:val="auto"/>
              </w:rPr>
            </w:pPr>
            <w:r>
              <w:rPr>
                <w:rFonts w:ascii="Arial" w:cs="Arial" w:eastAsia="Arial" w:hAnsi="Arial"/>
                <w:sz w:val="16"/>
                <w:szCs w:val="16"/>
                <w:color w:val="auto"/>
              </w:rPr>
              <w:t>549.83</w:t>
            </w: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2/3/2032</w:t>
            </w:r>
          </w:p>
        </w:tc>
        <w:tc>
          <w:tcPr>
            <w:tcW w:w="1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Andrew C. Wiechmann</w:t>
            </w:r>
          </w:p>
        </w:tc>
        <w:tc>
          <w:tcPr>
            <w:tcW w:w="1160" w:type="dxa"/>
            <w:vAlign w:val="bottom"/>
            <w:shd w:val="clear" w:color="auto" w:fill="EDF0FC"/>
          </w:tcPr>
          <w:p>
            <w:pPr>
              <w:spacing w:after="0"/>
              <w:rPr>
                <w:sz w:val="21"/>
                <w:szCs w:val="21"/>
                <w:color w:val="auto"/>
              </w:rPr>
            </w:pPr>
          </w:p>
        </w:tc>
        <w:tc>
          <w:tcPr>
            <w:tcW w:w="340" w:type="dxa"/>
            <w:vAlign w:val="bottom"/>
            <w:vMerge w:val="restart"/>
            <w:shd w:val="clear" w:color="auto" w:fill="EDF0FC"/>
          </w:tcPr>
          <w:p>
            <w:pPr>
              <w:jc w:val="center"/>
              <w:ind w:right="125"/>
              <w:spacing w:after="0"/>
              <w:rPr>
                <w:sz w:val="20"/>
                <w:szCs w:val="20"/>
                <w:color w:val="auto"/>
              </w:rPr>
            </w:pPr>
            <w:r>
              <w:rPr>
                <w:rFonts w:ascii="Arial" w:cs="Arial" w:eastAsia="Arial" w:hAnsi="Arial"/>
                <w:sz w:val="11"/>
                <w:szCs w:val="11"/>
                <w:color w:val="auto"/>
                <w:w w:val="88"/>
              </w:rPr>
              <w:t>(3)</w:t>
            </w:r>
          </w:p>
        </w:tc>
        <w:tc>
          <w:tcPr>
            <w:tcW w:w="1100" w:type="dxa"/>
            <w:vAlign w:val="bottom"/>
            <w:shd w:val="clear" w:color="auto" w:fill="EDF0FC"/>
          </w:tcPr>
          <w:p>
            <w:pPr>
              <w:spacing w:after="0"/>
              <w:rPr>
                <w:sz w:val="21"/>
                <w:szCs w:val="21"/>
                <w:color w:val="auto"/>
              </w:rPr>
            </w:pPr>
          </w:p>
        </w:tc>
        <w:tc>
          <w:tcPr>
            <w:tcW w:w="1100" w:type="dxa"/>
            <w:vAlign w:val="bottom"/>
            <w:shd w:val="clear" w:color="auto" w:fill="EDF0FC"/>
          </w:tcPr>
          <w:p>
            <w:pPr>
              <w:spacing w:after="0"/>
              <w:rPr>
                <w:sz w:val="21"/>
                <w:szCs w:val="21"/>
                <w:color w:val="auto"/>
              </w:rPr>
            </w:pPr>
          </w:p>
        </w:tc>
        <w:tc>
          <w:tcPr>
            <w:tcW w:w="1380" w:type="dxa"/>
            <w:vAlign w:val="bottom"/>
            <w:shd w:val="clear" w:color="auto" w:fill="EDF0FC"/>
          </w:tcPr>
          <w:p>
            <w:pPr>
              <w:jc w:val="right"/>
              <w:ind w:right="184"/>
              <w:spacing w:after="0"/>
              <w:rPr>
                <w:sz w:val="20"/>
                <w:szCs w:val="20"/>
                <w:color w:val="auto"/>
              </w:rPr>
            </w:pPr>
            <w:r>
              <w:rPr>
                <w:rFonts w:ascii="Arial" w:cs="Arial" w:eastAsia="Arial" w:hAnsi="Arial"/>
                <w:sz w:val="16"/>
                <w:szCs w:val="16"/>
                <w:color w:val="auto"/>
              </w:rPr>
              <w:t>3,176</w:t>
            </w:r>
          </w:p>
        </w:tc>
        <w:tc>
          <w:tcPr>
            <w:tcW w:w="1200" w:type="dxa"/>
            <w:vAlign w:val="bottom"/>
            <w:shd w:val="clear" w:color="auto" w:fill="EDF0FC"/>
          </w:tcPr>
          <w:p>
            <w:pPr>
              <w:jc w:val="right"/>
              <w:ind w:right="227"/>
              <w:spacing w:after="0"/>
              <w:rPr>
                <w:sz w:val="20"/>
                <w:szCs w:val="20"/>
                <w:color w:val="auto"/>
              </w:rPr>
            </w:pPr>
            <w:r>
              <w:rPr>
                <w:rFonts w:ascii="Arial" w:cs="Arial" w:eastAsia="Arial" w:hAnsi="Arial"/>
                <w:sz w:val="16"/>
                <w:szCs w:val="16"/>
                <w:color w:val="auto"/>
              </w:rPr>
              <w:t>1,905,632</w:t>
            </w:r>
          </w:p>
        </w:tc>
        <w:tc>
          <w:tcPr>
            <w:tcW w:w="1380" w:type="dxa"/>
            <w:vAlign w:val="bottom"/>
            <w:shd w:val="clear" w:color="auto" w:fill="EDF0FC"/>
          </w:tcPr>
          <w:p>
            <w:pPr>
              <w:jc w:val="right"/>
              <w:ind w:right="205"/>
              <w:spacing w:after="0"/>
              <w:rPr>
                <w:sz w:val="20"/>
                <w:szCs w:val="20"/>
                <w:color w:val="auto"/>
              </w:rPr>
            </w:pPr>
            <w:r>
              <w:rPr>
                <w:rFonts w:ascii="Arial" w:cs="Arial" w:eastAsia="Arial" w:hAnsi="Arial"/>
                <w:sz w:val="16"/>
                <w:szCs w:val="16"/>
                <w:color w:val="auto"/>
              </w:rPr>
              <w:t>5,422</w:t>
            </w:r>
          </w:p>
        </w:tc>
        <w:tc>
          <w:tcPr>
            <w:tcW w:w="1180" w:type="dxa"/>
            <w:vAlign w:val="bottom"/>
            <w:shd w:val="clear" w:color="auto" w:fill="EDF0FC"/>
          </w:tcPr>
          <w:p>
            <w:pPr>
              <w:jc w:val="right"/>
              <w:ind w:right="7"/>
              <w:spacing w:after="0"/>
              <w:rPr>
                <w:sz w:val="20"/>
                <w:szCs w:val="20"/>
                <w:color w:val="auto"/>
              </w:rPr>
            </w:pPr>
            <w:r>
              <w:rPr>
                <w:rFonts w:ascii="Arial" w:cs="Arial" w:eastAsia="Arial" w:hAnsi="Arial"/>
                <w:sz w:val="16"/>
                <w:szCs w:val="16"/>
                <w:color w:val="auto"/>
              </w:rPr>
              <w:t>3,253,254</w:t>
            </w:r>
          </w:p>
        </w:tc>
        <w:tc>
          <w:tcPr>
            <w:tcW w:w="0" w:type="dxa"/>
            <w:vAlign w:val="bottom"/>
          </w:tcPr>
          <w:p>
            <w:pPr>
              <w:spacing w:after="0"/>
              <w:rPr>
                <w:sz w:val="1"/>
                <w:szCs w:val="1"/>
                <w:color w:val="auto"/>
              </w:rPr>
            </w:pPr>
          </w:p>
        </w:tc>
      </w:tr>
      <w:tr>
        <w:trPr>
          <w:trHeight w:val="235"/>
        </w:trPr>
        <w:tc>
          <w:tcPr>
            <w:tcW w:w="2400" w:type="dxa"/>
            <w:vAlign w:val="bottom"/>
            <w:shd w:val="clear" w:color="auto" w:fill="EDF0FC"/>
          </w:tcPr>
          <w:p>
            <w:pPr>
              <w:spacing w:after="0"/>
              <w:rPr>
                <w:sz w:val="20"/>
                <w:szCs w:val="20"/>
                <w:color w:val="auto"/>
              </w:rPr>
            </w:pPr>
          </w:p>
        </w:tc>
        <w:tc>
          <w:tcPr>
            <w:tcW w:w="1160" w:type="dxa"/>
            <w:vAlign w:val="bottom"/>
            <w:shd w:val="clear" w:color="auto" w:fill="EDF0FC"/>
          </w:tcPr>
          <w:p>
            <w:pPr>
              <w:jc w:val="right"/>
              <w:spacing w:after="0"/>
              <w:rPr>
                <w:sz w:val="20"/>
                <w:szCs w:val="20"/>
                <w:color w:val="auto"/>
              </w:rPr>
            </w:pPr>
            <w:r>
              <w:rPr>
                <w:rFonts w:ascii="Arial" w:cs="Arial" w:eastAsia="Arial" w:hAnsi="Arial"/>
                <w:sz w:val="16"/>
                <w:szCs w:val="16"/>
                <w:color w:val="auto"/>
              </w:rPr>
              <w:t>9,536</w:t>
            </w:r>
          </w:p>
        </w:tc>
        <w:tc>
          <w:tcPr>
            <w:tcW w:w="340" w:type="dxa"/>
            <w:vAlign w:val="bottom"/>
            <w:vMerge w:val="continue"/>
            <w:shd w:val="clear" w:color="auto" w:fill="EDF0FC"/>
          </w:tcPr>
          <w:p>
            <w:pPr>
              <w:spacing w:after="0"/>
              <w:rPr>
                <w:sz w:val="20"/>
                <w:szCs w:val="20"/>
                <w:color w:val="auto"/>
              </w:rPr>
            </w:pPr>
          </w:p>
        </w:tc>
        <w:tc>
          <w:tcPr>
            <w:tcW w:w="1100" w:type="dxa"/>
            <w:vAlign w:val="bottom"/>
            <w:shd w:val="clear" w:color="auto" w:fill="EDF0FC"/>
          </w:tcPr>
          <w:p>
            <w:pPr>
              <w:jc w:val="center"/>
              <w:ind w:left="41"/>
              <w:spacing w:after="0"/>
              <w:rPr>
                <w:sz w:val="20"/>
                <w:szCs w:val="20"/>
                <w:color w:val="auto"/>
              </w:rPr>
            </w:pPr>
            <w:r>
              <w:rPr>
                <w:rFonts w:ascii="Arial" w:cs="Arial" w:eastAsia="Arial" w:hAnsi="Arial"/>
                <w:sz w:val="16"/>
                <w:szCs w:val="16"/>
                <w:color w:val="auto"/>
              </w:rPr>
              <w:t>598.62</w:t>
            </w:r>
          </w:p>
        </w:tc>
        <w:tc>
          <w:tcPr>
            <w:tcW w:w="1100" w:type="dxa"/>
            <w:vAlign w:val="bottom"/>
            <w:shd w:val="clear" w:color="auto" w:fill="EDF0FC"/>
          </w:tcPr>
          <w:p>
            <w:pPr>
              <w:jc w:val="right"/>
              <w:ind w:right="121"/>
              <w:spacing w:after="0"/>
              <w:rPr>
                <w:sz w:val="20"/>
                <w:szCs w:val="20"/>
                <w:color w:val="auto"/>
              </w:rPr>
            </w:pPr>
            <w:r>
              <w:rPr>
                <w:rFonts w:ascii="Arial" w:cs="Arial" w:eastAsia="Arial" w:hAnsi="Arial"/>
                <w:sz w:val="16"/>
                <w:szCs w:val="16"/>
                <w:color w:val="auto"/>
              </w:rPr>
              <w:t>2/1/2034</w:t>
            </w:r>
          </w:p>
        </w:tc>
        <w:tc>
          <w:tcPr>
            <w:tcW w:w="1380" w:type="dxa"/>
            <w:vAlign w:val="bottom"/>
            <w:shd w:val="clear" w:color="auto" w:fill="EDF0FC"/>
          </w:tcPr>
          <w:p>
            <w:pPr>
              <w:spacing w:after="0"/>
              <w:rPr>
                <w:sz w:val="20"/>
                <w:szCs w:val="20"/>
                <w:color w:val="auto"/>
              </w:rPr>
            </w:pPr>
          </w:p>
        </w:tc>
        <w:tc>
          <w:tcPr>
            <w:tcW w:w="1200" w:type="dxa"/>
            <w:vAlign w:val="bottom"/>
            <w:shd w:val="clear" w:color="auto" w:fill="EDF0FC"/>
          </w:tcPr>
          <w:p>
            <w:pPr>
              <w:spacing w:after="0"/>
              <w:rPr>
                <w:sz w:val="20"/>
                <w:szCs w:val="20"/>
                <w:color w:val="auto"/>
              </w:rPr>
            </w:pPr>
          </w:p>
        </w:tc>
        <w:tc>
          <w:tcPr>
            <w:tcW w:w="1380" w:type="dxa"/>
            <w:vAlign w:val="bottom"/>
            <w:shd w:val="clear" w:color="auto" w:fill="EDF0FC"/>
          </w:tcPr>
          <w:p>
            <w:pPr>
              <w:spacing w:after="0"/>
              <w:rPr>
                <w:sz w:val="20"/>
                <w:szCs w:val="20"/>
                <w:color w:val="auto"/>
              </w:rPr>
            </w:pPr>
          </w:p>
        </w:tc>
        <w:tc>
          <w:tcPr>
            <w:tcW w:w="1180" w:type="dxa"/>
            <w:vAlign w:val="bottom"/>
            <w:shd w:val="clear" w:color="auto" w:fill="ED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00" w:type="dxa"/>
            <w:vAlign w:val="bottom"/>
            <w:shd w:val="clear" w:color="auto" w:fill="EDF0FC"/>
          </w:tcPr>
          <w:p>
            <w:pPr>
              <w:spacing w:after="0"/>
              <w:rPr>
                <w:sz w:val="21"/>
                <w:szCs w:val="21"/>
                <w:color w:val="auto"/>
              </w:rPr>
            </w:pPr>
          </w:p>
        </w:tc>
        <w:tc>
          <w:tcPr>
            <w:tcW w:w="1160" w:type="dxa"/>
            <w:vAlign w:val="bottom"/>
            <w:shd w:val="clear" w:color="auto" w:fill="EDF0FC"/>
          </w:tcPr>
          <w:p>
            <w:pPr>
              <w:jc w:val="right"/>
              <w:spacing w:after="0"/>
              <w:rPr>
                <w:sz w:val="20"/>
                <w:szCs w:val="20"/>
                <w:color w:val="auto"/>
              </w:rPr>
            </w:pPr>
            <w:r>
              <w:rPr>
                <w:rFonts w:ascii="Arial" w:cs="Arial" w:eastAsia="Arial" w:hAnsi="Arial"/>
                <w:sz w:val="16"/>
                <w:szCs w:val="16"/>
                <w:color w:val="auto"/>
              </w:rPr>
              <w:t>7,464</w:t>
            </w:r>
          </w:p>
        </w:tc>
        <w:tc>
          <w:tcPr>
            <w:tcW w:w="340" w:type="dxa"/>
            <w:vAlign w:val="bottom"/>
            <w:shd w:val="clear" w:color="auto" w:fill="EDF0FC"/>
          </w:tcPr>
          <w:p>
            <w:pPr>
              <w:jc w:val="center"/>
              <w:ind w:right="125"/>
              <w:spacing w:after="0"/>
              <w:rPr>
                <w:sz w:val="20"/>
                <w:szCs w:val="20"/>
                <w:color w:val="auto"/>
              </w:rPr>
            </w:pPr>
            <w:r>
              <w:rPr>
                <w:rFonts w:ascii="Arial" w:cs="Arial" w:eastAsia="Arial" w:hAnsi="Arial"/>
                <w:sz w:val="11"/>
                <w:szCs w:val="11"/>
                <w:color w:val="auto"/>
                <w:w w:val="88"/>
              </w:rPr>
              <w:t>(2)</w:t>
            </w:r>
          </w:p>
        </w:tc>
        <w:tc>
          <w:tcPr>
            <w:tcW w:w="1100" w:type="dxa"/>
            <w:vAlign w:val="bottom"/>
            <w:shd w:val="clear" w:color="auto" w:fill="EDF0FC"/>
          </w:tcPr>
          <w:p>
            <w:pPr>
              <w:jc w:val="center"/>
              <w:ind w:left="41"/>
              <w:spacing w:after="0"/>
              <w:rPr>
                <w:sz w:val="20"/>
                <w:szCs w:val="20"/>
                <w:color w:val="auto"/>
              </w:rPr>
            </w:pPr>
            <w:r>
              <w:rPr>
                <w:rFonts w:ascii="Arial" w:cs="Arial" w:eastAsia="Arial" w:hAnsi="Arial"/>
                <w:sz w:val="16"/>
                <w:szCs w:val="16"/>
                <w:color w:val="auto"/>
              </w:rPr>
              <w:t>554.52</w:t>
            </w:r>
          </w:p>
        </w:tc>
        <w:tc>
          <w:tcPr>
            <w:tcW w:w="1100" w:type="dxa"/>
            <w:vAlign w:val="bottom"/>
            <w:shd w:val="clear" w:color="auto" w:fill="EDF0FC"/>
          </w:tcPr>
          <w:p>
            <w:pPr>
              <w:jc w:val="right"/>
              <w:ind w:right="121"/>
              <w:spacing w:after="0"/>
              <w:rPr>
                <w:sz w:val="20"/>
                <w:szCs w:val="20"/>
                <w:color w:val="auto"/>
              </w:rPr>
            </w:pPr>
            <w:r>
              <w:rPr>
                <w:rFonts w:ascii="Arial" w:cs="Arial" w:eastAsia="Arial" w:hAnsi="Arial"/>
                <w:sz w:val="16"/>
                <w:szCs w:val="16"/>
                <w:color w:val="auto"/>
              </w:rPr>
              <w:t>2/2/2033</w:t>
            </w:r>
          </w:p>
        </w:tc>
        <w:tc>
          <w:tcPr>
            <w:tcW w:w="1380" w:type="dxa"/>
            <w:vAlign w:val="bottom"/>
            <w:shd w:val="clear" w:color="auto" w:fill="EDF0FC"/>
          </w:tcPr>
          <w:p>
            <w:pPr>
              <w:spacing w:after="0"/>
              <w:rPr>
                <w:sz w:val="21"/>
                <w:szCs w:val="21"/>
                <w:color w:val="auto"/>
              </w:rPr>
            </w:pPr>
          </w:p>
        </w:tc>
        <w:tc>
          <w:tcPr>
            <w:tcW w:w="1200" w:type="dxa"/>
            <w:vAlign w:val="bottom"/>
            <w:shd w:val="clear" w:color="auto" w:fill="EDF0FC"/>
          </w:tcPr>
          <w:p>
            <w:pPr>
              <w:spacing w:after="0"/>
              <w:rPr>
                <w:sz w:val="21"/>
                <w:szCs w:val="21"/>
                <w:color w:val="auto"/>
              </w:rPr>
            </w:pPr>
          </w:p>
        </w:tc>
        <w:tc>
          <w:tcPr>
            <w:tcW w:w="1380" w:type="dxa"/>
            <w:vAlign w:val="bottom"/>
            <w:shd w:val="clear" w:color="auto" w:fill="EDF0FC"/>
          </w:tcPr>
          <w:p>
            <w:pPr>
              <w:spacing w:after="0"/>
              <w:rPr>
                <w:sz w:val="21"/>
                <w:szCs w:val="21"/>
                <w:color w:val="auto"/>
              </w:rPr>
            </w:pPr>
          </w:p>
        </w:tc>
        <w:tc>
          <w:tcPr>
            <w:tcW w:w="1180" w:type="dxa"/>
            <w:vAlign w:val="bottom"/>
            <w:shd w:val="clear" w:color="auto" w:fill="EDF0FC"/>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400" w:type="dxa"/>
            <w:vAlign w:val="bottom"/>
            <w:shd w:val="clear" w:color="auto" w:fill="EDF0FC"/>
          </w:tcPr>
          <w:p>
            <w:pPr>
              <w:spacing w:after="0"/>
              <w:rPr>
                <w:sz w:val="22"/>
                <w:szCs w:val="22"/>
                <w:color w:val="auto"/>
              </w:rPr>
            </w:pPr>
          </w:p>
        </w:tc>
        <w:tc>
          <w:tcPr>
            <w:tcW w:w="1160" w:type="dxa"/>
            <w:vAlign w:val="bottom"/>
            <w:shd w:val="clear" w:color="auto" w:fill="EDF0FC"/>
          </w:tcPr>
          <w:p>
            <w:pPr>
              <w:jc w:val="right"/>
              <w:spacing w:after="0"/>
              <w:rPr>
                <w:sz w:val="20"/>
                <w:szCs w:val="20"/>
                <w:color w:val="auto"/>
              </w:rPr>
            </w:pPr>
            <w:r>
              <w:rPr>
                <w:rFonts w:ascii="Arial" w:cs="Arial" w:eastAsia="Arial" w:hAnsi="Arial"/>
                <w:sz w:val="16"/>
                <w:szCs w:val="16"/>
                <w:color w:val="auto"/>
              </w:rPr>
              <w:t>2,691</w:t>
            </w:r>
          </w:p>
        </w:tc>
        <w:tc>
          <w:tcPr>
            <w:tcW w:w="340" w:type="dxa"/>
            <w:vAlign w:val="bottom"/>
            <w:shd w:val="clear" w:color="auto" w:fill="EDF0FC"/>
          </w:tcPr>
          <w:p>
            <w:pPr>
              <w:jc w:val="center"/>
              <w:ind w:right="125"/>
              <w:spacing w:after="0"/>
              <w:rPr>
                <w:sz w:val="20"/>
                <w:szCs w:val="20"/>
                <w:color w:val="auto"/>
              </w:rPr>
            </w:pPr>
            <w:r>
              <w:rPr>
                <w:rFonts w:ascii="Arial" w:cs="Arial" w:eastAsia="Arial" w:hAnsi="Arial"/>
                <w:sz w:val="11"/>
                <w:szCs w:val="11"/>
                <w:color w:val="auto"/>
                <w:w w:val="88"/>
              </w:rPr>
              <w:t>(1)</w:t>
            </w:r>
          </w:p>
        </w:tc>
        <w:tc>
          <w:tcPr>
            <w:tcW w:w="1100" w:type="dxa"/>
            <w:vAlign w:val="bottom"/>
            <w:shd w:val="clear" w:color="auto" w:fill="EDF0FC"/>
          </w:tcPr>
          <w:p>
            <w:pPr>
              <w:jc w:val="center"/>
              <w:ind w:left="41"/>
              <w:spacing w:after="0"/>
              <w:rPr>
                <w:sz w:val="20"/>
                <w:szCs w:val="20"/>
                <w:color w:val="auto"/>
              </w:rPr>
            </w:pPr>
            <w:r>
              <w:rPr>
                <w:rFonts w:ascii="Arial" w:cs="Arial" w:eastAsia="Arial" w:hAnsi="Arial"/>
                <w:sz w:val="16"/>
                <w:szCs w:val="16"/>
                <w:color w:val="auto"/>
              </w:rPr>
              <w:t>549.83</w:t>
            </w:r>
          </w:p>
        </w:tc>
        <w:tc>
          <w:tcPr>
            <w:tcW w:w="1100" w:type="dxa"/>
            <w:vAlign w:val="bottom"/>
            <w:shd w:val="clear" w:color="auto" w:fill="EDF0FC"/>
          </w:tcPr>
          <w:p>
            <w:pPr>
              <w:jc w:val="right"/>
              <w:ind w:right="121"/>
              <w:spacing w:after="0"/>
              <w:rPr>
                <w:sz w:val="20"/>
                <w:szCs w:val="20"/>
                <w:color w:val="auto"/>
              </w:rPr>
            </w:pPr>
            <w:r>
              <w:rPr>
                <w:rFonts w:ascii="Arial" w:cs="Arial" w:eastAsia="Arial" w:hAnsi="Arial"/>
                <w:sz w:val="16"/>
                <w:szCs w:val="16"/>
                <w:color w:val="auto"/>
              </w:rPr>
              <w:t>2/3/2032</w:t>
            </w:r>
          </w:p>
        </w:tc>
        <w:tc>
          <w:tcPr>
            <w:tcW w:w="1380" w:type="dxa"/>
            <w:vAlign w:val="bottom"/>
            <w:shd w:val="clear" w:color="auto" w:fill="EDF0FC"/>
          </w:tcPr>
          <w:p>
            <w:pPr>
              <w:spacing w:after="0"/>
              <w:rPr>
                <w:sz w:val="22"/>
                <w:szCs w:val="22"/>
                <w:color w:val="auto"/>
              </w:rPr>
            </w:pPr>
          </w:p>
        </w:tc>
        <w:tc>
          <w:tcPr>
            <w:tcW w:w="1200" w:type="dxa"/>
            <w:vAlign w:val="bottom"/>
            <w:shd w:val="clear" w:color="auto" w:fill="EDF0FC"/>
          </w:tcPr>
          <w:p>
            <w:pPr>
              <w:spacing w:after="0"/>
              <w:rPr>
                <w:sz w:val="22"/>
                <w:szCs w:val="22"/>
                <w:color w:val="auto"/>
              </w:rPr>
            </w:pPr>
          </w:p>
        </w:tc>
        <w:tc>
          <w:tcPr>
            <w:tcW w:w="1380" w:type="dxa"/>
            <w:vAlign w:val="bottom"/>
            <w:shd w:val="clear" w:color="auto" w:fill="EDF0FC"/>
          </w:tcPr>
          <w:p>
            <w:pPr>
              <w:spacing w:after="0"/>
              <w:rPr>
                <w:sz w:val="22"/>
                <w:szCs w:val="22"/>
                <w:color w:val="auto"/>
              </w:rPr>
            </w:pPr>
          </w:p>
        </w:tc>
        <w:tc>
          <w:tcPr>
            <w:tcW w:w="1180" w:type="dxa"/>
            <w:vAlign w:val="bottom"/>
            <w:shd w:val="clear" w:color="auto" w:fill="EDF0FC"/>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560" w:type="dxa"/>
            <w:vAlign w:val="bottom"/>
            <w:gridSpan w:val="2"/>
          </w:tcPr>
          <w:p>
            <w:pPr>
              <w:ind w:left="20"/>
              <w:spacing w:after="0"/>
              <w:rPr>
                <w:sz w:val="20"/>
                <w:szCs w:val="20"/>
                <w:color w:val="auto"/>
              </w:rPr>
            </w:pPr>
            <w:r>
              <w:rPr>
                <w:rFonts w:ascii="Arial" w:cs="Arial" w:eastAsia="Arial" w:hAnsi="Arial"/>
                <w:sz w:val="16"/>
                <w:szCs w:val="16"/>
                <w:b w:val="1"/>
                <w:bCs w:val="1"/>
                <w:color w:val="1A3FD6"/>
              </w:rPr>
              <w:t>C.D. Baer Pettit</w:t>
            </w:r>
          </w:p>
        </w:tc>
        <w:tc>
          <w:tcPr>
            <w:tcW w:w="340" w:type="dxa"/>
            <w:vAlign w:val="bottom"/>
            <w:vMerge w:val="restart"/>
          </w:tcPr>
          <w:p>
            <w:pPr>
              <w:jc w:val="center"/>
              <w:ind w:right="125"/>
              <w:spacing w:after="0"/>
              <w:rPr>
                <w:sz w:val="20"/>
                <w:szCs w:val="20"/>
                <w:color w:val="auto"/>
              </w:rPr>
            </w:pPr>
            <w:r>
              <w:rPr>
                <w:rFonts w:ascii="Arial" w:cs="Arial" w:eastAsia="Arial" w:hAnsi="Arial"/>
                <w:sz w:val="11"/>
                <w:szCs w:val="11"/>
                <w:color w:val="auto"/>
                <w:w w:val="88"/>
              </w:rPr>
              <w:t>(3)</w:t>
            </w: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80" w:type="dxa"/>
            <w:vAlign w:val="bottom"/>
          </w:tcPr>
          <w:p>
            <w:pPr>
              <w:jc w:val="right"/>
              <w:ind w:right="184"/>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7"/>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05"/>
              <w:spacing w:after="0"/>
              <w:rPr>
                <w:sz w:val="20"/>
                <w:szCs w:val="20"/>
                <w:color w:val="auto"/>
              </w:rPr>
            </w:pPr>
            <w:r>
              <w:rPr>
                <w:rFonts w:ascii="Arial" w:cs="Arial" w:eastAsia="Arial" w:hAnsi="Arial"/>
                <w:sz w:val="16"/>
                <w:szCs w:val="16"/>
                <w:color w:val="auto"/>
              </w:rPr>
              <w:t>42,475</w:t>
            </w:r>
          </w:p>
        </w:tc>
        <w:tc>
          <w:tcPr>
            <w:tcW w:w="1180" w:type="dxa"/>
            <w:vAlign w:val="bottom"/>
          </w:tcPr>
          <w:p>
            <w:pPr>
              <w:jc w:val="right"/>
              <w:ind w:right="7"/>
              <w:spacing w:after="0"/>
              <w:rPr>
                <w:sz w:val="20"/>
                <w:szCs w:val="20"/>
                <w:color w:val="auto"/>
              </w:rPr>
            </w:pPr>
            <w:r>
              <w:rPr>
                <w:rFonts w:ascii="Arial" w:cs="Arial" w:eastAsia="Arial" w:hAnsi="Arial"/>
                <w:sz w:val="16"/>
                <w:szCs w:val="16"/>
                <w:color w:val="auto"/>
              </w:rPr>
              <w:t>25,485,425</w:t>
            </w:r>
          </w:p>
        </w:tc>
        <w:tc>
          <w:tcPr>
            <w:tcW w:w="0" w:type="dxa"/>
            <w:vAlign w:val="bottom"/>
          </w:tcPr>
          <w:p>
            <w:pPr>
              <w:spacing w:after="0"/>
              <w:rPr>
                <w:sz w:val="1"/>
                <w:szCs w:val="1"/>
                <w:color w:val="auto"/>
              </w:rPr>
            </w:pPr>
          </w:p>
        </w:tc>
      </w:tr>
      <w:tr>
        <w:trPr>
          <w:trHeight w:val="235"/>
        </w:trPr>
        <w:tc>
          <w:tcPr>
            <w:tcW w:w="3560" w:type="dxa"/>
            <w:vAlign w:val="bottom"/>
            <w:gridSpan w:val="2"/>
          </w:tcPr>
          <w:p>
            <w:pPr>
              <w:jc w:val="right"/>
              <w:spacing w:after="0"/>
              <w:rPr>
                <w:sz w:val="20"/>
                <w:szCs w:val="20"/>
                <w:color w:val="auto"/>
              </w:rPr>
            </w:pPr>
            <w:r>
              <w:rPr>
                <w:rFonts w:ascii="Arial" w:cs="Arial" w:eastAsia="Arial" w:hAnsi="Arial"/>
                <w:sz w:val="16"/>
                <w:szCs w:val="16"/>
                <w:color w:val="auto"/>
              </w:rPr>
              <w:t>40,932</w:t>
            </w:r>
          </w:p>
        </w:tc>
        <w:tc>
          <w:tcPr>
            <w:tcW w:w="340" w:type="dxa"/>
            <w:vAlign w:val="bottom"/>
            <w:vMerge w:val="continue"/>
          </w:tcPr>
          <w:p>
            <w:pPr>
              <w:spacing w:after="0"/>
              <w:rPr>
                <w:sz w:val="20"/>
                <w:szCs w:val="20"/>
                <w:color w:val="auto"/>
              </w:rPr>
            </w:pPr>
          </w:p>
        </w:tc>
        <w:tc>
          <w:tcPr>
            <w:tcW w:w="1100" w:type="dxa"/>
            <w:vAlign w:val="bottom"/>
          </w:tcPr>
          <w:p>
            <w:pPr>
              <w:jc w:val="center"/>
              <w:ind w:left="41"/>
              <w:spacing w:after="0"/>
              <w:rPr>
                <w:sz w:val="20"/>
                <w:szCs w:val="20"/>
                <w:color w:val="auto"/>
              </w:rPr>
            </w:pPr>
            <w:r>
              <w:rPr>
                <w:rFonts w:ascii="Arial" w:cs="Arial" w:eastAsia="Arial" w:hAnsi="Arial"/>
                <w:sz w:val="16"/>
                <w:szCs w:val="16"/>
                <w:color w:val="auto"/>
              </w:rPr>
              <w:t>598.62</w:t>
            </w: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2/1/2034</w:t>
            </w:r>
          </w:p>
        </w:tc>
        <w:tc>
          <w:tcPr>
            <w:tcW w:w="1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jc w:val="right"/>
              <w:spacing w:after="0"/>
              <w:rPr>
                <w:sz w:val="20"/>
                <w:szCs w:val="20"/>
                <w:color w:val="auto"/>
              </w:rPr>
            </w:pPr>
            <w:r>
              <w:rPr>
                <w:rFonts w:ascii="Arial" w:cs="Arial" w:eastAsia="Arial" w:hAnsi="Arial"/>
                <w:sz w:val="16"/>
                <w:szCs w:val="16"/>
                <w:color w:val="auto"/>
              </w:rPr>
              <w:t>31,478</w:t>
            </w:r>
          </w:p>
        </w:tc>
        <w:tc>
          <w:tcPr>
            <w:tcW w:w="340" w:type="dxa"/>
            <w:vAlign w:val="bottom"/>
          </w:tcPr>
          <w:p>
            <w:pPr>
              <w:jc w:val="center"/>
              <w:ind w:right="125"/>
              <w:spacing w:after="0"/>
              <w:rPr>
                <w:sz w:val="20"/>
                <w:szCs w:val="20"/>
                <w:color w:val="auto"/>
              </w:rPr>
            </w:pPr>
            <w:r>
              <w:rPr>
                <w:rFonts w:ascii="Arial" w:cs="Arial" w:eastAsia="Arial" w:hAnsi="Arial"/>
                <w:sz w:val="11"/>
                <w:szCs w:val="11"/>
                <w:color w:val="auto"/>
                <w:w w:val="88"/>
              </w:rPr>
              <w:t>(2)</w:t>
            </w:r>
          </w:p>
        </w:tc>
        <w:tc>
          <w:tcPr>
            <w:tcW w:w="1100" w:type="dxa"/>
            <w:vAlign w:val="bottom"/>
          </w:tcPr>
          <w:p>
            <w:pPr>
              <w:jc w:val="center"/>
              <w:ind w:left="41"/>
              <w:spacing w:after="0"/>
              <w:rPr>
                <w:sz w:val="20"/>
                <w:szCs w:val="20"/>
                <w:color w:val="auto"/>
              </w:rPr>
            </w:pPr>
            <w:r>
              <w:rPr>
                <w:rFonts w:ascii="Arial" w:cs="Arial" w:eastAsia="Arial" w:hAnsi="Arial"/>
                <w:sz w:val="16"/>
                <w:szCs w:val="16"/>
                <w:color w:val="auto"/>
              </w:rPr>
              <w:t>554.52</w:t>
            </w: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2/2/2033</w:t>
            </w:r>
          </w:p>
        </w:tc>
        <w:tc>
          <w:tcPr>
            <w:tcW w:w="1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560" w:type="dxa"/>
            <w:vAlign w:val="bottom"/>
            <w:gridSpan w:val="2"/>
          </w:tcPr>
          <w:p>
            <w:pPr>
              <w:jc w:val="right"/>
              <w:spacing w:after="0"/>
              <w:rPr>
                <w:sz w:val="20"/>
                <w:szCs w:val="20"/>
                <w:color w:val="auto"/>
              </w:rPr>
            </w:pPr>
            <w:r>
              <w:rPr>
                <w:rFonts w:ascii="Arial" w:cs="Arial" w:eastAsia="Arial" w:hAnsi="Arial"/>
                <w:sz w:val="16"/>
                <w:szCs w:val="16"/>
                <w:color w:val="auto"/>
              </w:rPr>
              <w:t>16,260</w:t>
            </w:r>
          </w:p>
        </w:tc>
        <w:tc>
          <w:tcPr>
            <w:tcW w:w="340" w:type="dxa"/>
            <w:vAlign w:val="bottom"/>
          </w:tcPr>
          <w:p>
            <w:pPr>
              <w:jc w:val="center"/>
              <w:ind w:right="125"/>
              <w:spacing w:after="0"/>
              <w:rPr>
                <w:sz w:val="20"/>
                <w:szCs w:val="20"/>
                <w:color w:val="auto"/>
              </w:rPr>
            </w:pPr>
            <w:r>
              <w:rPr>
                <w:rFonts w:ascii="Arial" w:cs="Arial" w:eastAsia="Arial" w:hAnsi="Arial"/>
                <w:sz w:val="11"/>
                <w:szCs w:val="11"/>
                <w:color w:val="auto"/>
                <w:w w:val="88"/>
              </w:rPr>
              <w:t>(1)</w:t>
            </w:r>
          </w:p>
        </w:tc>
        <w:tc>
          <w:tcPr>
            <w:tcW w:w="1100" w:type="dxa"/>
            <w:vAlign w:val="bottom"/>
          </w:tcPr>
          <w:p>
            <w:pPr>
              <w:jc w:val="center"/>
              <w:ind w:left="41"/>
              <w:spacing w:after="0"/>
              <w:rPr>
                <w:sz w:val="20"/>
                <w:szCs w:val="20"/>
                <w:color w:val="auto"/>
              </w:rPr>
            </w:pPr>
            <w:r>
              <w:rPr>
                <w:rFonts w:ascii="Arial" w:cs="Arial" w:eastAsia="Arial" w:hAnsi="Arial"/>
                <w:sz w:val="16"/>
                <w:szCs w:val="16"/>
                <w:color w:val="auto"/>
              </w:rPr>
              <w:t>549.83</w:t>
            </w: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2/3/2032</w:t>
            </w:r>
          </w:p>
        </w:tc>
        <w:tc>
          <w:tcPr>
            <w:tcW w:w="1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Scott A. Crum</w:t>
            </w:r>
          </w:p>
        </w:tc>
        <w:tc>
          <w:tcPr>
            <w:tcW w:w="1160" w:type="dxa"/>
            <w:vAlign w:val="bottom"/>
            <w:shd w:val="clear" w:color="auto" w:fill="EDF0FC"/>
          </w:tcPr>
          <w:p>
            <w:pPr>
              <w:spacing w:after="0"/>
              <w:rPr>
                <w:sz w:val="21"/>
                <w:szCs w:val="21"/>
                <w:color w:val="auto"/>
              </w:rPr>
            </w:pPr>
          </w:p>
        </w:tc>
        <w:tc>
          <w:tcPr>
            <w:tcW w:w="340" w:type="dxa"/>
            <w:vAlign w:val="bottom"/>
            <w:vMerge w:val="restart"/>
            <w:shd w:val="clear" w:color="auto" w:fill="EDF0FC"/>
          </w:tcPr>
          <w:p>
            <w:pPr>
              <w:jc w:val="center"/>
              <w:ind w:right="125"/>
              <w:spacing w:after="0"/>
              <w:rPr>
                <w:sz w:val="20"/>
                <w:szCs w:val="20"/>
                <w:color w:val="auto"/>
              </w:rPr>
            </w:pPr>
            <w:r>
              <w:rPr>
                <w:rFonts w:ascii="Arial" w:cs="Arial" w:eastAsia="Arial" w:hAnsi="Arial"/>
                <w:sz w:val="11"/>
                <w:szCs w:val="11"/>
                <w:color w:val="auto"/>
                <w:w w:val="88"/>
              </w:rPr>
              <w:t>(3)</w:t>
            </w:r>
          </w:p>
        </w:tc>
        <w:tc>
          <w:tcPr>
            <w:tcW w:w="1100" w:type="dxa"/>
            <w:vAlign w:val="bottom"/>
            <w:shd w:val="clear" w:color="auto" w:fill="EDF0FC"/>
          </w:tcPr>
          <w:p>
            <w:pPr>
              <w:spacing w:after="0"/>
              <w:rPr>
                <w:sz w:val="21"/>
                <w:szCs w:val="21"/>
                <w:color w:val="auto"/>
              </w:rPr>
            </w:pPr>
          </w:p>
        </w:tc>
        <w:tc>
          <w:tcPr>
            <w:tcW w:w="1100" w:type="dxa"/>
            <w:vAlign w:val="bottom"/>
            <w:shd w:val="clear" w:color="auto" w:fill="EDF0FC"/>
          </w:tcPr>
          <w:p>
            <w:pPr>
              <w:spacing w:after="0"/>
              <w:rPr>
                <w:sz w:val="21"/>
                <w:szCs w:val="21"/>
                <w:color w:val="auto"/>
              </w:rPr>
            </w:pPr>
          </w:p>
        </w:tc>
        <w:tc>
          <w:tcPr>
            <w:tcW w:w="1380" w:type="dxa"/>
            <w:vAlign w:val="bottom"/>
            <w:shd w:val="clear" w:color="auto" w:fill="EDF0FC"/>
          </w:tcPr>
          <w:p>
            <w:pPr>
              <w:jc w:val="right"/>
              <w:ind w:right="184"/>
              <w:spacing w:after="0"/>
              <w:rPr>
                <w:sz w:val="20"/>
                <w:szCs w:val="20"/>
                <w:color w:val="auto"/>
              </w:rPr>
            </w:pPr>
            <w:r>
              <w:rPr>
                <w:rFonts w:ascii="Arial" w:cs="Arial" w:eastAsia="Arial" w:hAnsi="Arial"/>
                <w:sz w:val="16"/>
                <w:szCs w:val="16"/>
                <w:color w:val="auto"/>
              </w:rPr>
              <w:t>2,905</w:t>
            </w:r>
          </w:p>
        </w:tc>
        <w:tc>
          <w:tcPr>
            <w:tcW w:w="1200" w:type="dxa"/>
            <w:vAlign w:val="bottom"/>
            <w:shd w:val="clear" w:color="auto" w:fill="EDF0FC"/>
          </w:tcPr>
          <w:p>
            <w:pPr>
              <w:jc w:val="right"/>
              <w:ind w:right="227"/>
              <w:spacing w:after="0"/>
              <w:rPr>
                <w:sz w:val="20"/>
                <w:szCs w:val="20"/>
                <w:color w:val="auto"/>
              </w:rPr>
            </w:pPr>
            <w:r>
              <w:rPr>
                <w:rFonts w:ascii="Arial" w:cs="Arial" w:eastAsia="Arial" w:hAnsi="Arial"/>
                <w:sz w:val="16"/>
                <w:szCs w:val="16"/>
                <w:color w:val="auto"/>
              </w:rPr>
              <w:t>1,743,029</w:t>
            </w:r>
          </w:p>
        </w:tc>
        <w:tc>
          <w:tcPr>
            <w:tcW w:w="1380" w:type="dxa"/>
            <w:vAlign w:val="bottom"/>
            <w:shd w:val="clear" w:color="auto" w:fill="EDF0FC"/>
          </w:tcPr>
          <w:p>
            <w:pPr>
              <w:jc w:val="right"/>
              <w:ind w:right="205"/>
              <w:spacing w:after="0"/>
              <w:rPr>
                <w:sz w:val="20"/>
                <w:szCs w:val="20"/>
                <w:color w:val="auto"/>
              </w:rPr>
            </w:pPr>
            <w:r>
              <w:rPr>
                <w:rFonts w:ascii="Arial" w:cs="Arial" w:eastAsia="Arial" w:hAnsi="Arial"/>
                <w:sz w:val="16"/>
                <w:szCs w:val="16"/>
                <w:color w:val="auto"/>
              </w:rPr>
              <w:t>9,132</w:t>
            </w:r>
          </w:p>
        </w:tc>
        <w:tc>
          <w:tcPr>
            <w:tcW w:w="1180" w:type="dxa"/>
            <w:vAlign w:val="bottom"/>
            <w:shd w:val="clear" w:color="auto" w:fill="EDF0FC"/>
          </w:tcPr>
          <w:p>
            <w:pPr>
              <w:jc w:val="right"/>
              <w:ind w:right="7"/>
              <w:spacing w:after="0"/>
              <w:rPr>
                <w:sz w:val="20"/>
                <w:szCs w:val="20"/>
                <w:color w:val="auto"/>
              </w:rPr>
            </w:pPr>
            <w:r>
              <w:rPr>
                <w:rFonts w:ascii="Arial" w:cs="Arial" w:eastAsia="Arial" w:hAnsi="Arial"/>
                <w:sz w:val="16"/>
                <w:szCs w:val="16"/>
                <w:color w:val="auto"/>
              </w:rPr>
              <w:t>5,479,291</w:t>
            </w:r>
          </w:p>
        </w:tc>
        <w:tc>
          <w:tcPr>
            <w:tcW w:w="0" w:type="dxa"/>
            <w:vAlign w:val="bottom"/>
          </w:tcPr>
          <w:p>
            <w:pPr>
              <w:spacing w:after="0"/>
              <w:rPr>
                <w:sz w:val="1"/>
                <w:szCs w:val="1"/>
                <w:color w:val="auto"/>
              </w:rPr>
            </w:pPr>
          </w:p>
        </w:tc>
      </w:tr>
      <w:tr>
        <w:trPr>
          <w:trHeight w:val="235"/>
        </w:trPr>
        <w:tc>
          <w:tcPr>
            <w:tcW w:w="2400" w:type="dxa"/>
            <w:vAlign w:val="bottom"/>
            <w:shd w:val="clear" w:color="auto" w:fill="EDF0FC"/>
          </w:tcPr>
          <w:p>
            <w:pPr>
              <w:spacing w:after="0"/>
              <w:rPr>
                <w:sz w:val="20"/>
                <w:szCs w:val="20"/>
                <w:color w:val="auto"/>
              </w:rPr>
            </w:pPr>
          </w:p>
        </w:tc>
        <w:tc>
          <w:tcPr>
            <w:tcW w:w="1160" w:type="dxa"/>
            <w:vAlign w:val="bottom"/>
            <w:shd w:val="clear" w:color="auto" w:fill="EDF0FC"/>
          </w:tcPr>
          <w:p>
            <w:pPr>
              <w:jc w:val="right"/>
              <w:spacing w:after="0"/>
              <w:rPr>
                <w:sz w:val="20"/>
                <w:szCs w:val="20"/>
                <w:color w:val="auto"/>
              </w:rPr>
            </w:pPr>
            <w:r>
              <w:rPr>
                <w:rFonts w:ascii="Arial" w:cs="Arial" w:eastAsia="Arial" w:hAnsi="Arial"/>
                <w:sz w:val="16"/>
                <w:szCs w:val="16"/>
                <w:color w:val="auto"/>
              </w:rPr>
              <w:t>7,198</w:t>
            </w:r>
          </w:p>
        </w:tc>
        <w:tc>
          <w:tcPr>
            <w:tcW w:w="340" w:type="dxa"/>
            <w:vAlign w:val="bottom"/>
            <w:vMerge w:val="continue"/>
            <w:shd w:val="clear" w:color="auto" w:fill="EDF0FC"/>
          </w:tcPr>
          <w:p>
            <w:pPr>
              <w:spacing w:after="0"/>
              <w:rPr>
                <w:sz w:val="20"/>
                <w:szCs w:val="20"/>
                <w:color w:val="auto"/>
              </w:rPr>
            </w:pPr>
          </w:p>
        </w:tc>
        <w:tc>
          <w:tcPr>
            <w:tcW w:w="1100" w:type="dxa"/>
            <w:vAlign w:val="bottom"/>
            <w:shd w:val="clear" w:color="auto" w:fill="EDF0FC"/>
          </w:tcPr>
          <w:p>
            <w:pPr>
              <w:jc w:val="center"/>
              <w:ind w:left="41"/>
              <w:spacing w:after="0"/>
              <w:rPr>
                <w:sz w:val="20"/>
                <w:szCs w:val="20"/>
                <w:color w:val="auto"/>
              </w:rPr>
            </w:pPr>
            <w:r>
              <w:rPr>
                <w:rFonts w:ascii="Arial" w:cs="Arial" w:eastAsia="Arial" w:hAnsi="Arial"/>
                <w:sz w:val="16"/>
                <w:szCs w:val="16"/>
                <w:color w:val="auto"/>
              </w:rPr>
              <w:t>598.62</w:t>
            </w:r>
          </w:p>
        </w:tc>
        <w:tc>
          <w:tcPr>
            <w:tcW w:w="1100" w:type="dxa"/>
            <w:vAlign w:val="bottom"/>
            <w:shd w:val="clear" w:color="auto" w:fill="EDF0FC"/>
          </w:tcPr>
          <w:p>
            <w:pPr>
              <w:jc w:val="right"/>
              <w:ind w:right="121"/>
              <w:spacing w:after="0"/>
              <w:rPr>
                <w:sz w:val="20"/>
                <w:szCs w:val="20"/>
                <w:color w:val="auto"/>
              </w:rPr>
            </w:pPr>
            <w:r>
              <w:rPr>
                <w:rFonts w:ascii="Arial" w:cs="Arial" w:eastAsia="Arial" w:hAnsi="Arial"/>
                <w:sz w:val="16"/>
                <w:szCs w:val="16"/>
                <w:color w:val="auto"/>
              </w:rPr>
              <w:t>2/1/2034</w:t>
            </w:r>
          </w:p>
        </w:tc>
        <w:tc>
          <w:tcPr>
            <w:tcW w:w="1380" w:type="dxa"/>
            <w:vAlign w:val="bottom"/>
            <w:shd w:val="clear" w:color="auto" w:fill="EDF0FC"/>
          </w:tcPr>
          <w:p>
            <w:pPr>
              <w:spacing w:after="0"/>
              <w:rPr>
                <w:sz w:val="20"/>
                <w:szCs w:val="20"/>
                <w:color w:val="auto"/>
              </w:rPr>
            </w:pPr>
          </w:p>
        </w:tc>
        <w:tc>
          <w:tcPr>
            <w:tcW w:w="1200" w:type="dxa"/>
            <w:vAlign w:val="bottom"/>
            <w:shd w:val="clear" w:color="auto" w:fill="EDF0FC"/>
          </w:tcPr>
          <w:p>
            <w:pPr>
              <w:spacing w:after="0"/>
              <w:rPr>
                <w:sz w:val="20"/>
                <w:szCs w:val="20"/>
                <w:color w:val="auto"/>
              </w:rPr>
            </w:pPr>
          </w:p>
        </w:tc>
        <w:tc>
          <w:tcPr>
            <w:tcW w:w="1380" w:type="dxa"/>
            <w:vAlign w:val="bottom"/>
            <w:shd w:val="clear" w:color="auto" w:fill="EDF0FC"/>
          </w:tcPr>
          <w:p>
            <w:pPr>
              <w:spacing w:after="0"/>
              <w:rPr>
                <w:sz w:val="20"/>
                <w:szCs w:val="20"/>
                <w:color w:val="auto"/>
              </w:rPr>
            </w:pPr>
          </w:p>
        </w:tc>
        <w:tc>
          <w:tcPr>
            <w:tcW w:w="1180" w:type="dxa"/>
            <w:vAlign w:val="bottom"/>
            <w:shd w:val="clear" w:color="auto" w:fill="ED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400" w:type="dxa"/>
            <w:vAlign w:val="bottom"/>
            <w:shd w:val="clear" w:color="auto" w:fill="EDF0FC"/>
          </w:tcPr>
          <w:p>
            <w:pPr>
              <w:spacing w:after="0"/>
              <w:rPr>
                <w:sz w:val="21"/>
                <w:szCs w:val="21"/>
                <w:color w:val="auto"/>
              </w:rPr>
            </w:pPr>
          </w:p>
        </w:tc>
        <w:tc>
          <w:tcPr>
            <w:tcW w:w="1160" w:type="dxa"/>
            <w:vAlign w:val="bottom"/>
            <w:shd w:val="clear" w:color="auto" w:fill="EDF0FC"/>
          </w:tcPr>
          <w:p>
            <w:pPr>
              <w:jc w:val="right"/>
              <w:spacing w:after="0"/>
              <w:rPr>
                <w:sz w:val="20"/>
                <w:szCs w:val="20"/>
                <w:color w:val="auto"/>
              </w:rPr>
            </w:pPr>
            <w:r>
              <w:rPr>
                <w:rFonts w:ascii="Arial" w:cs="Arial" w:eastAsia="Arial" w:hAnsi="Arial"/>
                <w:sz w:val="16"/>
                <w:szCs w:val="16"/>
                <w:color w:val="auto"/>
              </w:rPr>
              <w:t>6,576</w:t>
            </w:r>
          </w:p>
        </w:tc>
        <w:tc>
          <w:tcPr>
            <w:tcW w:w="340" w:type="dxa"/>
            <w:vAlign w:val="bottom"/>
            <w:shd w:val="clear" w:color="auto" w:fill="EDF0FC"/>
          </w:tcPr>
          <w:p>
            <w:pPr>
              <w:jc w:val="center"/>
              <w:ind w:right="125"/>
              <w:spacing w:after="0"/>
              <w:rPr>
                <w:sz w:val="20"/>
                <w:szCs w:val="20"/>
                <w:color w:val="auto"/>
              </w:rPr>
            </w:pPr>
            <w:r>
              <w:rPr>
                <w:rFonts w:ascii="Arial" w:cs="Arial" w:eastAsia="Arial" w:hAnsi="Arial"/>
                <w:sz w:val="11"/>
                <w:szCs w:val="11"/>
                <w:color w:val="auto"/>
                <w:w w:val="88"/>
              </w:rPr>
              <w:t>(2)</w:t>
            </w:r>
          </w:p>
        </w:tc>
        <w:tc>
          <w:tcPr>
            <w:tcW w:w="1100" w:type="dxa"/>
            <w:vAlign w:val="bottom"/>
            <w:shd w:val="clear" w:color="auto" w:fill="EDF0FC"/>
          </w:tcPr>
          <w:p>
            <w:pPr>
              <w:jc w:val="center"/>
              <w:ind w:left="41"/>
              <w:spacing w:after="0"/>
              <w:rPr>
                <w:sz w:val="20"/>
                <w:szCs w:val="20"/>
                <w:color w:val="auto"/>
              </w:rPr>
            </w:pPr>
            <w:r>
              <w:rPr>
                <w:rFonts w:ascii="Arial" w:cs="Arial" w:eastAsia="Arial" w:hAnsi="Arial"/>
                <w:sz w:val="16"/>
                <w:szCs w:val="16"/>
                <w:color w:val="auto"/>
              </w:rPr>
              <w:t>554.52</w:t>
            </w:r>
          </w:p>
        </w:tc>
        <w:tc>
          <w:tcPr>
            <w:tcW w:w="1100" w:type="dxa"/>
            <w:vAlign w:val="bottom"/>
            <w:shd w:val="clear" w:color="auto" w:fill="EDF0FC"/>
          </w:tcPr>
          <w:p>
            <w:pPr>
              <w:jc w:val="right"/>
              <w:ind w:right="121"/>
              <w:spacing w:after="0"/>
              <w:rPr>
                <w:sz w:val="20"/>
                <w:szCs w:val="20"/>
                <w:color w:val="auto"/>
              </w:rPr>
            </w:pPr>
            <w:r>
              <w:rPr>
                <w:rFonts w:ascii="Arial" w:cs="Arial" w:eastAsia="Arial" w:hAnsi="Arial"/>
                <w:sz w:val="16"/>
                <w:szCs w:val="16"/>
                <w:color w:val="auto"/>
              </w:rPr>
              <w:t>2/2/2033</w:t>
            </w:r>
          </w:p>
        </w:tc>
        <w:tc>
          <w:tcPr>
            <w:tcW w:w="1380" w:type="dxa"/>
            <w:vAlign w:val="bottom"/>
            <w:shd w:val="clear" w:color="auto" w:fill="EDF0FC"/>
          </w:tcPr>
          <w:p>
            <w:pPr>
              <w:spacing w:after="0"/>
              <w:rPr>
                <w:sz w:val="21"/>
                <w:szCs w:val="21"/>
                <w:color w:val="auto"/>
              </w:rPr>
            </w:pPr>
          </w:p>
        </w:tc>
        <w:tc>
          <w:tcPr>
            <w:tcW w:w="1200" w:type="dxa"/>
            <w:vAlign w:val="bottom"/>
            <w:shd w:val="clear" w:color="auto" w:fill="EDF0FC"/>
          </w:tcPr>
          <w:p>
            <w:pPr>
              <w:spacing w:after="0"/>
              <w:rPr>
                <w:sz w:val="21"/>
                <w:szCs w:val="21"/>
                <w:color w:val="auto"/>
              </w:rPr>
            </w:pPr>
          </w:p>
        </w:tc>
        <w:tc>
          <w:tcPr>
            <w:tcW w:w="1380" w:type="dxa"/>
            <w:vAlign w:val="bottom"/>
            <w:shd w:val="clear" w:color="auto" w:fill="EDF0FC"/>
          </w:tcPr>
          <w:p>
            <w:pPr>
              <w:spacing w:after="0"/>
              <w:rPr>
                <w:sz w:val="21"/>
                <w:szCs w:val="21"/>
                <w:color w:val="auto"/>
              </w:rPr>
            </w:pPr>
          </w:p>
        </w:tc>
        <w:tc>
          <w:tcPr>
            <w:tcW w:w="1180" w:type="dxa"/>
            <w:vAlign w:val="bottom"/>
            <w:shd w:val="clear" w:color="auto" w:fill="EDF0FC"/>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400" w:type="dxa"/>
            <w:vAlign w:val="bottom"/>
            <w:shd w:val="clear" w:color="auto" w:fill="EDF0FC"/>
          </w:tcPr>
          <w:p>
            <w:pPr>
              <w:spacing w:after="0"/>
              <w:rPr>
                <w:sz w:val="22"/>
                <w:szCs w:val="22"/>
                <w:color w:val="auto"/>
              </w:rPr>
            </w:pPr>
          </w:p>
        </w:tc>
        <w:tc>
          <w:tcPr>
            <w:tcW w:w="1160" w:type="dxa"/>
            <w:vAlign w:val="bottom"/>
            <w:shd w:val="clear" w:color="auto" w:fill="EDF0FC"/>
          </w:tcPr>
          <w:p>
            <w:pPr>
              <w:jc w:val="right"/>
              <w:spacing w:after="0"/>
              <w:rPr>
                <w:sz w:val="20"/>
                <w:szCs w:val="20"/>
                <w:color w:val="auto"/>
              </w:rPr>
            </w:pPr>
            <w:r>
              <w:rPr>
                <w:rFonts w:ascii="Arial" w:cs="Arial" w:eastAsia="Arial" w:hAnsi="Arial"/>
                <w:sz w:val="16"/>
                <w:szCs w:val="16"/>
                <w:color w:val="auto"/>
              </w:rPr>
              <w:t>3,415</w:t>
            </w:r>
          </w:p>
        </w:tc>
        <w:tc>
          <w:tcPr>
            <w:tcW w:w="340" w:type="dxa"/>
            <w:vAlign w:val="bottom"/>
            <w:shd w:val="clear" w:color="auto" w:fill="EDF0FC"/>
          </w:tcPr>
          <w:p>
            <w:pPr>
              <w:jc w:val="center"/>
              <w:ind w:right="125"/>
              <w:spacing w:after="0"/>
              <w:rPr>
                <w:sz w:val="20"/>
                <w:szCs w:val="20"/>
                <w:color w:val="auto"/>
              </w:rPr>
            </w:pPr>
            <w:r>
              <w:rPr>
                <w:rFonts w:ascii="Arial" w:cs="Arial" w:eastAsia="Arial" w:hAnsi="Arial"/>
                <w:sz w:val="11"/>
                <w:szCs w:val="11"/>
                <w:color w:val="auto"/>
                <w:w w:val="88"/>
              </w:rPr>
              <w:t>(1)</w:t>
            </w:r>
          </w:p>
        </w:tc>
        <w:tc>
          <w:tcPr>
            <w:tcW w:w="1100" w:type="dxa"/>
            <w:vAlign w:val="bottom"/>
            <w:shd w:val="clear" w:color="auto" w:fill="EDF0FC"/>
          </w:tcPr>
          <w:p>
            <w:pPr>
              <w:jc w:val="center"/>
              <w:ind w:left="41"/>
              <w:spacing w:after="0"/>
              <w:rPr>
                <w:sz w:val="20"/>
                <w:szCs w:val="20"/>
                <w:color w:val="auto"/>
              </w:rPr>
            </w:pPr>
            <w:r>
              <w:rPr>
                <w:rFonts w:ascii="Arial" w:cs="Arial" w:eastAsia="Arial" w:hAnsi="Arial"/>
                <w:sz w:val="16"/>
                <w:szCs w:val="16"/>
                <w:color w:val="auto"/>
              </w:rPr>
              <w:t>549.83</w:t>
            </w:r>
          </w:p>
        </w:tc>
        <w:tc>
          <w:tcPr>
            <w:tcW w:w="1100" w:type="dxa"/>
            <w:vAlign w:val="bottom"/>
            <w:shd w:val="clear" w:color="auto" w:fill="EDF0FC"/>
          </w:tcPr>
          <w:p>
            <w:pPr>
              <w:jc w:val="right"/>
              <w:ind w:right="121"/>
              <w:spacing w:after="0"/>
              <w:rPr>
                <w:sz w:val="20"/>
                <w:szCs w:val="20"/>
                <w:color w:val="auto"/>
              </w:rPr>
            </w:pPr>
            <w:r>
              <w:rPr>
                <w:rFonts w:ascii="Arial" w:cs="Arial" w:eastAsia="Arial" w:hAnsi="Arial"/>
                <w:sz w:val="16"/>
                <w:szCs w:val="16"/>
                <w:color w:val="auto"/>
              </w:rPr>
              <w:t>2/3/2032</w:t>
            </w:r>
          </w:p>
        </w:tc>
        <w:tc>
          <w:tcPr>
            <w:tcW w:w="1380" w:type="dxa"/>
            <w:vAlign w:val="bottom"/>
            <w:shd w:val="clear" w:color="auto" w:fill="EDF0FC"/>
          </w:tcPr>
          <w:p>
            <w:pPr>
              <w:spacing w:after="0"/>
              <w:rPr>
                <w:sz w:val="22"/>
                <w:szCs w:val="22"/>
                <w:color w:val="auto"/>
              </w:rPr>
            </w:pPr>
          </w:p>
        </w:tc>
        <w:tc>
          <w:tcPr>
            <w:tcW w:w="1200" w:type="dxa"/>
            <w:vAlign w:val="bottom"/>
            <w:shd w:val="clear" w:color="auto" w:fill="EDF0FC"/>
          </w:tcPr>
          <w:p>
            <w:pPr>
              <w:spacing w:after="0"/>
              <w:rPr>
                <w:sz w:val="22"/>
                <w:szCs w:val="22"/>
                <w:color w:val="auto"/>
              </w:rPr>
            </w:pPr>
          </w:p>
        </w:tc>
        <w:tc>
          <w:tcPr>
            <w:tcW w:w="1380" w:type="dxa"/>
            <w:vAlign w:val="bottom"/>
            <w:shd w:val="clear" w:color="auto" w:fill="EDF0FC"/>
          </w:tcPr>
          <w:p>
            <w:pPr>
              <w:spacing w:after="0"/>
              <w:rPr>
                <w:sz w:val="22"/>
                <w:szCs w:val="22"/>
                <w:color w:val="auto"/>
              </w:rPr>
            </w:pPr>
          </w:p>
        </w:tc>
        <w:tc>
          <w:tcPr>
            <w:tcW w:w="1180" w:type="dxa"/>
            <w:vAlign w:val="bottom"/>
            <w:shd w:val="clear" w:color="auto" w:fill="EDF0FC"/>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3560" w:type="dxa"/>
            <w:vAlign w:val="bottom"/>
            <w:gridSpan w:val="2"/>
          </w:tcPr>
          <w:p>
            <w:pPr>
              <w:ind w:left="20"/>
              <w:spacing w:after="0"/>
              <w:rPr>
                <w:sz w:val="20"/>
                <w:szCs w:val="20"/>
                <w:color w:val="auto"/>
              </w:rPr>
            </w:pPr>
            <w:r>
              <w:rPr>
                <w:rFonts w:ascii="Arial" w:cs="Arial" w:eastAsia="Arial" w:hAnsi="Arial"/>
                <w:sz w:val="16"/>
                <w:szCs w:val="16"/>
                <w:b w:val="1"/>
                <w:bCs w:val="1"/>
                <w:color w:val="1A3FD6"/>
              </w:rPr>
              <w:t>Robert J. Gutowski</w:t>
            </w:r>
          </w:p>
        </w:tc>
        <w:tc>
          <w:tcPr>
            <w:tcW w:w="340" w:type="dxa"/>
            <w:vAlign w:val="bottom"/>
            <w:vMerge w:val="restart"/>
          </w:tcPr>
          <w:p>
            <w:pPr>
              <w:jc w:val="center"/>
              <w:ind w:right="125"/>
              <w:spacing w:after="0"/>
              <w:rPr>
                <w:sz w:val="20"/>
                <w:szCs w:val="20"/>
                <w:color w:val="auto"/>
              </w:rPr>
            </w:pPr>
            <w:r>
              <w:rPr>
                <w:rFonts w:ascii="Arial" w:cs="Arial" w:eastAsia="Arial" w:hAnsi="Arial"/>
                <w:sz w:val="11"/>
                <w:szCs w:val="11"/>
                <w:color w:val="auto"/>
                <w:w w:val="88"/>
              </w:rPr>
              <w:t>(3)</w:t>
            </w:r>
          </w:p>
        </w:tc>
        <w:tc>
          <w:tcPr>
            <w:tcW w:w="1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80" w:type="dxa"/>
            <w:vAlign w:val="bottom"/>
          </w:tcPr>
          <w:p>
            <w:pPr>
              <w:jc w:val="right"/>
              <w:ind w:right="184"/>
              <w:spacing w:after="0"/>
              <w:rPr>
                <w:sz w:val="20"/>
                <w:szCs w:val="20"/>
                <w:color w:val="auto"/>
              </w:rPr>
            </w:pPr>
            <w:r>
              <w:rPr>
                <w:rFonts w:ascii="Arial" w:cs="Arial" w:eastAsia="Arial" w:hAnsi="Arial"/>
                <w:sz w:val="16"/>
                <w:szCs w:val="16"/>
                <w:color w:val="auto"/>
              </w:rPr>
              <w:t>2,113</w:t>
            </w:r>
          </w:p>
        </w:tc>
        <w:tc>
          <w:tcPr>
            <w:tcW w:w="1200" w:type="dxa"/>
            <w:vAlign w:val="bottom"/>
          </w:tcPr>
          <w:p>
            <w:pPr>
              <w:jc w:val="right"/>
              <w:ind w:right="227"/>
              <w:spacing w:after="0"/>
              <w:rPr>
                <w:sz w:val="20"/>
                <w:szCs w:val="20"/>
                <w:color w:val="auto"/>
              </w:rPr>
            </w:pPr>
            <w:r>
              <w:rPr>
                <w:rFonts w:ascii="Arial" w:cs="Arial" w:eastAsia="Arial" w:hAnsi="Arial"/>
                <w:sz w:val="16"/>
                <w:szCs w:val="16"/>
                <w:color w:val="auto"/>
              </w:rPr>
              <w:t>1,267,821</w:t>
            </w:r>
          </w:p>
        </w:tc>
        <w:tc>
          <w:tcPr>
            <w:tcW w:w="1380" w:type="dxa"/>
            <w:vAlign w:val="bottom"/>
          </w:tcPr>
          <w:p>
            <w:pPr>
              <w:jc w:val="right"/>
              <w:ind w:right="205"/>
              <w:spacing w:after="0"/>
              <w:rPr>
                <w:sz w:val="20"/>
                <w:szCs w:val="20"/>
                <w:color w:val="auto"/>
              </w:rPr>
            </w:pPr>
            <w:r>
              <w:rPr>
                <w:rFonts w:ascii="Arial" w:cs="Arial" w:eastAsia="Arial" w:hAnsi="Arial"/>
                <w:sz w:val="16"/>
                <w:szCs w:val="16"/>
                <w:color w:val="auto"/>
              </w:rPr>
              <w:t>4,042</w:t>
            </w:r>
          </w:p>
        </w:tc>
        <w:tc>
          <w:tcPr>
            <w:tcW w:w="1180" w:type="dxa"/>
            <w:vAlign w:val="bottom"/>
          </w:tcPr>
          <w:p>
            <w:pPr>
              <w:jc w:val="right"/>
              <w:ind w:right="7"/>
              <w:spacing w:after="0"/>
              <w:rPr>
                <w:sz w:val="20"/>
                <w:szCs w:val="20"/>
                <w:color w:val="auto"/>
              </w:rPr>
            </w:pPr>
            <w:r>
              <w:rPr>
                <w:rFonts w:ascii="Arial" w:cs="Arial" w:eastAsia="Arial" w:hAnsi="Arial"/>
                <w:sz w:val="16"/>
                <w:szCs w:val="16"/>
                <w:color w:val="auto"/>
              </w:rPr>
              <w:t>2,425,240</w:t>
            </w:r>
          </w:p>
        </w:tc>
        <w:tc>
          <w:tcPr>
            <w:tcW w:w="0" w:type="dxa"/>
            <w:vAlign w:val="bottom"/>
          </w:tcPr>
          <w:p>
            <w:pPr>
              <w:spacing w:after="0"/>
              <w:rPr>
                <w:sz w:val="1"/>
                <w:szCs w:val="1"/>
                <w:color w:val="auto"/>
              </w:rPr>
            </w:pPr>
          </w:p>
        </w:tc>
      </w:tr>
      <w:tr>
        <w:trPr>
          <w:trHeight w:val="235"/>
        </w:trPr>
        <w:tc>
          <w:tcPr>
            <w:tcW w:w="3560" w:type="dxa"/>
            <w:vAlign w:val="bottom"/>
            <w:gridSpan w:val="2"/>
          </w:tcPr>
          <w:p>
            <w:pPr>
              <w:jc w:val="right"/>
              <w:spacing w:after="0"/>
              <w:rPr>
                <w:sz w:val="20"/>
                <w:szCs w:val="20"/>
                <w:color w:val="auto"/>
              </w:rPr>
            </w:pPr>
            <w:r>
              <w:rPr>
                <w:rFonts w:ascii="Arial" w:cs="Arial" w:eastAsia="Arial" w:hAnsi="Arial"/>
                <w:sz w:val="16"/>
                <w:szCs w:val="16"/>
                <w:color w:val="auto"/>
              </w:rPr>
              <w:t>5,218</w:t>
            </w:r>
          </w:p>
        </w:tc>
        <w:tc>
          <w:tcPr>
            <w:tcW w:w="340" w:type="dxa"/>
            <w:vAlign w:val="bottom"/>
            <w:vMerge w:val="continue"/>
          </w:tcPr>
          <w:p>
            <w:pPr>
              <w:spacing w:after="0"/>
              <w:rPr>
                <w:sz w:val="20"/>
                <w:szCs w:val="20"/>
                <w:color w:val="auto"/>
              </w:rPr>
            </w:pPr>
          </w:p>
        </w:tc>
        <w:tc>
          <w:tcPr>
            <w:tcW w:w="1100" w:type="dxa"/>
            <w:vAlign w:val="bottom"/>
          </w:tcPr>
          <w:p>
            <w:pPr>
              <w:jc w:val="center"/>
              <w:ind w:left="41"/>
              <w:spacing w:after="0"/>
              <w:rPr>
                <w:sz w:val="20"/>
                <w:szCs w:val="20"/>
                <w:color w:val="auto"/>
              </w:rPr>
            </w:pPr>
            <w:r>
              <w:rPr>
                <w:rFonts w:ascii="Arial" w:cs="Arial" w:eastAsia="Arial" w:hAnsi="Arial"/>
                <w:sz w:val="16"/>
                <w:szCs w:val="16"/>
                <w:color w:val="auto"/>
              </w:rPr>
              <w:t>598.62</w:t>
            </w: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2/1/2034</w:t>
            </w:r>
          </w:p>
        </w:tc>
        <w:tc>
          <w:tcPr>
            <w:tcW w:w="1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jc w:val="right"/>
              <w:spacing w:after="0"/>
              <w:rPr>
                <w:sz w:val="20"/>
                <w:szCs w:val="20"/>
                <w:color w:val="auto"/>
              </w:rPr>
            </w:pPr>
            <w:r>
              <w:rPr>
                <w:rFonts w:ascii="Arial" w:cs="Arial" w:eastAsia="Arial" w:hAnsi="Arial"/>
                <w:sz w:val="16"/>
                <w:szCs w:val="16"/>
                <w:color w:val="auto"/>
              </w:rPr>
              <w:t>4,798</w:t>
            </w:r>
          </w:p>
        </w:tc>
        <w:tc>
          <w:tcPr>
            <w:tcW w:w="340" w:type="dxa"/>
            <w:vAlign w:val="bottom"/>
          </w:tcPr>
          <w:p>
            <w:pPr>
              <w:jc w:val="center"/>
              <w:ind w:right="125"/>
              <w:spacing w:after="0"/>
              <w:rPr>
                <w:sz w:val="20"/>
                <w:szCs w:val="20"/>
                <w:color w:val="auto"/>
              </w:rPr>
            </w:pPr>
            <w:r>
              <w:rPr>
                <w:rFonts w:ascii="Arial" w:cs="Arial" w:eastAsia="Arial" w:hAnsi="Arial"/>
                <w:sz w:val="11"/>
                <w:szCs w:val="11"/>
                <w:color w:val="auto"/>
                <w:w w:val="88"/>
              </w:rPr>
              <w:t>(2)</w:t>
            </w:r>
          </w:p>
        </w:tc>
        <w:tc>
          <w:tcPr>
            <w:tcW w:w="1100" w:type="dxa"/>
            <w:vAlign w:val="bottom"/>
          </w:tcPr>
          <w:p>
            <w:pPr>
              <w:jc w:val="center"/>
              <w:ind w:left="41"/>
              <w:spacing w:after="0"/>
              <w:rPr>
                <w:sz w:val="20"/>
                <w:szCs w:val="20"/>
                <w:color w:val="auto"/>
              </w:rPr>
            </w:pPr>
            <w:r>
              <w:rPr>
                <w:rFonts w:ascii="Arial" w:cs="Arial" w:eastAsia="Arial" w:hAnsi="Arial"/>
                <w:sz w:val="16"/>
                <w:szCs w:val="16"/>
                <w:color w:val="auto"/>
              </w:rPr>
              <w:t>554.52</w:t>
            </w:r>
          </w:p>
        </w:tc>
        <w:tc>
          <w:tcPr>
            <w:tcW w:w="1100" w:type="dxa"/>
            <w:vAlign w:val="bottom"/>
          </w:tcPr>
          <w:p>
            <w:pPr>
              <w:jc w:val="right"/>
              <w:ind w:right="121"/>
              <w:spacing w:after="0"/>
              <w:rPr>
                <w:sz w:val="20"/>
                <w:szCs w:val="20"/>
                <w:color w:val="auto"/>
              </w:rPr>
            </w:pPr>
            <w:r>
              <w:rPr>
                <w:rFonts w:ascii="Arial" w:cs="Arial" w:eastAsia="Arial" w:hAnsi="Arial"/>
                <w:sz w:val="16"/>
                <w:szCs w:val="16"/>
                <w:color w:val="auto"/>
              </w:rPr>
              <w:t>2/2/2033</w:t>
            </w:r>
          </w:p>
        </w:tc>
        <w:tc>
          <w:tcPr>
            <w:tcW w:w="1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2,484</w:t>
            </w:r>
          </w:p>
        </w:tc>
        <w:tc>
          <w:tcPr>
            <w:tcW w:w="340" w:type="dxa"/>
            <w:vAlign w:val="bottom"/>
            <w:tcBorders>
              <w:bottom w:val="single" w:sz="8" w:color="auto"/>
            </w:tcBorders>
          </w:tcPr>
          <w:p>
            <w:pPr>
              <w:jc w:val="center"/>
              <w:ind w:right="125"/>
              <w:spacing w:after="0"/>
              <w:rPr>
                <w:sz w:val="20"/>
                <w:szCs w:val="20"/>
                <w:color w:val="auto"/>
              </w:rPr>
            </w:pPr>
            <w:r>
              <w:rPr>
                <w:rFonts w:ascii="Arial" w:cs="Arial" w:eastAsia="Arial" w:hAnsi="Arial"/>
                <w:sz w:val="11"/>
                <w:szCs w:val="11"/>
                <w:color w:val="auto"/>
                <w:w w:val="88"/>
              </w:rPr>
              <w:t>(1)</w:t>
            </w:r>
          </w:p>
        </w:tc>
        <w:tc>
          <w:tcPr>
            <w:tcW w:w="1100" w:type="dxa"/>
            <w:vAlign w:val="bottom"/>
            <w:tcBorders>
              <w:bottom w:val="single" w:sz="8" w:color="auto"/>
            </w:tcBorders>
          </w:tcPr>
          <w:p>
            <w:pPr>
              <w:jc w:val="center"/>
              <w:ind w:left="41"/>
              <w:spacing w:after="0"/>
              <w:rPr>
                <w:sz w:val="20"/>
                <w:szCs w:val="20"/>
                <w:color w:val="auto"/>
              </w:rPr>
            </w:pPr>
            <w:r>
              <w:rPr>
                <w:rFonts w:ascii="Arial" w:cs="Arial" w:eastAsia="Arial" w:hAnsi="Arial"/>
                <w:sz w:val="16"/>
                <w:szCs w:val="16"/>
                <w:color w:val="auto"/>
              </w:rPr>
              <w:t>549.83</w:t>
            </w: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2/3/2032</w:t>
            </w:r>
          </w:p>
        </w:tc>
        <w:tc>
          <w:tcPr>
            <w:tcW w:w="1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00" w:right="60" w:hanging="192"/>
        <w:spacing w:after="0" w:line="296" w:lineRule="auto"/>
        <w:tabs>
          <w:tab w:leader="none" w:pos="187" w:val="left"/>
        </w:tabs>
        <w:numPr>
          <w:ilvl w:val="0"/>
          <w:numId w:val="93"/>
        </w:numPr>
        <w:rPr>
          <w:rFonts w:ascii="Arial" w:cs="Arial" w:eastAsia="Arial" w:hAnsi="Arial"/>
          <w:sz w:val="9"/>
          <w:szCs w:val="9"/>
          <w:color w:val="auto"/>
        </w:rPr>
      </w:pPr>
      <w:r>
        <w:rPr>
          <w:rFonts w:ascii="Arial" w:cs="Arial" w:eastAsia="Arial" w:hAnsi="Arial"/>
          <w:sz w:val="14"/>
          <w:szCs w:val="14"/>
          <w:color w:val="auto"/>
        </w:rPr>
        <w:t>Represents the award of PSOs that was granted on February 3, 2022, which 2022 PSOs were unexercised and unearned as of December 31, 2024 and remain subject to performance adjustment and forfeiture provisions. These values represent the number of stock options each NEO would receive upon vesting, assuming target attainment of the applicable performance goals. This column does not give effect to retirement provisions as detailed below under “—Potential Payments Upon Termination or Change in Control—Equity Acceleration.”</w:t>
      </w:r>
    </w:p>
    <w:p>
      <w:pPr>
        <w:spacing w:after="0" w:line="15" w:lineRule="exact"/>
        <w:rPr>
          <w:rFonts w:ascii="Arial" w:cs="Arial" w:eastAsia="Arial" w:hAnsi="Arial"/>
          <w:sz w:val="9"/>
          <w:szCs w:val="9"/>
          <w:color w:val="auto"/>
        </w:rPr>
      </w:pPr>
    </w:p>
    <w:p>
      <w:pPr>
        <w:ind w:left="200" w:hanging="192"/>
        <w:spacing w:after="0" w:line="258" w:lineRule="auto"/>
        <w:tabs>
          <w:tab w:leader="none" w:pos="187" w:val="left"/>
        </w:tabs>
        <w:numPr>
          <w:ilvl w:val="0"/>
          <w:numId w:val="93"/>
        </w:numPr>
        <w:rPr>
          <w:rFonts w:ascii="Arial" w:cs="Arial" w:eastAsia="Arial" w:hAnsi="Arial"/>
          <w:sz w:val="19"/>
          <w:szCs w:val="19"/>
          <w:color w:val="auto"/>
          <w:vertAlign w:val="superscript"/>
        </w:rPr>
      </w:pPr>
      <w:r>
        <w:rPr>
          <w:rFonts w:ascii="Arial" w:cs="Arial" w:eastAsia="Arial" w:hAnsi="Arial"/>
          <w:sz w:val="14"/>
          <w:szCs w:val="14"/>
          <w:color w:val="auto"/>
        </w:rPr>
        <w:t>Represents the award of PSOs that was granted on February 2, 2023, which 2023 PSOs were unexercised and unearned as of December 31, 2024 and remain subject to performance adjustment and forfeiture provisions. These values represent the number of stock options each NEO would receive upon vesting, assuming maximum attainment of the applicable performance goals. This column does not give effect to retirement provisions as detailed below under “—Potential Payments Upon Termination or Change in Control—Equity Acceleration.”</w:t>
      </w:r>
    </w:p>
    <w:p>
      <w:pPr>
        <w:spacing w:after="0" w:line="42" w:lineRule="exact"/>
        <w:rPr>
          <w:rFonts w:ascii="Arial" w:cs="Arial" w:eastAsia="Arial" w:hAnsi="Arial"/>
          <w:sz w:val="19"/>
          <w:szCs w:val="19"/>
          <w:color w:val="auto"/>
          <w:vertAlign w:val="superscript"/>
        </w:rPr>
      </w:pPr>
    </w:p>
    <w:p>
      <w:pPr>
        <w:ind w:left="200" w:hanging="192"/>
        <w:spacing w:after="0" w:line="296" w:lineRule="auto"/>
        <w:tabs>
          <w:tab w:leader="none" w:pos="187" w:val="left"/>
        </w:tabs>
        <w:numPr>
          <w:ilvl w:val="0"/>
          <w:numId w:val="93"/>
        </w:numPr>
        <w:rPr>
          <w:rFonts w:ascii="Arial" w:cs="Arial" w:eastAsia="Arial" w:hAnsi="Arial"/>
          <w:sz w:val="9"/>
          <w:szCs w:val="9"/>
          <w:color w:val="auto"/>
        </w:rPr>
      </w:pPr>
      <w:r>
        <w:rPr>
          <w:rFonts w:ascii="Arial" w:cs="Arial" w:eastAsia="Arial" w:hAnsi="Arial"/>
          <w:sz w:val="14"/>
          <w:szCs w:val="14"/>
          <w:color w:val="auto"/>
        </w:rPr>
        <w:t>Represents the award of PSOs that was granted on February 1, 2024, which 2024 PSOs were unexercised and unearned as of December 31, 2024 and remain subject to performance adjustment and forfeiture provisions. These values represent the number of stock options each NEO would receive upon vesting, assuming maximum attainment of the applicable performance goals. This column does not give effect to retirement provisions as detailed below under “—Potential Payments Upon Termination or Change in Control—Equity Acceleration.”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688975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89" w:name="page90"/>
    <w:bookmarkEnd w:id="89"/>
    <w:p>
      <w:pPr>
        <w:ind w:left="800" w:hanging="709"/>
        <w:spacing w:after="0"/>
        <w:tabs>
          <w:tab w:leader="none" w:pos="800" w:val="left"/>
        </w:tabs>
        <w:numPr>
          <w:ilvl w:val="1"/>
          <w:numId w:val="94"/>
        </w:numPr>
        <w:rPr>
          <w:rFonts w:ascii="Arial" w:cs="Arial" w:eastAsia="Arial" w:hAnsi="Arial"/>
          <w:sz w:val="14"/>
          <w:szCs w:val="14"/>
          <w:b w:val="1"/>
          <w:bCs w:val="1"/>
          <w:color w:val="1A3FD6"/>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2025 PROXY STATEMENT</w:t>
      </w:r>
    </w:p>
    <w:p>
      <w:pPr>
        <w:spacing w:after="0" w:line="200" w:lineRule="exact"/>
        <w:rPr>
          <w:rFonts w:ascii="Arial" w:cs="Arial" w:eastAsia="Arial" w:hAnsi="Arial"/>
          <w:sz w:val="14"/>
          <w:szCs w:val="14"/>
          <w:b w:val="1"/>
          <w:bCs w:val="1"/>
          <w:color w:val="1A3FD6"/>
        </w:rPr>
      </w:pPr>
    </w:p>
    <w:p>
      <w:pPr>
        <w:spacing w:after="0" w:line="200" w:lineRule="exact"/>
        <w:rPr>
          <w:rFonts w:ascii="Arial" w:cs="Arial" w:eastAsia="Arial" w:hAnsi="Arial"/>
          <w:sz w:val="14"/>
          <w:szCs w:val="14"/>
          <w:b w:val="1"/>
          <w:bCs w:val="1"/>
          <w:color w:val="1A3FD6"/>
        </w:rPr>
      </w:pPr>
    </w:p>
    <w:p>
      <w:pPr>
        <w:spacing w:after="0" w:line="303" w:lineRule="exact"/>
        <w:rPr>
          <w:rFonts w:ascii="Arial" w:cs="Arial" w:eastAsia="Arial" w:hAnsi="Arial"/>
          <w:sz w:val="14"/>
          <w:szCs w:val="14"/>
          <w:b w:val="1"/>
          <w:bCs w:val="1"/>
          <w:color w:val="1A3FD6"/>
        </w:rPr>
      </w:pPr>
    </w:p>
    <w:p>
      <w:pPr>
        <w:ind w:left="200" w:right="120" w:hanging="192"/>
        <w:spacing w:after="0" w:line="239" w:lineRule="auto"/>
        <w:tabs>
          <w:tab w:leader="none" w:pos="187" w:val="left"/>
        </w:tabs>
        <w:numPr>
          <w:ilvl w:val="0"/>
          <w:numId w:val="95"/>
        </w:numPr>
        <w:rPr>
          <w:rFonts w:ascii="Arial" w:cs="Arial" w:eastAsia="Arial" w:hAnsi="Arial"/>
          <w:sz w:val="19"/>
          <w:szCs w:val="19"/>
          <w:color w:val="auto"/>
          <w:vertAlign w:val="superscript"/>
        </w:rPr>
      </w:pPr>
      <w:r>
        <w:rPr>
          <w:rFonts w:ascii="Arial" w:cs="Arial" w:eastAsia="Arial" w:hAnsi="Arial"/>
          <w:sz w:val="14"/>
          <w:szCs w:val="14"/>
          <w:color w:val="auto"/>
        </w:rPr>
        <w:t>Represents unvested RSUs outstanding as of December 31, 2024. This column does not give effect to retirement provisions as detailed below under “—Potential Payments Upon Termination or Change in Control—Equity Acceleration.” The number of RSUs included in this table vest on the following dates for each NEO:</w:t>
      </w:r>
    </w:p>
    <w:p>
      <w:pPr>
        <w:spacing w:after="0" w:line="99" w:lineRule="exact"/>
        <w:rPr>
          <w:sz w:val="20"/>
          <w:szCs w:val="20"/>
          <w:color w:val="auto"/>
        </w:rPr>
      </w:pPr>
    </w:p>
    <w:tbl>
      <w:tblPr>
        <w:tblLayout w:type="fixed"/>
        <w:tblInd w:w="200" w:type="dxa"/>
        <w:tblCellMar>
          <w:top w:w="0" w:type="dxa"/>
          <w:left w:w="0" w:type="dxa"/>
          <w:bottom w:w="0" w:type="dxa"/>
          <w:right w:w="0" w:type="dxa"/>
        </w:tblCellMar>
      </w:tblPr>
      <w:tr>
        <w:trPr>
          <w:trHeight w:val="172"/>
        </w:trPr>
        <w:tc>
          <w:tcPr>
            <w:tcW w:w="6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360" w:type="dxa"/>
            <w:vAlign w:val="bottom"/>
            <w:gridSpan w:val="2"/>
          </w:tcPr>
          <w:p>
            <w:pPr>
              <w:jc w:val="right"/>
              <w:ind w:right="290"/>
              <w:spacing w:after="0"/>
              <w:rPr>
                <w:sz w:val="20"/>
                <w:szCs w:val="20"/>
                <w:color w:val="auto"/>
              </w:rPr>
            </w:pPr>
            <w:r>
              <w:rPr>
                <w:rFonts w:ascii="Arial" w:cs="Arial" w:eastAsia="Arial" w:hAnsi="Arial"/>
                <w:sz w:val="13"/>
                <w:szCs w:val="13"/>
                <w:b w:val="1"/>
                <w:bCs w:val="1"/>
                <w:color w:val="auto"/>
                <w:w w:val="96"/>
              </w:rPr>
              <w:t>Number of RSUs by Vesting Date</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66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060" w:type="dxa"/>
            <w:vAlign w:val="bottom"/>
            <w:tcBorders>
              <w:bottom w:val="single" w:sz="8" w:color="1A3FD6"/>
            </w:tcBorders>
          </w:tcPr>
          <w:p>
            <w:pPr>
              <w:spacing w:after="0" w:line="20" w:lineRule="exact"/>
              <w:rPr>
                <w:sz w:val="1"/>
                <w:szCs w:val="1"/>
                <w:color w:val="auto"/>
              </w:rPr>
            </w:pPr>
          </w:p>
        </w:tc>
        <w:tc>
          <w:tcPr>
            <w:tcW w:w="1280" w:type="dxa"/>
            <w:vAlign w:val="bottom"/>
            <w:tcBorders>
              <w:bottom w:val="single" w:sz="8" w:color="1A3FD6"/>
            </w:tcBorders>
          </w:tcPr>
          <w:p>
            <w:pPr>
              <w:spacing w:after="0" w:line="20" w:lineRule="exact"/>
              <w:rPr>
                <w:sz w:val="1"/>
                <w:szCs w:val="1"/>
                <w:color w:val="auto"/>
              </w:rPr>
            </w:pPr>
          </w:p>
        </w:tc>
        <w:tc>
          <w:tcPr>
            <w:tcW w:w="1080" w:type="dxa"/>
            <w:vAlign w:val="bottom"/>
            <w:tcBorders>
              <w:bottom w:val="single" w:sz="8" w:color="1A3FD6"/>
            </w:tcBorders>
          </w:tcPr>
          <w:p>
            <w:pPr>
              <w:spacing w:after="0" w:line="20" w:lineRule="exact"/>
              <w:rPr>
                <w:sz w:val="1"/>
                <w:szCs w:val="1"/>
                <w:color w:val="auto"/>
              </w:rPr>
            </w:pPr>
          </w:p>
        </w:tc>
        <w:tc>
          <w:tcPr>
            <w:tcW w:w="720" w:type="dxa"/>
            <w:vAlign w:val="bottom"/>
            <w:tcBorders>
              <w:bottom w:val="single" w:sz="8" w:color="1A3FD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6620" w:type="dxa"/>
            <w:vAlign w:val="bottom"/>
            <w:vMerge w:val="continue"/>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2/3/2025</w:t>
            </w:r>
          </w:p>
        </w:tc>
        <w:tc>
          <w:tcPr>
            <w:tcW w:w="1280" w:type="dxa"/>
            <w:vAlign w:val="bottom"/>
          </w:tcPr>
          <w:p>
            <w:pPr>
              <w:jc w:val="right"/>
              <w:ind w:right="211"/>
              <w:spacing w:after="0"/>
              <w:rPr>
                <w:sz w:val="20"/>
                <w:szCs w:val="20"/>
                <w:color w:val="auto"/>
              </w:rPr>
            </w:pPr>
            <w:r>
              <w:rPr>
                <w:rFonts w:ascii="Arial" w:cs="Arial" w:eastAsia="Arial" w:hAnsi="Arial"/>
                <w:sz w:val="13"/>
                <w:szCs w:val="13"/>
                <w:b w:val="1"/>
                <w:bCs w:val="1"/>
                <w:color w:val="auto"/>
              </w:rPr>
              <w:t>2/2/2026</w:t>
            </w:r>
          </w:p>
        </w:tc>
        <w:tc>
          <w:tcPr>
            <w:tcW w:w="1080" w:type="dxa"/>
            <w:vAlign w:val="bottom"/>
          </w:tcPr>
          <w:p>
            <w:pPr>
              <w:jc w:val="right"/>
              <w:ind w:right="250"/>
              <w:spacing w:after="0"/>
              <w:rPr>
                <w:sz w:val="20"/>
                <w:szCs w:val="20"/>
                <w:color w:val="auto"/>
              </w:rPr>
            </w:pPr>
            <w:r>
              <w:rPr>
                <w:rFonts w:ascii="Arial" w:cs="Arial" w:eastAsia="Arial" w:hAnsi="Arial"/>
                <w:sz w:val="13"/>
                <w:szCs w:val="13"/>
                <w:b w:val="1"/>
                <w:bCs w:val="1"/>
                <w:color w:val="auto"/>
              </w:rPr>
              <w:t>2/3/2027</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
        </w:trPr>
        <w:tc>
          <w:tcPr>
            <w:tcW w:w="6620" w:type="dxa"/>
            <w:vAlign w:val="bottom"/>
            <w:tcBorders>
              <w:bottom w:val="single" w:sz="8" w:color="1A3FD6"/>
            </w:tcBorders>
          </w:tcPr>
          <w:p>
            <w:pPr>
              <w:spacing w:after="0" w:line="20" w:lineRule="exact"/>
              <w:rPr>
                <w:sz w:val="1"/>
                <w:szCs w:val="1"/>
                <w:color w:val="auto"/>
              </w:rPr>
            </w:pPr>
          </w:p>
        </w:tc>
        <w:tc>
          <w:tcPr>
            <w:tcW w:w="1060" w:type="dxa"/>
            <w:vAlign w:val="bottom"/>
            <w:tcBorders>
              <w:bottom w:val="single" w:sz="8" w:color="1A3FD6"/>
            </w:tcBorders>
          </w:tcPr>
          <w:p>
            <w:pPr>
              <w:spacing w:after="0" w:line="20" w:lineRule="exact"/>
              <w:rPr>
                <w:sz w:val="1"/>
                <w:szCs w:val="1"/>
                <w:color w:val="auto"/>
              </w:rPr>
            </w:pPr>
          </w:p>
        </w:tc>
        <w:tc>
          <w:tcPr>
            <w:tcW w:w="1280" w:type="dxa"/>
            <w:vAlign w:val="bottom"/>
            <w:tcBorders>
              <w:bottom w:val="single" w:sz="8" w:color="1A3FD6"/>
            </w:tcBorders>
          </w:tcPr>
          <w:p>
            <w:pPr>
              <w:spacing w:after="0" w:line="20" w:lineRule="exact"/>
              <w:rPr>
                <w:sz w:val="1"/>
                <w:szCs w:val="1"/>
                <w:color w:val="auto"/>
              </w:rPr>
            </w:pPr>
          </w:p>
        </w:tc>
        <w:tc>
          <w:tcPr>
            <w:tcW w:w="1080" w:type="dxa"/>
            <w:vAlign w:val="bottom"/>
            <w:tcBorders>
              <w:bottom w:val="single" w:sz="8" w:color="1A3FD6"/>
            </w:tcBorders>
          </w:tcPr>
          <w:p>
            <w:pPr>
              <w:spacing w:after="0" w:line="20" w:lineRule="exact"/>
              <w:rPr>
                <w:sz w:val="1"/>
                <w:szCs w:val="1"/>
                <w:color w:val="auto"/>
              </w:rPr>
            </w:pPr>
          </w:p>
        </w:tc>
        <w:tc>
          <w:tcPr>
            <w:tcW w:w="720" w:type="dxa"/>
            <w:vAlign w:val="bottom"/>
            <w:tcBorders>
              <w:bottom w:val="single" w:sz="8" w:color="1A3FD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6620" w:type="dxa"/>
            <w:vAlign w:val="bottom"/>
          </w:tcPr>
          <w:p>
            <w:pPr>
              <w:ind w:left="20"/>
              <w:spacing w:after="0"/>
              <w:rPr>
                <w:sz w:val="20"/>
                <w:szCs w:val="20"/>
                <w:color w:val="auto"/>
              </w:rPr>
            </w:pPr>
            <w:r>
              <w:rPr>
                <w:rFonts w:ascii="Arial" w:cs="Arial" w:eastAsia="Arial" w:hAnsi="Arial"/>
                <w:sz w:val="14"/>
                <w:szCs w:val="14"/>
                <w:b w:val="1"/>
                <w:bCs w:val="1"/>
                <w:color w:val="1A3FD6"/>
              </w:rPr>
              <w:t>Henry A. Fernandez</w:t>
            </w: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6620" w:type="dxa"/>
            <w:vAlign w:val="bottom"/>
            <w:shd w:val="clear" w:color="auto" w:fill="EDF0FC"/>
          </w:tcPr>
          <w:p>
            <w:pPr>
              <w:ind w:left="20"/>
              <w:spacing w:after="0"/>
              <w:rPr>
                <w:sz w:val="20"/>
                <w:szCs w:val="20"/>
                <w:color w:val="auto"/>
              </w:rPr>
            </w:pPr>
            <w:r>
              <w:rPr>
                <w:rFonts w:ascii="Arial" w:cs="Arial" w:eastAsia="Arial" w:hAnsi="Arial"/>
                <w:sz w:val="14"/>
                <w:szCs w:val="14"/>
                <w:b w:val="1"/>
                <w:bCs w:val="1"/>
                <w:color w:val="1A3FD6"/>
              </w:rPr>
              <w:t>Andrew C. Wiechmann</w:t>
            </w:r>
          </w:p>
        </w:tc>
        <w:tc>
          <w:tcPr>
            <w:tcW w:w="1060" w:type="dxa"/>
            <w:vAlign w:val="bottom"/>
            <w:shd w:val="clear" w:color="auto" w:fill="EDF0FC"/>
          </w:tcPr>
          <w:p>
            <w:pPr>
              <w:jc w:val="right"/>
              <w:ind w:right="30"/>
              <w:spacing w:after="0"/>
              <w:rPr>
                <w:sz w:val="20"/>
                <w:szCs w:val="20"/>
                <w:color w:val="auto"/>
              </w:rPr>
            </w:pPr>
            <w:r>
              <w:rPr>
                <w:rFonts w:ascii="Arial" w:cs="Arial" w:eastAsia="Arial" w:hAnsi="Arial"/>
                <w:sz w:val="14"/>
                <w:szCs w:val="14"/>
                <w:color w:val="auto"/>
              </w:rPr>
              <w:t>710</w:t>
            </w:r>
          </w:p>
        </w:tc>
        <w:tc>
          <w:tcPr>
            <w:tcW w:w="1280" w:type="dxa"/>
            <w:vAlign w:val="bottom"/>
            <w:shd w:val="clear" w:color="auto" w:fill="EDF0FC"/>
          </w:tcPr>
          <w:p>
            <w:pPr>
              <w:jc w:val="right"/>
              <w:ind w:right="271"/>
              <w:spacing w:after="0"/>
              <w:rPr>
                <w:sz w:val="20"/>
                <w:szCs w:val="20"/>
                <w:color w:val="auto"/>
              </w:rPr>
            </w:pPr>
            <w:r>
              <w:rPr>
                <w:rFonts w:ascii="Arial" w:cs="Arial" w:eastAsia="Arial" w:hAnsi="Arial"/>
                <w:sz w:val="14"/>
                <w:szCs w:val="14"/>
                <w:color w:val="auto"/>
              </w:rPr>
              <w:t>1,137</w:t>
            </w:r>
          </w:p>
        </w:tc>
        <w:tc>
          <w:tcPr>
            <w:tcW w:w="1080" w:type="dxa"/>
            <w:vAlign w:val="bottom"/>
            <w:shd w:val="clear" w:color="auto" w:fill="EDF0FC"/>
          </w:tcPr>
          <w:p>
            <w:pPr>
              <w:jc w:val="right"/>
              <w:ind w:right="250"/>
              <w:spacing w:after="0"/>
              <w:rPr>
                <w:sz w:val="20"/>
                <w:szCs w:val="20"/>
                <w:color w:val="auto"/>
              </w:rPr>
            </w:pPr>
            <w:r>
              <w:rPr>
                <w:rFonts w:ascii="Arial" w:cs="Arial" w:eastAsia="Arial" w:hAnsi="Arial"/>
                <w:sz w:val="14"/>
                <w:szCs w:val="14"/>
                <w:color w:val="auto"/>
              </w:rPr>
              <w:t>1,329</w:t>
            </w:r>
          </w:p>
        </w:tc>
        <w:tc>
          <w:tcPr>
            <w:tcW w:w="720" w:type="dxa"/>
            <w:vAlign w:val="bottom"/>
            <w:shd w:val="clear" w:color="auto" w:fill="EDF0FC"/>
          </w:tcPr>
          <w:p>
            <w:pPr>
              <w:jc w:val="right"/>
              <w:spacing w:after="0"/>
              <w:rPr>
                <w:sz w:val="20"/>
                <w:szCs w:val="20"/>
                <w:color w:val="auto"/>
              </w:rPr>
            </w:pPr>
            <w:r>
              <w:rPr>
                <w:rFonts w:ascii="Arial" w:cs="Arial" w:eastAsia="Arial" w:hAnsi="Arial"/>
                <w:sz w:val="14"/>
                <w:szCs w:val="14"/>
                <w:color w:val="auto"/>
              </w:rPr>
              <w:t>3,176</w:t>
            </w:r>
          </w:p>
        </w:tc>
        <w:tc>
          <w:tcPr>
            <w:tcW w:w="0" w:type="dxa"/>
            <w:vAlign w:val="bottom"/>
          </w:tcPr>
          <w:p>
            <w:pPr>
              <w:spacing w:after="0"/>
              <w:rPr>
                <w:sz w:val="1"/>
                <w:szCs w:val="1"/>
                <w:color w:val="auto"/>
              </w:rPr>
            </w:pPr>
          </w:p>
        </w:tc>
      </w:tr>
      <w:tr>
        <w:trPr>
          <w:trHeight w:val="222"/>
        </w:trPr>
        <w:tc>
          <w:tcPr>
            <w:tcW w:w="6620" w:type="dxa"/>
            <w:vAlign w:val="bottom"/>
          </w:tcPr>
          <w:p>
            <w:pPr>
              <w:ind w:left="20"/>
              <w:spacing w:after="0"/>
              <w:rPr>
                <w:sz w:val="20"/>
                <w:szCs w:val="20"/>
                <w:color w:val="auto"/>
              </w:rPr>
            </w:pPr>
            <w:r>
              <w:rPr>
                <w:rFonts w:ascii="Arial" w:cs="Arial" w:eastAsia="Arial" w:hAnsi="Arial"/>
                <w:sz w:val="14"/>
                <w:szCs w:val="14"/>
                <w:b w:val="1"/>
                <w:bCs w:val="1"/>
                <w:color w:val="1A3FD6"/>
              </w:rPr>
              <w:t>C.D. Baer Pettit</w:t>
            </w: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7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5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6620" w:type="dxa"/>
            <w:vAlign w:val="bottom"/>
            <w:shd w:val="clear" w:color="auto" w:fill="EDF0FC"/>
          </w:tcPr>
          <w:p>
            <w:pPr>
              <w:ind w:left="20"/>
              <w:spacing w:after="0"/>
              <w:rPr>
                <w:sz w:val="20"/>
                <w:szCs w:val="20"/>
                <w:color w:val="auto"/>
              </w:rPr>
            </w:pPr>
            <w:r>
              <w:rPr>
                <w:rFonts w:ascii="Arial" w:cs="Arial" w:eastAsia="Arial" w:hAnsi="Arial"/>
                <w:sz w:val="14"/>
                <w:szCs w:val="14"/>
                <w:b w:val="1"/>
                <w:bCs w:val="1"/>
                <w:color w:val="1A3FD6"/>
              </w:rPr>
              <w:t>Scott A. Crum</w:t>
            </w:r>
          </w:p>
        </w:tc>
        <w:tc>
          <w:tcPr>
            <w:tcW w:w="1060" w:type="dxa"/>
            <w:vAlign w:val="bottom"/>
            <w:shd w:val="clear" w:color="auto" w:fill="EDF0FC"/>
          </w:tcPr>
          <w:p>
            <w:pPr>
              <w:jc w:val="right"/>
              <w:ind w:right="30"/>
              <w:spacing w:after="0"/>
              <w:rPr>
                <w:sz w:val="20"/>
                <w:szCs w:val="20"/>
                <w:color w:val="auto"/>
              </w:rPr>
            </w:pPr>
            <w:r>
              <w:rPr>
                <w:rFonts w:ascii="Arial" w:cs="Arial" w:eastAsia="Arial" w:hAnsi="Arial"/>
                <w:sz w:val="14"/>
                <w:szCs w:val="14"/>
                <w:color w:val="auto"/>
              </w:rPr>
              <w:t>901</w:t>
            </w:r>
          </w:p>
        </w:tc>
        <w:tc>
          <w:tcPr>
            <w:tcW w:w="1280" w:type="dxa"/>
            <w:vAlign w:val="bottom"/>
            <w:shd w:val="clear" w:color="auto" w:fill="EDF0FC"/>
          </w:tcPr>
          <w:p>
            <w:pPr>
              <w:jc w:val="right"/>
              <w:ind w:right="271"/>
              <w:spacing w:after="0"/>
              <w:rPr>
                <w:sz w:val="20"/>
                <w:szCs w:val="20"/>
                <w:color w:val="auto"/>
              </w:rPr>
            </w:pPr>
            <w:r>
              <w:rPr>
                <w:rFonts w:ascii="Arial" w:cs="Arial" w:eastAsia="Arial" w:hAnsi="Arial"/>
                <w:sz w:val="14"/>
                <w:szCs w:val="14"/>
                <w:color w:val="auto"/>
              </w:rPr>
              <w:t>1,001</w:t>
            </w:r>
          </w:p>
        </w:tc>
        <w:tc>
          <w:tcPr>
            <w:tcW w:w="1080" w:type="dxa"/>
            <w:vAlign w:val="bottom"/>
            <w:shd w:val="clear" w:color="auto" w:fill="EDF0FC"/>
          </w:tcPr>
          <w:p>
            <w:pPr>
              <w:jc w:val="right"/>
              <w:ind w:right="250"/>
              <w:spacing w:after="0"/>
              <w:rPr>
                <w:sz w:val="20"/>
                <w:szCs w:val="20"/>
                <w:color w:val="auto"/>
              </w:rPr>
            </w:pPr>
            <w:r>
              <w:rPr>
                <w:rFonts w:ascii="Arial" w:cs="Arial" w:eastAsia="Arial" w:hAnsi="Arial"/>
                <w:sz w:val="14"/>
                <w:szCs w:val="14"/>
                <w:color w:val="auto"/>
              </w:rPr>
              <w:t>1,003</w:t>
            </w:r>
          </w:p>
        </w:tc>
        <w:tc>
          <w:tcPr>
            <w:tcW w:w="720" w:type="dxa"/>
            <w:vAlign w:val="bottom"/>
            <w:shd w:val="clear" w:color="auto" w:fill="EDF0FC"/>
          </w:tcPr>
          <w:p>
            <w:pPr>
              <w:jc w:val="right"/>
              <w:spacing w:after="0"/>
              <w:rPr>
                <w:sz w:val="20"/>
                <w:szCs w:val="20"/>
                <w:color w:val="auto"/>
              </w:rPr>
            </w:pPr>
            <w:r>
              <w:rPr>
                <w:rFonts w:ascii="Arial" w:cs="Arial" w:eastAsia="Arial" w:hAnsi="Arial"/>
                <w:sz w:val="14"/>
                <w:szCs w:val="14"/>
                <w:color w:val="auto"/>
              </w:rPr>
              <w:t>2,905</w:t>
            </w:r>
          </w:p>
        </w:tc>
        <w:tc>
          <w:tcPr>
            <w:tcW w:w="0" w:type="dxa"/>
            <w:vAlign w:val="bottom"/>
          </w:tcPr>
          <w:p>
            <w:pPr>
              <w:spacing w:after="0"/>
              <w:rPr>
                <w:sz w:val="1"/>
                <w:szCs w:val="1"/>
                <w:color w:val="auto"/>
              </w:rPr>
            </w:pPr>
          </w:p>
        </w:tc>
      </w:tr>
      <w:tr>
        <w:trPr>
          <w:trHeight w:val="223"/>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1A3FD6"/>
              </w:rPr>
              <w:t>Robert J. Gutowski</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655</w:t>
            </w:r>
          </w:p>
        </w:tc>
        <w:tc>
          <w:tcPr>
            <w:tcW w:w="12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731</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color w:val="auto"/>
              </w:rPr>
              <w:t>727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2,113</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0" w:right="140" w:hanging="192"/>
        <w:spacing w:after="0" w:line="320" w:lineRule="auto"/>
        <w:tabs>
          <w:tab w:leader="none" w:pos="187" w:val="left"/>
        </w:tabs>
        <w:numPr>
          <w:ilvl w:val="0"/>
          <w:numId w:val="96"/>
        </w:numPr>
        <w:rPr>
          <w:rFonts w:ascii="Arial" w:cs="Arial" w:eastAsia="Arial" w:hAnsi="Arial"/>
          <w:sz w:val="9"/>
          <w:szCs w:val="9"/>
          <w:color w:val="auto"/>
        </w:rPr>
      </w:pPr>
      <w:r>
        <w:rPr>
          <w:rFonts w:ascii="Arial" w:cs="Arial" w:eastAsia="Arial" w:hAnsi="Arial"/>
          <w:sz w:val="14"/>
          <w:szCs w:val="14"/>
          <w:color w:val="auto"/>
        </w:rPr>
        <w:t>The market value of outstanding RSUs is based on a share price of $600.01, the closing share price of MSCI common stock on December 31, 2024, rounded to the nearest whole number.</w:t>
      </w:r>
    </w:p>
    <w:p>
      <w:pPr>
        <w:spacing w:after="0" w:line="2" w:lineRule="exact"/>
        <w:rPr>
          <w:rFonts w:ascii="Arial" w:cs="Arial" w:eastAsia="Arial" w:hAnsi="Arial"/>
          <w:sz w:val="9"/>
          <w:szCs w:val="9"/>
          <w:color w:val="auto"/>
        </w:rPr>
      </w:pPr>
    </w:p>
    <w:p>
      <w:pPr>
        <w:ind w:left="200" w:right="60" w:hanging="192"/>
        <w:spacing w:after="0" w:line="257" w:lineRule="auto"/>
        <w:tabs>
          <w:tab w:leader="none" w:pos="187" w:val="left"/>
        </w:tabs>
        <w:numPr>
          <w:ilvl w:val="0"/>
          <w:numId w:val="96"/>
        </w:numPr>
        <w:rPr>
          <w:rFonts w:ascii="Arial" w:cs="Arial" w:eastAsia="Arial" w:hAnsi="Arial"/>
          <w:sz w:val="19"/>
          <w:szCs w:val="19"/>
          <w:color w:val="auto"/>
          <w:vertAlign w:val="superscript"/>
        </w:rPr>
      </w:pPr>
      <w:r>
        <w:rPr>
          <w:rFonts w:ascii="Arial" w:cs="Arial" w:eastAsia="Arial" w:hAnsi="Arial"/>
          <w:sz w:val="14"/>
          <w:szCs w:val="14"/>
          <w:color w:val="auto"/>
        </w:rPr>
        <w:t>Represents outstanding and unvested PSUs held on December 31, 2024 that remain subject to performance adjustment and forfeiture provisions, as shown in the following table on an award-by-award basis. These values represent the number of PSUs that each NEO would receive upon vesting, assuming attainment of the applicable performance goals. This column does not give effect to retirement provisions as detailed below under “—Potential Payments Upon Termination or Change in Control—Equity Acceleration.”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PSU Awards, Subject to Forfeiture and Cancellation Provisions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2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Award Year</w:t>
            </w:r>
          </w:p>
        </w:tc>
        <w:tc>
          <w:tcPr>
            <w:tcW w:w="2260" w:type="dxa"/>
            <w:vAlign w:val="bottom"/>
            <w:tcBorders>
              <w:bottom w:val="single" w:sz="8" w:color="1A3FD6"/>
            </w:tcBorders>
            <w:gridSpan w:val="2"/>
          </w:tcPr>
          <w:p>
            <w:pPr>
              <w:jc w:val="right"/>
              <w:ind w:right="627"/>
              <w:spacing w:after="0"/>
              <w:rPr>
                <w:sz w:val="20"/>
                <w:szCs w:val="20"/>
                <w:color w:val="auto"/>
              </w:rPr>
            </w:pPr>
            <w:r>
              <w:rPr>
                <w:rFonts w:ascii="Arial" w:cs="Arial" w:eastAsia="Arial" w:hAnsi="Arial"/>
                <w:sz w:val="14"/>
                <w:szCs w:val="14"/>
                <w:b w:val="1"/>
                <w:bCs w:val="1"/>
                <w:color w:val="auto"/>
              </w:rPr>
              <w:t>2020</w:t>
            </w:r>
          </w:p>
        </w:tc>
        <w:tc>
          <w:tcPr>
            <w:tcW w:w="1660" w:type="dxa"/>
            <w:vAlign w:val="bottom"/>
            <w:tcBorders>
              <w:bottom w:val="single" w:sz="8" w:color="1A3FD6"/>
            </w:tcBorders>
          </w:tcPr>
          <w:p>
            <w:pPr>
              <w:jc w:val="right"/>
              <w:ind w:right="364"/>
              <w:spacing w:after="0"/>
              <w:rPr>
                <w:sz w:val="20"/>
                <w:szCs w:val="20"/>
                <w:color w:val="auto"/>
              </w:rPr>
            </w:pPr>
            <w:r>
              <w:rPr>
                <w:rFonts w:ascii="Arial" w:cs="Arial" w:eastAsia="Arial" w:hAnsi="Arial"/>
                <w:sz w:val="14"/>
                <w:szCs w:val="14"/>
                <w:b w:val="1"/>
                <w:bCs w:val="1"/>
                <w:color w:val="auto"/>
              </w:rPr>
              <w:t>2021</w:t>
            </w:r>
          </w:p>
        </w:tc>
        <w:tc>
          <w:tcPr>
            <w:tcW w:w="1840" w:type="dxa"/>
            <w:vAlign w:val="bottom"/>
            <w:tcBorders>
              <w:bottom w:val="single" w:sz="8" w:color="1A3FD6"/>
            </w:tcBorders>
            <w:gridSpan w:val="2"/>
          </w:tcPr>
          <w:p>
            <w:pPr>
              <w:jc w:val="right"/>
              <w:ind w:right="627"/>
              <w:spacing w:after="0"/>
              <w:rPr>
                <w:sz w:val="20"/>
                <w:szCs w:val="20"/>
                <w:color w:val="auto"/>
              </w:rPr>
            </w:pPr>
            <w:r>
              <w:rPr>
                <w:rFonts w:ascii="Arial" w:cs="Arial" w:eastAsia="Arial" w:hAnsi="Arial"/>
                <w:sz w:val="14"/>
                <w:szCs w:val="14"/>
                <w:b w:val="1"/>
                <w:bCs w:val="1"/>
                <w:color w:val="auto"/>
              </w:rPr>
              <w:t>2022</w:t>
            </w:r>
          </w:p>
        </w:tc>
        <w:tc>
          <w:tcPr>
            <w:tcW w:w="1680" w:type="dxa"/>
            <w:vAlign w:val="bottom"/>
            <w:tcBorders>
              <w:bottom w:val="single" w:sz="8" w:color="1A3FD6"/>
            </w:tcBorders>
          </w:tcPr>
          <w:p>
            <w:pPr>
              <w:jc w:val="right"/>
              <w:ind w:right="364"/>
              <w:spacing w:after="0"/>
              <w:rPr>
                <w:sz w:val="20"/>
                <w:szCs w:val="20"/>
                <w:color w:val="auto"/>
              </w:rPr>
            </w:pPr>
            <w:r>
              <w:rPr>
                <w:rFonts w:ascii="Arial" w:cs="Arial" w:eastAsia="Arial" w:hAnsi="Arial"/>
                <w:sz w:val="14"/>
                <w:szCs w:val="14"/>
                <w:b w:val="1"/>
                <w:bCs w:val="1"/>
                <w:color w:val="auto"/>
              </w:rPr>
              <w:t>2023</w:t>
            </w:r>
          </w:p>
        </w:tc>
        <w:tc>
          <w:tcPr>
            <w:tcW w:w="118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2024</w:t>
            </w:r>
          </w:p>
        </w:tc>
      </w:tr>
      <w:tr>
        <w:trPr>
          <w:trHeight w:val="223"/>
        </w:trPr>
        <w:tc>
          <w:tcPr>
            <w:tcW w:w="262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Term</w:t>
            </w:r>
          </w:p>
        </w:tc>
        <w:tc>
          <w:tcPr>
            <w:tcW w:w="2260" w:type="dxa"/>
            <w:vAlign w:val="bottom"/>
            <w:tcBorders>
              <w:bottom w:val="single" w:sz="8" w:color="1A3FD6"/>
            </w:tcBorders>
            <w:gridSpan w:val="2"/>
          </w:tcPr>
          <w:p>
            <w:pPr>
              <w:jc w:val="right"/>
              <w:ind w:right="627"/>
              <w:spacing w:after="0"/>
              <w:rPr>
                <w:sz w:val="20"/>
                <w:szCs w:val="20"/>
                <w:color w:val="auto"/>
              </w:rPr>
            </w:pPr>
            <w:r>
              <w:rPr>
                <w:rFonts w:ascii="Arial" w:cs="Arial" w:eastAsia="Arial" w:hAnsi="Arial"/>
                <w:sz w:val="14"/>
                <w:szCs w:val="14"/>
                <w:b w:val="1"/>
                <w:bCs w:val="1"/>
                <w:color w:val="auto"/>
              </w:rPr>
              <w:t>5-year</w:t>
            </w:r>
          </w:p>
        </w:tc>
        <w:tc>
          <w:tcPr>
            <w:tcW w:w="1660" w:type="dxa"/>
            <w:vAlign w:val="bottom"/>
            <w:tcBorders>
              <w:bottom w:val="single" w:sz="8" w:color="1A3FD6"/>
            </w:tcBorders>
          </w:tcPr>
          <w:p>
            <w:pPr>
              <w:jc w:val="right"/>
              <w:ind w:right="364"/>
              <w:spacing w:after="0"/>
              <w:rPr>
                <w:sz w:val="20"/>
                <w:szCs w:val="20"/>
                <w:color w:val="auto"/>
              </w:rPr>
            </w:pPr>
            <w:r>
              <w:rPr>
                <w:rFonts w:ascii="Arial" w:cs="Arial" w:eastAsia="Arial" w:hAnsi="Arial"/>
                <w:sz w:val="14"/>
                <w:szCs w:val="14"/>
                <w:b w:val="1"/>
                <w:bCs w:val="1"/>
                <w:color w:val="auto"/>
              </w:rPr>
              <w:t>5-year</w:t>
            </w:r>
          </w:p>
        </w:tc>
        <w:tc>
          <w:tcPr>
            <w:tcW w:w="1840" w:type="dxa"/>
            <w:vAlign w:val="bottom"/>
            <w:tcBorders>
              <w:bottom w:val="single" w:sz="8" w:color="1A3FD6"/>
            </w:tcBorders>
            <w:gridSpan w:val="2"/>
          </w:tcPr>
          <w:p>
            <w:pPr>
              <w:jc w:val="right"/>
              <w:ind w:right="627"/>
              <w:spacing w:after="0"/>
              <w:rPr>
                <w:sz w:val="20"/>
                <w:szCs w:val="20"/>
                <w:color w:val="auto"/>
              </w:rPr>
            </w:pPr>
            <w:r>
              <w:rPr>
                <w:rFonts w:ascii="Arial" w:cs="Arial" w:eastAsia="Arial" w:hAnsi="Arial"/>
                <w:sz w:val="14"/>
                <w:szCs w:val="14"/>
                <w:b w:val="1"/>
                <w:bCs w:val="1"/>
                <w:color w:val="auto"/>
              </w:rPr>
              <w:t>3-year</w:t>
            </w:r>
          </w:p>
        </w:tc>
        <w:tc>
          <w:tcPr>
            <w:tcW w:w="1680" w:type="dxa"/>
            <w:vAlign w:val="bottom"/>
            <w:tcBorders>
              <w:bottom w:val="single" w:sz="8" w:color="1A3FD6"/>
            </w:tcBorders>
          </w:tcPr>
          <w:p>
            <w:pPr>
              <w:jc w:val="right"/>
              <w:ind w:right="364"/>
              <w:spacing w:after="0"/>
              <w:rPr>
                <w:sz w:val="20"/>
                <w:szCs w:val="20"/>
                <w:color w:val="auto"/>
              </w:rPr>
            </w:pPr>
            <w:r>
              <w:rPr>
                <w:rFonts w:ascii="Arial" w:cs="Arial" w:eastAsia="Arial" w:hAnsi="Arial"/>
                <w:sz w:val="14"/>
                <w:szCs w:val="14"/>
                <w:b w:val="1"/>
                <w:bCs w:val="1"/>
                <w:color w:val="auto"/>
              </w:rPr>
              <w:t>3-year</w:t>
            </w:r>
          </w:p>
        </w:tc>
        <w:tc>
          <w:tcPr>
            <w:tcW w:w="118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3-year</w:t>
            </w:r>
          </w:p>
        </w:tc>
      </w:tr>
      <w:tr>
        <w:trPr>
          <w:trHeight w:val="223"/>
        </w:trPr>
        <w:tc>
          <w:tcPr>
            <w:tcW w:w="262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Payout Adjustment</w:t>
            </w:r>
          </w:p>
        </w:tc>
        <w:tc>
          <w:tcPr>
            <w:tcW w:w="2260" w:type="dxa"/>
            <w:vAlign w:val="bottom"/>
            <w:tcBorders>
              <w:bottom w:val="single" w:sz="8" w:color="1A3FD6"/>
            </w:tcBorders>
            <w:gridSpan w:val="2"/>
          </w:tcPr>
          <w:p>
            <w:pPr>
              <w:jc w:val="right"/>
              <w:ind w:right="627"/>
              <w:spacing w:after="0"/>
              <w:rPr>
                <w:sz w:val="20"/>
                <w:szCs w:val="20"/>
                <w:color w:val="auto"/>
              </w:rPr>
            </w:pPr>
            <w:r>
              <w:rPr>
                <w:rFonts w:ascii="Arial" w:cs="Arial" w:eastAsia="Arial" w:hAnsi="Arial"/>
                <w:sz w:val="14"/>
                <w:szCs w:val="14"/>
                <w:b w:val="1"/>
                <w:bCs w:val="1"/>
                <w:color w:val="auto"/>
              </w:rPr>
              <w:t>Maximum</w:t>
            </w:r>
          </w:p>
        </w:tc>
        <w:tc>
          <w:tcPr>
            <w:tcW w:w="1660" w:type="dxa"/>
            <w:vAlign w:val="bottom"/>
            <w:tcBorders>
              <w:bottom w:val="single" w:sz="8" w:color="1A3FD6"/>
            </w:tcBorders>
          </w:tcPr>
          <w:p>
            <w:pPr>
              <w:jc w:val="right"/>
              <w:ind w:right="364"/>
              <w:spacing w:after="0"/>
              <w:rPr>
                <w:sz w:val="20"/>
                <w:szCs w:val="20"/>
                <w:color w:val="auto"/>
              </w:rPr>
            </w:pPr>
            <w:r>
              <w:rPr>
                <w:rFonts w:ascii="Arial" w:cs="Arial" w:eastAsia="Arial" w:hAnsi="Arial"/>
                <w:sz w:val="14"/>
                <w:szCs w:val="14"/>
                <w:b w:val="1"/>
                <w:bCs w:val="1"/>
                <w:color w:val="auto"/>
              </w:rPr>
              <w:t>Threshold</w:t>
            </w:r>
          </w:p>
        </w:tc>
        <w:tc>
          <w:tcPr>
            <w:tcW w:w="1840" w:type="dxa"/>
            <w:vAlign w:val="bottom"/>
            <w:tcBorders>
              <w:bottom w:val="single" w:sz="8" w:color="1A3FD6"/>
            </w:tcBorders>
            <w:gridSpan w:val="2"/>
          </w:tcPr>
          <w:p>
            <w:pPr>
              <w:jc w:val="right"/>
              <w:ind w:right="627"/>
              <w:spacing w:after="0"/>
              <w:rPr>
                <w:sz w:val="20"/>
                <w:szCs w:val="20"/>
                <w:color w:val="auto"/>
              </w:rPr>
            </w:pPr>
            <w:r>
              <w:rPr>
                <w:rFonts w:ascii="Arial" w:cs="Arial" w:eastAsia="Arial" w:hAnsi="Arial"/>
                <w:sz w:val="14"/>
                <w:szCs w:val="14"/>
                <w:b w:val="1"/>
                <w:bCs w:val="1"/>
                <w:color w:val="auto"/>
              </w:rPr>
              <w:t>Threshold</w:t>
            </w:r>
          </w:p>
        </w:tc>
        <w:tc>
          <w:tcPr>
            <w:tcW w:w="1680" w:type="dxa"/>
            <w:vAlign w:val="bottom"/>
            <w:tcBorders>
              <w:bottom w:val="single" w:sz="8" w:color="1A3FD6"/>
            </w:tcBorders>
          </w:tcPr>
          <w:p>
            <w:pPr>
              <w:jc w:val="right"/>
              <w:ind w:right="364"/>
              <w:spacing w:after="0"/>
              <w:rPr>
                <w:sz w:val="20"/>
                <w:szCs w:val="20"/>
                <w:color w:val="auto"/>
              </w:rPr>
            </w:pPr>
            <w:r>
              <w:rPr>
                <w:rFonts w:ascii="Arial" w:cs="Arial" w:eastAsia="Arial" w:hAnsi="Arial"/>
                <w:sz w:val="14"/>
                <w:szCs w:val="14"/>
                <w:b w:val="1"/>
                <w:bCs w:val="1"/>
                <w:color w:val="auto"/>
              </w:rPr>
              <w:t>Threshold</w:t>
            </w:r>
          </w:p>
        </w:tc>
        <w:tc>
          <w:tcPr>
            <w:tcW w:w="118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Target</w:t>
            </w:r>
          </w:p>
        </w:tc>
      </w:tr>
      <w:tr>
        <w:trPr>
          <w:trHeight w:val="180"/>
        </w:trPr>
        <w:tc>
          <w:tcPr>
            <w:tcW w:w="2620" w:type="dxa"/>
            <w:vAlign w:val="bottom"/>
          </w:tcPr>
          <w:p>
            <w:pPr>
              <w:spacing w:after="0"/>
              <w:rPr>
                <w:sz w:val="15"/>
                <w:szCs w:val="15"/>
                <w:color w:val="auto"/>
              </w:rPr>
            </w:pPr>
          </w:p>
        </w:tc>
        <w:tc>
          <w:tcPr>
            <w:tcW w:w="2260" w:type="dxa"/>
            <w:vAlign w:val="bottom"/>
            <w:gridSpan w:val="2"/>
          </w:tcPr>
          <w:p>
            <w:pPr>
              <w:jc w:val="right"/>
              <w:ind w:right="627"/>
              <w:spacing w:after="0"/>
              <w:rPr>
                <w:sz w:val="20"/>
                <w:szCs w:val="20"/>
                <w:color w:val="auto"/>
              </w:rPr>
            </w:pPr>
            <w:r>
              <w:rPr>
                <w:rFonts w:ascii="Arial" w:cs="Arial" w:eastAsia="Arial" w:hAnsi="Arial"/>
                <w:sz w:val="14"/>
                <w:szCs w:val="14"/>
                <w:b w:val="1"/>
                <w:bCs w:val="1"/>
                <w:color w:val="auto"/>
              </w:rPr>
              <w:t>PSUs at</w:t>
            </w:r>
          </w:p>
        </w:tc>
        <w:tc>
          <w:tcPr>
            <w:tcW w:w="1660" w:type="dxa"/>
            <w:vAlign w:val="bottom"/>
          </w:tcPr>
          <w:p>
            <w:pPr>
              <w:jc w:val="right"/>
              <w:ind w:right="364"/>
              <w:spacing w:after="0"/>
              <w:rPr>
                <w:sz w:val="20"/>
                <w:szCs w:val="20"/>
                <w:color w:val="auto"/>
              </w:rPr>
            </w:pPr>
            <w:r>
              <w:rPr>
                <w:rFonts w:ascii="Arial" w:cs="Arial" w:eastAsia="Arial" w:hAnsi="Arial"/>
                <w:sz w:val="14"/>
                <w:szCs w:val="14"/>
                <w:b w:val="1"/>
                <w:bCs w:val="1"/>
                <w:color w:val="auto"/>
              </w:rPr>
              <w:t>PSUs at</w:t>
            </w:r>
          </w:p>
        </w:tc>
        <w:tc>
          <w:tcPr>
            <w:tcW w:w="1840" w:type="dxa"/>
            <w:vAlign w:val="bottom"/>
            <w:gridSpan w:val="2"/>
          </w:tcPr>
          <w:p>
            <w:pPr>
              <w:jc w:val="right"/>
              <w:ind w:right="627"/>
              <w:spacing w:after="0"/>
              <w:rPr>
                <w:sz w:val="20"/>
                <w:szCs w:val="20"/>
                <w:color w:val="auto"/>
              </w:rPr>
            </w:pPr>
            <w:r>
              <w:rPr>
                <w:rFonts w:ascii="Arial" w:cs="Arial" w:eastAsia="Arial" w:hAnsi="Arial"/>
                <w:sz w:val="14"/>
                <w:szCs w:val="14"/>
                <w:b w:val="1"/>
                <w:bCs w:val="1"/>
                <w:color w:val="auto"/>
              </w:rPr>
              <w:t>PSUs at</w:t>
            </w:r>
          </w:p>
        </w:tc>
        <w:tc>
          <w:tcPr>
            <w:tcW w:w="1680" w:type="dxa"/>
            <w:vAlign w:val="bottom"/>
          </w:tcPr>
          <w:p>
            <w:pPr>
              <w:jc w:val="right"/>
              <w:ind w:right="364"/>
              <w:spacing w:after="0"/>
              <w:rPr>
                <w:sz w:val="20"/>
                <w:szCs w:val="20"/>
                <w:color w:val="auto"/>
              </w:rPr>
            </w:pPr>
            <w:r>
              <w:rPr>
                <w:rFonts w:ascii="Arial" w:cs="Arial" w:eastAsia="Arial" w:hAnsi="Arial"/>
                <w:sz w:val="14"/>
                <w:szCs w:val="14"/>
                <w:b w:val="1"/>
                <w:bCs w:val="1"/>
                <w:color w:val="auto"/>
              </w:rPr>
              <w:t>PSUs at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PSUs at</w:t>
            </w:r>
          </w:p>
        </w:tc>
      </w:tr>
      <w:tr>
        <w:trPr>
          <w:trHeight w:val="176"/>
        </w:trPr>
        <w:tc>
          <w:tcPr>
            <w:tcW w:w="2620" w:type="dxa"/>
            <w:vAlign w:val="bottom"/>
          </w:tcPr>
          <w:p>
            <w:pPr>
              <w:spacing w:after="0"/>
              <w:rPr>
                <w:sz w:val="15"/>
                <w:szCs w:val="15"/>
                <w:color w:val="auto"/>
              </w:rPr>
            </w:pPr>
          </w:p>
        </w:tc>
        <w:tc>
          <w:tcPr>
            <w:tcW w:w="2260" w:type="dxa"/>
            <w:vAlign w:val="bottom"/>
            <w:gridSpan w:val="2"/>
          </w:tcPr>
          <w:p>
            <w:pPr>
              <w:jc w:val="right"/>
              <w:ind w:right="627"/>
              <w:spacing w:after="0"/>
              <w:rPr>
                <w:sz w:val="20"/>
                <w:szCs w:val="20"/>
                <w:color w:val="auto"/>
              </w:rPr>
            </w:pPr>
            <w:r>
              <w:rPr>
                <w:rFonts w:ascii="Arial" w:cs="Arial" w:eastAsia="Arial" w:hAnsi="Arial"/>
                <w:sz w:val="14"/>
                <w:szCs w:val="14"/>
                <w:b w:val="1"/>
                <w:bCs w:val="1"/>
                <w:color w:val="auto"/>
              </w:rPr>
              <w:t>Maximum</w:t>
            </w:r>
          </w:p>
        </w:tc>
        <w:tc>
          <w:tcPr>
            <w:tcW w:w="1660" w:type="dxa"/>
            <w:vAlign w:val="bottom"/>
          </w:tcPr>
          <w:p>
            <w:pPr>
              <w:jc w:val="right"/>
              <w:ind w:right="364"/>
              <w:spacing w:after="0"/>
              <w:rPr>
                <w:sz w:val="20"/>
                <w:szCs w:val="20"/>
                <w:color w:val="auto"/>
              </w:rPr>
            </w:pPr>
            <w:r>
              <w:rPr>
                <w:rFonts w:ascii="Arial" w:cs="Arial" w:eastAsia="Arial" w:hAnsi="Arial"/>
                <w:sz w:val="14"/>
                <w:szCs w:val="14"/>
                <w:b w:val="1"/>
                <w:bCs w:val="1"/>
                <w:color w:val="auto"/>
              </w:rPr>
              <w:t>Threshold</w:t>
            </w:r>
          </w:p>
        </w:tc>
        <w:tc>
          <w:tcPr>
            <w:tcW w:w="1840" w:type="dxa"/>
            <w:vAlign w:val="bottom"/>
            <w:gridSpan w:val="2"/>
          </w:tcPr>
          <w:p>
            <w:pPr>
              <w:jc w:val="right"/>
              <w:ind w:right="627"/>
              <w:spacing w:after="0"/>
              <w:rPr>
                <w:sz w:val="20"/>
                <w:szCs w:val="20"/>
                <w:color w:val="auto"/>
              </w:rPr>
            </w:pPr>
            <w:r>
              <w:rPr>
                <w:rFonts w:ascii="Arial" w:cs="Arial" w:eastAsia="Arial" w:hAnsi="Arial"/>
                <w:sz w:val="14"/>
                <w:szCs w:val="14"/>
                <w:b w:val="1"/>
                <w:bCs w:val="1"/>
                <w:color w:val="auto"/>
              </w:rPr>
              <w:t>Threshold</w:t>
            </w:r>
          </w:p>
        </w:tc>
        <w:tc>
          <w:tcPr>
            <w:tcW w:w="1680" w:type="dxa"/>
            <w:vAlign w:val="bottom"/>
          </w:tcPr>
          <w:p>
            <w:pPr>
              <w:jc w:val="right"/>
              <w:ind w:right="364"/>
              <w:spacing w:after="0"/>
              <w:rPr>
                <w:sz w:val="20"/>
                <w:szCs w:val="20"/>
                <w:color w:val="auto"/>
              </w:rPr>
            </w:pPr>
            <w:r>
              <w:rPr>
                <w:rFonts w:ascii="Arial" w:cs="Arial" w:eastAsia="Arial" w:hAnsi="Arial"/>
                <w:sz w:val="14"/>
                <w:szCs w:val="14"/>
                <w:b w:val="1"/>
                <w:bCs w:val="1"/>
                <w:color w:val="auto"/>
              </w:rPr>
              <w:t>Threshold</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Target</w:t>
            </w:r>
          </w:p>
        </w:tc>
      </w:tr>
      <w:tr>
        <w:trPr>
          <w:trHeight w:val="205"/>
        </w:trPr>
        <w:tc>
          <w:tcPr>
            <w:tcW w:w="262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Name</w:t>
            </w:r>
          </w:p>
        </w:tc>
        <w:tc>
          <w:tcPr>
            <w:tcW w:w="2260" w:type="dxa"/>
            <w:vAlign w:val="bottom"/>
            <w:tcBorders>
              <w:bottom w:val="single" w:sz="8" w:color="1A3FD6"/>
            </w:tcBorders>
            <w:gridSpan w:val="2"/>
          </w:tcPr>
          <w:p>
            <w:pPr>
              <w:jc w:val="right"/>
              <w:ind w:right="627"/>
              <w:spacing w:after="0"/>
              <w:rPr>
                <w:sz w:val="20"/>
                <w:szCs w:val="20"/>
                <w:color w:val="auto"/>
              </w:rPr>
            </w:pPr>
            <w:r>
              <w:rPr>
                <w:rFonts w:ascii="Arial" w:cs="Arial" w:eastAsia="Arial" w:hAnsi="Arial"/>
                <w:sz w:val="14"/>
                <w:szCs w:val="14"/>
                <w:b w:val="1"/>
                <w:bCs w:val="1"/>
                <w:color w:val="auto"/>
              </w:rPr>
              <w:t>Vesting (#)</w:t>
            </w:r>
          </w:p>
        </w:tc>
        <w:tc>
          <w:tcPr>
            <w:tcW w:w="1660" w:type="dxa"/>
            <w:vAlign w:val="bottom"/>
            <w:tcBorders>
              <w:bottom w:val="single" w:sz="8" w:color="1A3FD6"/>
            </w:tcBorders>
          </w:tcPr>
          <w:p>
            <w:pPr>
              <w:jc w:val="right"/>
              <w:ind w:right="364"/>
              <w:spacing w:after="0"/>
              <w:rPr>
                <w:sz w:val="20"/>
                <w:szCs w:val="20"/>
                <w:color w:val="auto"/>
              </w:rPr>
            </w:pPr>
            <w:r>
              <w:rPr>
                <w:rFonts w:ascii="Arial" w:cs="Arial" w:eastAsia="Arial" w:hAnsi="Arial"/>
                <w:sz w:val="14"/>
                <w:szCs w:val="14"/>
                <w:b w:val="1"/>
                <w:bCs w:val="1"/>
                <w:color w:val="auto"/>
              </w:rPr>
              <w:t>Vesting (#)</w:t>
            </w:r>
          </w:p>
        </w:tc>
        <w:tc>
          <w:tcPr>
            <w:tcW w:w="1840" w:type="dxa"/>
            <w:vAlign w:val="bottom"/>
            <w:tcBorders>
              <w:bottom w:val="single" w:sz="8" w:color="1A3FD6"/>
            </w:tcBorders>
            <w:gridSpan w:val="2"/>
          </w:tcPr>
          <w:p>
            <w:pPr>
              <w:jc w:val="right"/>
              <w:ind w:right="627"/>
              <w:spacing w:after="0"/>
              <w:rPr>
                <w:sz w:val="20"/>
                <w:szCs w:val="20"/>
                <w:color w:val="auto"/>
              </w:rPr>
            </w:pPr>
            <w:r>
              <w:rPr>
                <w:rFonts w:ascii="Arial" w:cs="Arial" w:eastAsia="Arial" w:hAnsi="Arial"/>
                <w:sz w:val="14"/>
                <w:szCs w:val="14"/>
                <w:b w:val="1"/>
                <w:bCs w:val="1"/>
                <w:color w:val="auto"/>
              </w:rPr>
              <w:t>Vesting (#)</w:t>
            </w:r>
          </w:p>
        </w:tc>
        <w:tc>
          <w:tcPr>
            <w:tcW w:w="1680" w:type="dxa"/>
            <w:vAlign w:val="bottom"/>
            <w:tcBorders>
              <w:bottom w:val="single" w:sz="8" w:color="1A3FD6"/>
            </w:tcBorders>
          </w:tcPr>
          <w:p>
            <w:pPr>
              <w:jc w:val="right"/>
              <w:ind w:right="364"/>
              <w:spacing w:after="0"/>
              <w:rPr>
                <w:sz w:val="20"/>
                <w:szCs w:val="20"/>
                <w:color w:val="auto"/>
              </w:rPr>
            </w:pPr>
            <w:r>
              <w:rPr>
                <w:rFonts w:ascii="Arial" w:cs="Arial" w:eastAsia="Arial" w:hAnsi="Arial"/>
                <w:sz w:val="14"/>
                <w:szCs w:val="14"/>
                <w:b w:val="1"/>
                <w:bCs w:val="1"/>
                <w:color w:val="auto"/>
              </w:rPr>
              <w:t>Vesting (#)</w:t>
            </w:r>
          </w:p>
        </w:tc>
        <w:tc>
          <w:tcPr>
            <w:tcW w:w="118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Vesting (#)</w:t>
            </w:r>
          </w:p>
        </w:tc>
      </w:tr>
      <w:tr>
        <w:trPr>
          <w:trHeight w:val="239"/>
        </w:trPr>
        <w:tc>
          <w:tcPr>
            <w:tcW w:w="2620" w:type="dxa"/>
            <w:vAlign w:val="bottom"/>
          </w:tcPr>
          <w:p>
            <w:pPr>
              <w:ind w:left="20"/>
              <w:spacing w:after="0"/>
              <w:rPr>
                <w:sz w:val="20"/>
                <w:szCs w:val="20"/>
                <w:color w:val="auto"/>
              </w:rPr>
            </w:pPr>
            <w:r>
              <w:rPr>
                <w:rFonts w:ascii="Arial" w:cs="Arial" w:eastAsia="Arial" w:hAnsi="Arial"/>
                <w:sz w:val="16"/>
                <w:szCs w:val="16"/>
                <w:b w:val="1"/>
                <w:bCs w:val="1"/>
                <w:color w:val="1A3FD6"/>
              </w:rPr>
              <w:t>Henry A. Fernandez</w:t>
            </w:r>
          </w:p>
        </w:tc>
        <w:tc>
          <w:tcPr>
            <w:tcW w:w="1580" w:type="dxa"/>
            <w:vAlign w:val="bottom"/>
          </w:tcPr>
          <w:p>
            <w:pPr>
              <w:jc w:val="right"/>
              <w:spacing w:after="0"/>
              <w:rPr>
                <w:sz w:val="20"/>
                <w:szCs w:val="20"/>
                <w:color w:val="auto"/>
              </w:rPr>
            </w:pPr>
            <w:r>
              <w:rPr>
                <w:rFonts w:ascii="Arial" w:cs="Arial" w:eastAsia="Arial" w:hAnsi="Arial"/>
                <w:sz w:val="16"/>
                <w:szCs w:val="16"/>
                <w:color w:val="auto"/>
              </w:rPr>
              <w:t>71,184</w:t>
            </w:r>
          </w:p>
        </w:tc>
        <w:tc>
          <w:tcPr>
            <w:tcW w:w="680" w:type="dxa"/>
            <w:vAlign w:val="bottom"/>
          </w:tcPr>
          <w:p>
            <w:pPr>
              <w:jc w:val="right"/>
              <w:ind w:right="467"/>
              <w:spacing w:after="0"/>
              <w:rPr>
                <w:sz w:val="20"/>
                <w:szCs w:val="20"/>
                <w:color w:val="auto"/>
              </w:rPr>
            </w:pPr>
            <w:r>
              <w:rPr>
                <w:rFonts w:ascii="Arial" w:cs="Arial" w:eastAsia="Arial" w:hAnsi="Arial"/>
                <w:sz w:val="11"/>
                <w:szCs w:val="11"/>
                <w:color w:val="auto"/>
              </w:rPr>
              <w:t>(1)</w:t>
            </w:r>
          </w:p>
        </w:tc>
        <w:tc>
          <w:tcPr>
            <w:tcW w:w="1660" w:type="dxa"/>
            <w:vAlign w:val="bottom"/>
          </w:tcPr>
          <w:p>
            <w:pPr>
              <w:jc w:val="right"/>
              <w:ind w:right="404"/>
              <w:spacing w:after="0"/>
              <w:rPr>
                <w:sz w:val="20"/>
                <w:szCs w:val="20"/>
                <w:color w:val="auto"/>
              </w:rPr>
            </w:pPr>
            <w:r>
              <w:rPr>
                <w:rFonts w:ascii="Arial" w:cs="Arial" w:eastAsia="Arial" w:hAnsi="Arial"/>
                <w:sz w:val="16"/>
                <w:szCs w:val="16"/>
                <w:color w:val="auto"/>
              </w:rPr>
              <w:t>8,710</w:t>
            </w:r>
          </w:p>
        </w:tc>
        <w:tc>
          <w:tcPr>
            <w:tcW w:w="1140" w:type="dxa"/>
            <w:vAlign w:val="bottom"/>
          </w:tcPr>
          <w:p>
            <w:pPr>
              <w:jc w:val="right"/>
              <w:spacing w:after="0"/>
              <w:rPr>
                <w:sz w:val="20"/>
                <w:szCs w:val="20"/>
                <w:color w:val="auto"/>
              </w:rPr>
            </w:pPr>
            <w:r>
              <w:rPr>
                <w:rFonts w:ascii="Arial" w:cs="Arial" w:eastAsia="Arial" w:hAnsi="Arial"/>
                <w:sz w:val="16"/>
                <w:szCs w:val="16"/>
                <w:color w:val="auto"/>
              </w:rPr>
              <w:t>2,154</w:t>
            </w:r>
          </w:p>
        </w:tc>
        <w:tc>
          <w:tcPr>
            <w:tcW w:w="700" w:type="dxa"/>
            <w:vAlign w:val="bottom"/>
          </w:tcPr>
          <w:p>
            <w:pPr>
              <w:jc w:val="right"/>
              <w:ind w:right="467"/>
              <w:spacing w:after="0"/>
              <w:rPr>
                <w:sz w:val="20"/>
                <w:szCs w:val="20"/>
                <w:color w:val="auto"/>
              </w:rPr>
            </w:pPr>
            <w:r>
              <w:rPr>
                <w:rFonts w:ascii="Arial" w:cs="Arial" w:eastAsia="Arial" w:hAnsi="Arial"/>
                <w:sz w:val="11"/>
                <w:szCs w:val="11"/>
                <w:color w:val="auto"/>
              </w:rPr>
              <w:t>(6)</w:t>
            </w:r>
          </w:p>
        </w:tc>
        <w:tc>
          <w:tcPr>
            <w:tcW w:w="1680" w:type="dxa"/>
            <w:vAlign w:val="bottom"/>
          </w:tcPr>
          <w:p>
            <w:pPr>
              <w:jc w:val="right"/>
              <w:ind w:right="424"/>
              <w:spacing w:after="0"/>
              <w:rPr>
                <w:sz w:val="20"/>
                <w:szCs w:val="20"/>
                <w:color w:val="auto"/>
              </w:rPr>
            </w:pPr>
            <w:r>
              <w:rPr>
                <w:rFonts w:ascii="Arial" w:cs="Arial" w:eastAsia="Arial" w:hAnsi="Arial"/>
                <w:sz w:val="16"/>
                <w:szCs w:val="16"/>
                <w:color w:val="auto"/>
              </w:rPr>
              <w:t>2,000</w:t>
            </w:r>
          </w:p>
        </w:tc>
        <w:tc>
          <w:tcPr>
            <w:tcW w:w="1180" w:type="dxa"/>
            <w:vAlign w:val="bottom"/>
          </w:tcPr>
          <w:p>
            <w:pPr>
              <w:jc w:val="right"/>
              <w:spacing w:after="0"/>
              <w:rPr>
                <w:sz w:val="20"/>
                <w:szCs w:val="20"/>
                <w:color w:val="auto"/>
              </w:rPr>
            </w:pPr>
            <w:r>
              <w:rPr>
                <w:rFonts w:ascii="Arial" w:cs="Arial" w:eastAsia="Arial" w:hAnsi="Arial"/>
                <w:sz w:val="16"/>
                <w:szCs w:val="16"/>
                <w:color w:val="auto"/>
              </w:rPr>
              <w:t>6,924</w:t>
            </w:r>
          </w:p>
        </w:tc>
      </w:tr>
      <w:tr>
        <w:trPr>
          <w:trHeight w:val="247"/>
        </w:trPr>
        <w:tc>
          <w:tcPr>
            <w:tcW w:w="262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Andrew C. Wiechmann</w:t>
            </w:r>
          </w:p>
        </w:tc>
        <w:tc>
          <w:tcPr>
            <w:tcW w:w="1580" w:type="dxa"/>
            <w:vAlign w:val="bottom"/>
            <w:shd w:val="clear" w:color="auto" w:fill="EDF0FC"/>
          </w:tcPr>
          <w:p>
            <w:pPr>
              <w:jc w:val="right"/>
              <w:spacing w:after="0"/>
              <w:rPr>
                <w:sz w:val="20"/>
                <w:szCs w:val="20"/>
                <w:color w:val="auto"/>
              </w:rPr>
            </w:pPr>
            <w:r>
              <w:rPr>
                <w:rFonts w:ascii="Arial" w:cs="Arial" w:eastAsia="Arial" w:hAnsi="Arial"/>
                <w:sz w:val="16"/>
                <w:szCs w:val="16"/>
                <w:color w:val="auto"/>
              </w:rPr>
              <w:t>2,768</w:t>
            </w:r>
          </w:p>
        </w:tc>
        <w:tc>
          <w:tcPr>
            <w:tcW w:w="680" w:type="dxa"/>
            <w:vAlign w:val="bottom"/>
            <w:shd w:val="clear" w:color="auto" w:fill="EDF0FC"/>
          </w:tcPr>
          <w:p>
            <w:pPr>
              <w:jc w:val="right"/>
              <w:ind w:right="467"/>
              <w:spacing w:after="0"/>
              <w:rPr>
                <w:sz w:val="20"/>
                <w:szCs w:val="20"/>
                <w:color w:val="auto"/>
              </w:rPr>
            </w:pPr>
            <w:r>
              <w:rPr>
                <w:rFonts w:ascii="Arial" w:cs="Arial" w:eastAsia="Arial" w:hAnsi="Arial"/>
                <w:sz w:val="11"/>
                <w:szCs w:val="11"/>
                <w:color w:val="auto"/>
              </w:rPr>
              <w:t>(2)</w:t>
            </w:r>
          </w:p>
        </w:tc>
        <w:tc>
          <w:tcPr>
            <w:tcW w:w="1660" w:type="dxa"/>
            <w:vAlign w:val="bottom"/>
            <w:shd w:val="clear" w:color="auto" w:fill="EDF0FC"/>
          </w:tcPr>
          <w:p>
            <w:pPr>
              <w:jc w:val="right"/>
              <w:ind w:right="404"/>
              <w:spacing w:after="0"/>
              <w:rPr>
                <w:sz w:val="20"/>
                <w:szCs w:val="20"/>
                <w:color w:val="auto"/>
              </w:rPr>
            </w:pPr>
            <w:r>
              <w:rPr>
                <w:rFonts w:ascii="Arial" w:cs="Arial" w:eastAsia="Arial" w:hAnsi="Arial"/>
                <w:sz w:val="16"/>
                <w:szCs w:val="16"/>
                <w:color w:val="auto"/>
              </w:rPr>
              <w:t>609</w:t>
            </w:r>
          </w:p>
        </w:tc>
        <w:tc>
          <w:tcPr>
            <w:tcW w:w="11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196</w:t>
            </w:r>
          </w:p>
        </w:tc>
        <w:tc>
          <w:tcPr>
            <w:tcW w:w="700" w:type="dxa"/>
            <w:vAlign w:val="bottom"/>
            <w:shd w:val="clear" w:color="auto" w:fill="EDF0FC"/>
          </w:tcPr>
          <w:p>
            <w:pPr>
              <w:jc w:val="right"/>
              <w:ind w:right="467"/>
              <w:spacing w:after="0"/>
              <w:rPr>
                <w:sz w:val="20"/>
                <w:szCs w:val="20"/>
                <w:color w:val="auto"/>
              </w:rPr>
            </w:pPr>
            <w:r>
              <w:rPr>
                <w:rFonts w:ascii="Arial" w:cs="Arial" w:eastAsia="Arial" w:hAnsi="Arial"/>
                <w:sz w:val="11"/>
                <w:szCs w:val="11"/>
                <w:color w:val="auto"/>
              </w:rPr>
              <w:t>(6)</w:t>
            </w:r>
          </w:p>
        </w:tc>
        <w:tc>
          <w:tcPr>
            <w:tcW w:w="1680" w:type="dxa"/>
            <w:vAlign w:val="bottom"/>
            <w:shd w:val="clear" w:color="auto" w:fill="EDF0FC"/>
          </w:tcPr>
          <w:p>
            <w:pPr>
              <w:jc w:val="right"/>
              <w:ind w:right="424"/>
              <w:spacing w:after="0"/>
              <w:rPr>
                <w:sz w:val="20"/>
                <w:szCs w:val="20"/>
                <w:color w:val="auto"/>
              </w:rPr>
            </w:pPr>
            <w:r>
              <w:rPr>
                <w:rFonts w:ascii="Arial" w:cs="Arial" w:eastAsia="Arial" w:hAnsi="Arial"/>
                <w:sz w:val="16"/>
                <w:szCs w:val="16"/>
                <w:color w:val="auto"/>
              </w:rPr>
              <w:t>267</w:t>
            </w:r>
          </w:p>
        </w:tc>
        <w:tc>
          <w:tcPr>
            <w:tcW w:w="1180" w:type="dxa"/>
            <w:vAlign w:val="bottom"/>
            <w:shd w:val="clear" w:color="auto" w:fill="EDF0FC"/>
          </w:tcPr>
          <w:p>
            <w:pPr>
              <w:jc w:val="right"/>
              <w:spacing w:after="0"/>
              <w:rPr>
                <w:sz w:val="20"/>
                <w:szCs w:val="20"/>
                <w:color w:val="auto"/>
              </w:rPr>
            </w:pPr>
            <w:r>
              <w:rPr>
                <w:rFonts w:ascii="Arial" w:cs="Arial" w:eastAsia="Arial" w:hAnsi="Arial"/>
                <w:sz w:val="16"/>
                <w:szCs w:val="16"/>
                <w:color w:val="auto"/>
              </w:rPr>
              <w:t>1,582</w:t>
            </w:r>
          </w:p>
        </w:tc>
      </w:tr>
      <w:tr>
        <w:trPr>
          <w:trHeight w:val="239"/>
        </w:trPr>
        <w:tc>
          <w:tcPr>
            <w:tcW w:w="2620" w:type="dxa"/>
            <w:vAlign w:val="bottom"/>
          </w:tcPr>
          <w:p>
            <w:pPr>
              <w:ind w:left="20"/>
              <w:spacing w:after="0"/>
              <w:rPr>
                <w:sz w:val="20"/>
                <w:szCs w:val="20"/>
                <w:color w:val="auto"/>
              </w:rPr>
            </w:pPr>
            <w:r>
              <w:rPr>
                <w:rFonts w:ascii="Arial" w:cs="Arial" w:eastAsia="Arial" w:hAnsi="Arial"/>
                <w:sz w:val="16"/>
                <w:szCs w:val="16"/>
                <w:b w:val="1"/>
                <w:bCs w:val="1"/>
                <w:color w:val="1A3FD6"/>
              </w:rPr>
              <w:t>C.D. Baer Pettit</w:t>
            </w:r>
          </w:p>
        </w:tc>
        <w:tc>
          <w:tcPr>
            <w:tcW w:w="1580" w:type="dxa"/>
            <w:vAlign w:val="bottom"/>
          </w:tcPr>
          <w:p>
            <w:pPr>
              <w:jc w:val="right"/>
              <w:spacing w:after="0"/>
              <w:rPr>
                <w:sz w:val="20"/>
                <w:szCs w:val="20"/>
                <w:color w:val="auto"/>
              </w:rPr>
            </w:pPr>
            <w:r>
              <w:rPr>
                <w:rFonts w:ascii="Arial" w:cs="Arial" w:eastAsia="Arial" w:hAnsi="Arial"/>
                <w:sz w:val="16"/>
                <w:szCs w:val="16"/>
                <w:color w:val="auto"/>
              </w:rPr>
              <w:t>31,638</w:t>
            </w:r>
          </w:p>
        </w:tc>
        <w:tc>
          <w:tcPr>
            <w:tcW w:w="680" w:type="dxa"/>
            <w:vAlign w:val="bottom"/>
          </w:tcPr>
          <w:p>
            <w:pPr>
              <w:jc w:val="right"/>
              <w:ind w:right="467"/>
              <w:spacing w:after="0"/>
              <w:rPr>
                <w:sz w:val="20"/>
                <w:szCs w:val="20"/>
                <w:color w:val="auto"/>
              </w:rPr>
            </w:pPr>
            <w:r>
              <w:rPr>
                <w:rFonts w:ascii="Arial" w:cs="Arial" w:eastAsia="Arial" w:hAnsi="Arial"/>
                <w:sz w:val="11"/>
                <w:szCs w:val="11"/>
                <w:color w:val="auto"/>
              </w:rPr>
              <w:t>(3)</w:t>
            </w:r>
          </w:p>
        </w:tc>
        <w:tc>
          <w:tcPr>
            <w:tcW w:w="1660" w:type="dxa"/>
            <w:vAlign w:val="bottom"/>
          </w:tcPr>
          <w:p>
            <w:pPr>
              <w:jc w:val="right"/>
              <w:ind w:right="404"/>
              <w:spacing w:after="0"/>
              <w:rPr>
                <w:sz w:val="20"/>
                <w:szCs w:val="20"/>
                <w:color w:val="auto"/>
              </w:rPr>
            </w:pPr>
            <w:r>
              <w:rPr>
                <w:rFonts w:ascii="Arial" w:cs="Arial" w:eastAsia="Arial" w:hAnsi="Arial"/>
                <w:sz w:val="16"/>
                <w:szCs w:val="16"/>
                <w:color w:val="auto"/>
              </w:rPr>
              <w:t>4,645</w:t>
            </w:r>
          </w:p>
        </w:tc>
        <w:tc>
          <w:tcPr>
            <w:tcW w:w="1140" w:type="dxa"/>
            <w:vAlign w:val="bottom"/>
          </w:tcPr>
          <w:p>
            <w:pPr>
              <w:jc w:val="right"/>
              <w:spacing w:after="0"/>
              <w:rPr>
                <w:sz w:val="20"/>
                <w:szCs w:val="20"/>
                <w:color w:val="auto"/>
              </w:rPr>
            </w:pPr>
            <w:r>
              <w:rPr>
                <w:rFonts w:ascii="Arial" w:cs="Arial" w:eastAsia="Arial" w:hAnsi="Arial"/>
                <w:sz w:val="16"/>
                <w:szCs w:val="16"/>
                <w:color w:val="auto"/>
              </w:rPr>
              <w:t>1,185</w:t>
            </w:r>
          </w:p>
        </w:tc>
        <w:tc>
          <w:tcPr>
            <w:tcW w:w="700" w:type="dxa"/>
            <w:vAlign w:val="bottom"/>
          </w:tcPr>
          <w:p>
            <w:pPr>
              <w:jc w:val="right"/>
              <w:ind w:right="467"/>
              <w:spacing w:after="0"/>
              <w:rPr>
                <w:sz w:val="20"/>
                <w:szCs w:val="20"/>
                <w:color w:val="auto"/>
              </w:rPr>
            </w:pPr>
            <w:r>
              <w:rPr>
                <w:rFonts w:ascii="Arial" w:cs="Arial" w:eastAsia="Arial" w:hAnsi="Arial"/>
                <w:sz w:val="11"/>
                <w:szCs w:val="11"/>
                <w:color w:val="auto"/>
              </w:rPr>
              <w:t>(6)</w:t>
            </w:r>
          </w:p>
        </w:tc>
        <w:tc>
          <w:tcPr>
            <w:tcW w:w="1680" w:type="dxa"/>
            <w:vAlign w:val="bottom"/>
          </w:tcPr>
          <w:p>
            <w:pPr>
              <w:jc w:val="right"/>
              <w:ind w:right="424"/>
              <w:spacing w:after="0"/>
              <w:rPr>
                <w:sz w:val="20"/>
                <w:szCs w:val="20"/>
                <w:color w:val="auto"/>
              </w:rPr>
            </w:pPr>
            <w:r>
              <w:rPr>
                <w:rFonts w:ascii="Arial" w:cs="Arial" w:eastAsia="Arial" w:hAnsi="Arial"/>
                <w:sz w:val="16"/>
                <w:szCs w:val="16"/>
                <w:color w:val="auto"/>
              </w:rPr>
              <w:t>1,127</w:t>
            </w:r>
          </w:p>
        </w:tc>
        <w:tc>
          <w:tcPr>
            <w:tcW w:w="1180" w:type="dxa"/>
            <w:vAlign w:val="bottom"/>
          </w:tcPr>
          <w:p>
            <w:pPr>
              <w:jc w:val="right"/>
              <w:spacing w:after="0"/>
              <w:rPr>
                <w:sz w:val="20"/>
                <w:szCs w:val="20"/>
                <w:color w:val="auto"/>
              </w:rPr>
            </w:pPr>
            <w:r>
              <w:rPr>
                <w:rFonts w:ascii="Arial" w:cs="Arial" w:eastAsia="Arial" w:hAnsi="Arial"/>
                <w:sz w:val="16"/>
                <w:szCs w:val="16"/>
                <w:color w:val="auto"/>
              </w:rPr>
              <w:t>3,880</w:t>
            </w:r>
          </w:p>
        </w:tc>
      </w:tr>
      <w:tr>
        <w:trPr>
          <w:trHeight w:val="247"/>
        </w:trPr>
        <w:tc>
          <w:tcPr>
            <w:tcW w:w="262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Scott A. Crum</w:t>
            </w:r>
          </w:p>
        </w:tc>
        <w:tc>
          <w:tcPr>
            <w:tcW w:w="1580" w:type="dxa"/>
            <w:vAlign w:val="bottom"/>
            <w:shd w:val="clear" w:color="auto" w:fill="EDF0FC"/>
          </w:tcPr>
          <w:p>
            <w:pPr>
              <w:jc w:val="right"/>
              <w:spacing w:after="0"/>
              <w:rPr>
                <w:sz w:val="20"/>
                <w:szCs w:val="20"/>
                <w:color w:val="auto"/>
              </w:rPr>
            </w:pPr>
            <w:r>
              <w:rPr>
                <w:rFonts w:ascii="Arial" w:cs="Arial" w:eastAsia="Arial" w:hAnsi="Arial"/>
                <w:sz w:val="16"/>
                <w:szCs w:val="16"/>
                <w:color w:val="auto"/>
              </w:rPr>
              <w:t>6,642</w:t>
            </w:r>
          </w:p>
        </w:tc>
        <w:tc>
          <w:tcPr>
            <w:tcW w:w="680" w:type="dxa"/>
            <w:vAlign w:val="bottom"/>
            <w:shd w:val="clear" w:color="auto" w:fill="EDF0FC"/>
          </w:tcPr>
          <w:p>
            <w:pPr>
              <w:jc w:val="right"/>
              <w:ind w:right="467"/>
              <w:spacing w:after="0"/>
              <w:rPr>
                <w:sz w:val="20"/>
                <w:szCs w:val="20"/>
                <w:color w:val="auto"/>
              </w:rPr>
            </w:pPr>
            <w:r>
              <w:rPr>
                <w:rFonts w:ascii="Arial" w:cs="Arial" w:eastAsia="Arial" w:hAnsi="Arial"/>
                <w:sz w:val="11"/>
                <w:szCs w:val="11"/>
                <w:color w:val="auto"/>
              </w:rPr>
              <w:t>(4)</w:t>
            </w:r>
          </w:p>
        </w:tc>
        <w:tc>
          <w:tcPr>
            <w:tcW w:w="1660" w:type="dxa"/>
            <w:vAlign w:val="bottom"/>
            <w:shd w:val="clear" w:color="auto" w:fill="EDF0FC"/>
          </w:tcPr>
          <w:p>
            <w:pPr>
              <w:jc w:val="right"/>
              <w:ind w:right="404"/>
              <w:spacing w:after="0"/>
              <w:rPr>
                <w:sz w:val="20"/>
                <w:szCs w:val="20"/>
                <w:color w:val="auto"/>
              </w:rPr>
            </w:pPr>
            <w:r>
              <w:rPr>
                <w:rFonts w:ascii="Arial" w:cs="Arial" w:eastAsia="Arial" w:hAnsi="Arial"/>
                <w:sz w:val="16"/>
                <w:szCs w:val="16"/>
                <w:color w:val="auto"/>
              </w:rPr>
              <w:t>812</w:t>
            </w:r>
          </w:p>
        </w:tc>
        <w:tc>
          <w:tcPr>
            <w:tcW w:w="11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249</w:t>
            </w:r>
          </w:p>
        </w:tc>
        <w:tc>
          <w:tcPr>
            <w:tcW w:w="700" w:type="dxa"/>
            <w:vAlign w:val="bottom"/>
            <w:shd w:val="clear" w:color="auto" w:fill="EDF0FC"/>
          </w:tcPr>
          <w:p>
            <w:pPr>
              <w:jc w:val="right"/>
              <w:ind w:right="467"/>
              <w:spacing w:after="0"/>
              <w:rPr>
                <w:sz w:val="20"/>
                <w:szCs w:val="20"/>
                <w:color w:val="auto"/>
              </w:rPr>
            </w:pPr>
            <w:r>
              <w:rPr>
                <w:rFonts w:ascii="Arial" w:cs="Arial" w:eastAsia="Arial" w:hAnsi="Arial"/>
                <w:sz w:val="11"/>
                <w:szCs w:val="11"/>
                <w:color w:val="auto"/>
              </w:rPr>
              <w:t>(6)</w:t>
            </w:r>
          </w:p>
        </w:tc>
        <w:tc>
          <w:tcPr>
            <w:tcW w:w="1680" w:type="dxa"/>
            <w:vAlign w:val="bottom"/>
            <w:shd w:val="clear" w:color="auto" w:fill="EDF0FC"/>
          </w:tcPr>
          <w:p>
            <w:pPr>
              <w:jc w:val="right"/>
              <w:ind w:right="424"/>
              <w:spacing w:after="0"/>
              <w:rPr>
                <w:sz w:val="20"/>
                <w:szCs w:val="20"/>
                <w:color w:val="auto"/>
              </w:rPr>
            </w:pPr>
            <w:r>
              <w:rPr>
                <w:rFonts w:ascii="Arial" w:cs="Arial" w:eastAsia="Arial" w:hAnsi="Arial"/>
                <w:sz w:val="16"/>
                <w:szCs w:val="16"/>
                <w:color w:val="auto"/>
              </w:rPr>
              <w:t>235</w:t>
            </w:r>
          </w:p>
        </w:tc>
        <w:tc>
          <w:tcPr>
            <w:tcW w:w="1180" w:type="dxa"/>
            <w:vAlign w:val="bottom"/>
            <w:shd w:val="clear" w:color="auto" w:fill="EDF0FC"/>
          </w:tcPr>
          <w:p>
            <w:pPr>
              <w:jc w:val="right"/>
              <w:spacing w:after="0"/>
              <w:rPr>
                <w:sz w:val="20"/>
                <w:szCs w:val="20"/>
                <w:color w:val="auto"/>
              </w:rPr>
            </w:pPr>
            <w:r>
              <w:rPr>
                <w:rFonts w:ascii="Arial" w:cs="Arial" w:eastAsia="Arial" w:hAnsi="Arial"/>
                <w:sz w:val="16"/>
                <w:szCs w:val="16"/>
                <w:color w:val="auto"/>
              </w:rPr>
              <w:t>1,194</w:t>
            </w:r>
          </w:p>
        </w:tc>
      </w:tr>
      <w:tr>
        <w:trPr>
          <w:trHeight w:val="239"/>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1A3FD6"/>
              </w:rPr>
              <w:t>Robert J. Gutowski</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2,214</w:t>
            </w:r>
          </w:p>
        </w:tc>
        <w:tc>
          <w:tcPr>
            <w:tcW w:w="680" w:type="dxa"/>
            <w:vAlign w:val="bottom"/>
            <w:tcBorders>
              <w:bottom w:val="single" w:sz="8" w:color="auto"/>
            </w:tcBorders>
          </w:tcPr>
          <w:p>
            <w:pPr>
              <w:jc w:val="right"/>
              <w:ind w:right="467"/>
              <w:spacing w:after="0"/>
              <w:rPr>
                <w:sz w:val="20"/>
                <w:szCs w:val="20"/>
                <w:color w:val="auto"/>
              </w:rPr>
            </w:pPr>
            <w:r>
              <w:rPr>
                <w:rFonts w:ascii="Arial" w:cs="Arial" w:eastAsia="Arial" w:hAnsi="Arial"/>
                <w:sz w:val="11"/>
                <w:szCs w:val="11"/>
                <w:color w:val="auto"/>
              </w:rPr>
              <w:t>(5)</w:t>
            </w:r>
          </w:p>
        </w:tc>
        <w:tc>
          <w:tcPr>
            <w:tcW w:w="1660" w:type="dxa"/>
            <w:vAlign w:val="bottom"/>
            <w:tcBorders>
              <w:bottom w:val="single" w:sz="8" w:color="auto"/>
            </w:tcBorders>
          </w:tcPr>
          <w:p>
            <w:pPr>
              <w:jc w:val="right"/>
              <w:ind w:right="404"/>
              <w:spacing w:after="0"/>
              <w:rPr>
                <w:sz w:val="20"/>
                <w:szCs w:val="20"/>
                <w:color w:val="auto"/>
              </w:rPr>
            </w:pPr>
            <w:r>
              <w:rPr>
                <w:rFonts w:ascii="Arial" w:cs="Arial" w:eastAsia="Arial" w:hAnsi="Arial"/>
                <w:sz w:val="16"/>
                <w:szCs w:val="16"/>
                <w:color w:val="auto"/>
              </w:rPr>
              <w:t>609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700" w:type="dxa"/>
            <w:vAlign w:val="bottom"/>
            <w:tcBorders>
              <w:bottom w:val="single" w:sz="8" w:color="auto"/>
            </w:tcBorders>
          </w:tcPr>
          <w:p>
            <w:pPr>
              <w:jc w:val="right"/>
              <w:ind w:right="467"/>
              <w:spacing w:after="0"/>
              <w:rPr>
                <w:sz w:val="20"/>
                <w:szCs w:val="20"/>
                <w:color w:val="auto"/>
              </w:rPr>
            </w:pPr>
            <w:r>
              <w:rPr>
                <w:rFonts w:ascii="Arial" w:cs="Arial" w:eastAsia="Arial" w:hAnsi="Arial"/>
                <w:sz w:val="11"/>
                <w:szCs w:val="11"/>
                <w:color w:val="auto"/>
              </w:rPr>
              <w:t>(6)</w:t>
            </w:r>
          </w:p>
        </w:tc>
        <w:tc>
          <w:tcPr>
            <w:tcW w:w="1680" w:type="dxa"/>
            <w:vAlign w:val="bottom"/>
            <w:tcBorders>
              <w:bottom w:val="single" w:sz="8" w:color="auto"/>
            </w:tcBorders>
          </w:tcPr>
          <w:p>
            <w:pPr>
              <w:jc w:val="right"/>
              <w:ind w:right="424"/>
              <w:spacing w:after="0"/>
              <w:rPr>
                <w:sz w:val="20"/>
                <w:szCs w:val="20"/>
                <w:color w:val="auto"/>
              </w:rPr>
            </w:pPr>
            <w:r>
              <w:rPr>
                <w:rFonts w:ascii="Arial" w:cs="Arial" w:eastAsia="Arial" w:hAnsi="Arial"/>
                <w:sz w:val="16"/>
                <w:szCs w:val="16"/>
                <w:color w:val="auto"/>
              </w:rPr>
              <w:t>172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w:t>
            </w:r>
          </w:p>
        </w:tc>
      </w:tr>
    </w:tbl>
    <w:p>
      <w:pPr>
        <w:spacing w:after="0" w:line="152" w:lineRule="exact"/>
        <w:rPr>
          <w:sz w:val="20"/>
          <w:szCs w:val="20"/>
          <w:color w:val="auto"/>
        </w:rPr>
      </w:pPr>
    </w:p>
    <w:p>
      <w:pPr>
        <w:ind w:left="180" w:hanging="172"/>
        <w:spacing w:after="0"/>
        <w:tabs>
          <w:tab w:leader="none" w:pos="180" w:val="left"/>
        </w:tabs>
        <w:numPr>
          <w:ilvl w:val="0"/>
          <w:numId w:val="97"/>
        </w:numPr>
        <w:rPr>
          <w:rFonts w:ascii="Arial" w:cs="Arial" w:eastAsia="Arial" w:hAnsi="Arial"/>
          <w:sz w:val="19"/>
          <w:szCs w:val="19"/>
          <w:color w:val="auto"/>
          <w:vertAlign w:val="superscript"/>
        </w:rPr>
      </w:pPr>
      <w:r>
        <w:rPr>
          <w:rFonts w:ascii="Arial" w:cs="Arial" w:eastAsia="Arial" w:hAnsi="Arial"/>
          <w:sz w:val="14"/>
          <w:szCs w:val="14"/>
          <w:color w:val="auto"/>
        </w:rPr>
        <w:t>Following the performance adjustment, Mr. Fernandez received 58,370 PSUs which vested and converted to shares on February 6, 2025.</w:t>
      </w:r>
    </w:p>
    <w:p>
      <w:pPr>
        <w:spacing w:after="0" w:line="57" w:lineRule="exact"/>
        <w:rPr>
          <w:rFonts w:ascii="Arial" w:cs="Arial" w:eastAsia="Arial" w:hAnsi="Arial"/>
          <w:sz w:val="19"/>
          <w:szCs w:val="19"/>
          <w:color w:val="auto"/>
          <w:vertAlign w:val="superscript"/>
        </w:rPr>
      </w:pPr>
    </w:p>
    <w:p>
      <w:pPr>
        <w:ind w:left="180" w:hanging="172"/>
        <w:spacing w:after="0" w:line="204" w:lineRule="auto"/>
        <w:tabs>
          <w:tab w:leader="none" w:pos="180" w:val="left"/>
        </w:tabs>
        <w:numPr>
          <w:ilvl w:val="0"/>
          <w:numId w:val="97"/>
        </w:numPr>
        <w:rPr>
          <w:rFonts w:ascii="Arial" w:cs="Arial" w:eastAsia="Arial" w:hAnsi="Arial"/>
          <w:sz w:val="19"/>
          <w:szCs w:val="19"/>
          <w:color w:val="auto"/>
          <w:vertAlign w:val="superscript"/>
        </w:rPr>
      </w:pPr>
      <w:r>
        <w:rPr>
          <w:rFonts w:ascii="Arial" w:cs="Arial" w:eastAsia="Arial" w:hAnsi="Arial"/>
          <w:sz w:val="14"/>
          <w:szCs w:val="14"/>
          <w:color w:val="auto"/>
        </w:rPr>
        <w:t>Following the performance adjustment, Mr. Wiechmann received 2,269 PSUs which vested and converted to shares on February 6, 2025.</w:t>
      </w:r>
    </w:p>
    <w:p>
      <w:pPr>
        <w:spacing w:after="0" w:line="57" w:lineRule="exact"/>
        <w:rPr>
          <w:rFonts w:ascii="Arial" w:cs="Arial" w:eastAsia="Arial" w:hAnsi="Arial"/>
          <w:sz w:val="19"/>
          <w:szCs w:val="19"/>
          <w:color w:val="auto"/>
          <w:vertAlign w:val="superscript"/>
        </w:rPr>
      </w:pPr>
    </w:p>
    <w:p>
      <w:pPr>
        <w:ind w:left="180" w:hanging="172"/>
        <w:spacing w:after="0" w:line="204" w:lineRule="auto"/>
        <w:tabs>
          <w:tab w:leader="none" w:pos="180" w:val="left"/>
        </w:tabs>
        <w:numPr>
          <w:ilvl w:val="0"/>
          <w:numId w:val="97"/>
        </w:numPr>
        <w:rPr>
          <w:rFonts w:ascii="Arial" w:cs="Arial" w:eastAsia="Arial" w:hAnsi="Arial"/>
          <w:sz w:val="19"/>
          <w:szCs w:val="19"/>
          <w:color w:val="auto"/>
          <w:vertAlign w:val="superscript"/>
        </w:rPr>
      </w:pPr>
      <w:r>
        <w:rPr>
          <w:rFonts w:ascii="Arial" w:cs="Arial" w:eastAsia="Arial" w:hAnsi="Arial"/>
          <w:sz w:val="14"/>
          <w:szCs w:val="14"/>
          <w:color w:val="auto"/>
        </w:rPr>
        <w:t>Following the performance adjustment, Mr. Pettit received 25,943 PSUs which vested and converted to shares on February 6, 2025.</w:t>
      </w:r>
    </w:p>
    <w:p>
      <w:pPr>
        <w:spacing w:after="0" w:line="57" w:lineRule="exact"/>
        <w:rPr>
          <w:rFonts w:ascii="Arial" w:cs="Arial" w:eastAsia="Arial" w:hAnsi="Arial"/>
          <w:sz w:val="19"/>
          <w:szCs w:val="19"/>
          <w:color w:val="auto"/>
          <w:vertAlign w:val="superscript"/>
        </w:rPr>
      </w:pPr>
    </w:p>
    <w:p>
      <w:pPr>
        <w:ind w:left="180" w:hanging="172"/>
        <w:spacing w:after="0" w:line="204" w:lineRule="auto"/>
        <w:tabs>
          <w:tab w:leader="none" w:pos="180" w:val="left"/>
        </w:tabs>
        <w:numPr>
          <w:ilvl w:val="0"/>
          <w:numId w:val="97"/>
        </w:numPr>
        <w:rPr>
          <w:rFonts w:ascii="Arial" w:cs="Arial" w:eastAsia="Arial" w:hAnsi="Arial"/>
          <w:sz w:val="19"/>
          <w:szCs w:val="19"/>
          <w:color w:val="auto"/>
          <w:vertAlign w:val="superscript"/>
        </w:rPr>
      </w:pPr>
      <w:r>
        <w:rPr>
          <w:rFonts w:ascii="Arial" w:cs="Arial" w:eastAsia="Arial" w:hAnsi="Arial"/>
          <w:sz w:val="14"/>
          <w:szCs w:val="14"/>
          <w:color w:val="auto"/>
        </w:rPr>
        <w:t>Following the performance adjustment, Mr. Crum received 5,446 PSUs which vested and converted to shares on February 6, 2025.</w:t>
      </w:r>
    </w:p>
    <w:p>
      <w:pPr>
        <w:spacing w:after="0" w:line="57" w:lineRule="exact"/>
        <w:rPr>
          <w:rFonts w:ascii="Arial" w:cs="Arial" w:eastAsia="Arial" w:hAnsi="Arial"/>
          <w:sz w:val="19"/>
          <w:szCs w:val="19"/>
          <w:color w:val="auto"/>
          <w:vertAlign w:val="superscript"/>
        </w:rPr>
      </w:pPr>
    </w:p>
    <w:p>
      <w:pPr>
        <w:ind w:left="180" w:hanging="172"/>
        <w:spacing w:after="0" w:line="204" w:lineRule="auto"/>
        <w:tabs>
          <w:tab w:leader="none" w:pos="180" w:val="left"/>
        </w:tabs>
        <w:numPr>
          <w:ilvl w:val="0"/>
          <w:numId w:val="97"/>
        </w:numPr>
        <w:rPr>
          <w:rFonts w:ascii="Arial" w:cs="Arial" w:eastAsia="Arial" w:hAnsi="Arial"/>
          <w:sz w:val="19"/>
          <w:szCs w:val="19"/>
          <w:color w:val="auto"/>
          <w:vertAlign w:val="superscript"/>
        </w:rPr>
      </w:pPr>
      <w:r>
        <w:rPr>
          <w:rFonts w:ascii="Arial" w:cs="Arial" w:eastAsia="Arial" w:hAnsi="Arial"/>
          <w:sz w:val="14"/>
          <w:szCs w:val="14"/>
          <w:color w:val="auto"/>
        </w:rPr>
        <w:t>Following the performance adjustment, Mr. Gutowski received 1,815 PSUs which vested and converted to shares on February 6, 2025.</w:t>
      </w:r>
    </w:p>
    <w:p>
      <w:pPr>
        <w:spacing w:after="0" w:line="53"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97"/>
        </w:numPr>
        <w:rPr>
          <w:rFonts w:ascii="Arial" w:cs="Arial" w:eastAsia="Arial" w:hAnsi="Arial"/>
          <w:sz w:val="9"/>
          <w:szCs w:val="9"/>
          <w:color w:val="auto"/>
        </w:rPr>
      </w:pPr>
      <w:r>
        <w:rPr>
          <w:rFonts w:ascii="Arial" w:cs="Arial" w:eastAsia="Arial" w:hAnsi="Arial"/>
          <w:sz w:val="14"/>
          <w:szCs w:val="14"/>
          <w:color w:val="auto"/>
        </w:rPr>
        <w:t>Following the performance adjustment, no payout was made on the 2022 3-year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8420"/>
              <w:spacing w:after="0"/>
              <w:rPr>
                <w:sz w:val="20"/>
                <w:szCs w:val="20"/>
                <w:color w:val="auto"/>
              </w:rPr>
            </w:pPr>
            <w:r>
              <w:rPr>
                <w:rFonts w:ascii="Arial" w:cs="Arial" w:eastAsia="Arial" w:hAnsi="Arial"/>
                <w:sz w:val="14"/>
                <w:szCs w:val="14"/>
                <w:b w:val="1"/>
                <w:bCs w:val="1"/>
                <w:color w:val="1A3FD6"/>
              </w:rPr>
              <w:t>Compensation Matters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89</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384"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Option Exercises and Stock Vested</w:t>
      </w:r>
    </w:p>
    <w:p>
      <w:pPr>
        <w:spacing w:after="0" w:line="200"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The following table contains information with regard to stock options exercised by our NEOs and vesting and conversion of stock awards held by the NEOs during fiscal 2024.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20" w:type="dxa"/>
            <w:vAlign w:val="bottom"/>
          </w:tcPr>
          <w:p>
            <w:pPr>
              <w:spacing w:after="0"/>
              <w:rPr>
                <w:sz w:val="17"/>
                <w:szCs w:val="17"/>
                <w:color w:val="auto"/>
              </w:rPr>
            </w:pPr>
          </w:p>
        </w:tc>
        <w:tc>
          <w:tcPr>
            <w:tcW w:w="3280" w:type="dxa"/>
            <w:vAlign w:val="bottom"/>
            <w:tcBorders>
              <w:bottom w:val="single" w:sz="8" w:color="1A3FD6"/>
            </w:tcBorders>
            <w:gridSpan w:val="2"/>
          </w:tcPr>
          <w:p>
            <w:pPr>
              <w:ind w:left="1020"/>
              <w:spacing w:after="0"/>
              <w:rPr>
                <w:sz w:val="20"/>
                <w:szCs w:val="20"/>
                <w:color w:val="auto"/>
              </w:rPr>
            </w:pPr>
            <w:r>
              <w:rPr>
                <w:rFonts w:ascii="Arial" w:cs="Arial" w:eastAsia="Arial" w:hAnsi="Arial"/>
                <w:sz w:val="14"/>
                <w:szCs w:val="14"/>
                <w:b w:val="1"/>
                <w:bCs w:val="1"/>
                <w:color w:val="auto"/>
              </w:rPr>
              <w:t>Option Awards</w:t>
            </w:r>
          </w:p>
        </w:tc>
        <w:tc>
          <w:tcPr>
            <w:tcW w:w="192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Stock Awards</w:t>
            </w:r>
          </w:p>
        </w:tc>
        <w:tc>
          <w:tcPr>
            <w:tcW w:w="1020" w:type="dxa"/>
            <w:vAlign w:val="bottom"/>
            <w:tcBorders>
              <w:bottom w:val="single" w:sz="8" w:color="1A3FD6"/>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020" w:type="dxa"/>
            <w:vAlign w:val="bottom"/>
          </w:tcPr>
          <w:p>
            <w:pPr>
              <w:spacing w:after="0"/>
              <w:rPr>
                <w:sz w:val="16"/>
                <w:szCs w:val="16"/>
                <w:color w:val="auto"/>
              </w:rPr>
            </w:pPr>
          </w:p>
        </w:tc>
        <w:tc>
          <w:tcPr>
            <w:tcW w:w="1760" w:type="dxa"/>
            <w:vAlign w:val="bottom"/>
          </w:tcPr>
          <w:p>
            <w:pPr>
              <w:jc w:val="right"/>
              <w:ind w:right="184"/>
              <w:spacing w:after="0"/>
              <w:rPr>
                <w:sz w:val="20"/>
                <w:szCs w:val="20"/>
                <w:color w:val="auto"/>
              </w:rPr>
            </w:pPr>
            <w:r>
              <w:rPr>
                <w:rFonts w:ascii="Arial" w:cs="Arial" w:eastAsia="Arial" w:hAnsi="Arial"/>
                <w:sz w:val="14"/>
                <w:szCs w:val="14"/>
                <w:b w:val="1"/>
                <w:bCs w:val="1"/>
                <w:color w:val="auto"/>
              </w:rPr>
              <w:t>Number of</w:t>
            </w:r>
          </w:p>
        </w:tc>
        <w:tc>
          <w:tcPr>
            <w:tcW w:w="1520" w:type="dxa"/>
            <w:vAlign w:val="bottom"/>
          </w:tcPr>
          <w:p>
            <w:pPr>
              <w:spacing w:after="0"/>
              <w:rPr>
                <w:sz w:val="16"/>
                <w:szCs w:val="16"/>
                <w:color w:val="auto"/>
              </w:rPr>
            </w:pPr>
          </w:p>
        </w:tc>
        <w:tc>
          <w:tcPr>
            <w:tcW w:w="1920" w:type="dxa"/>
            <w:vAlign w:val="bottom"/>
          </w:tcPr>
          <w:p>
            <w:pPr>
              <w:jc w:val="right"/>
              <w:ind w:right="424"/>
              <w:spacing w:after="0"/>
              <w:rPr>
                <w:sz w:val="20"/>
                <w:szCs w:val="20"/>
                <w:color w:val="auto"/>
              </w:rPr>
            </w:pPr>
            <w:r>
              <w:rPr>
                <w:rFonts w:ascii="Arial" w:cs="Arial" w:eastAsia="Arial" w:hAnsi="Arial"/>
                <w:sz w:val="14"/>
                <w:szCs w:val="14"/>
                <w:b w:val="1"/>
                <w:bCs w:val="1"/>
                <w:color w:val="auto"/>
              </w:rPr>
              <w:t>Number of</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760" w:type="dxa"/>
            <w:vAlign w:val="bottom"/>
          </w:tcPr>
          <w:p>
            <w:pPr>
              <w:jc w:val="right"/>
              <w:ind w:right="184"/>
              <w:spacing w:after="0"/>
              <w:rPr>
                <w:sz w:val="20"/>
                <w:szCs w:val="20"/>
                <w:color w:val="auto"/>
              </w:rPr>
            </w:pPr>
            <w:r>
              <w:rPr>
                <w:rFonts w:ascii="Arial" w:cs="Arial" w:eastAsia="Arial" w:hAnsi="Arial"/>
                <w:sz w:val="14"/>
                <w:szCs w:val="14"/>
                <w:b w:val="1"/>
                <w:bCs w:val="1"/>
                <w:color w:val="auto"/>
              </w:rPr>
              <w:t>Shares Acquired</w:t>
            </w:r>
          </w:p>
        </w:tc>
        <w:tc>
          <w:tcPr>
            <w:tcW w:w="1520" w:type="dxa"/>
            <w:vAlign w:val="bottom"/>
          </w:tcPr>
          <w:p>
            <w:pPr>
              <w:jc w:val="right"/>
              <w:ind w:right="182"/>
              <w:spacing w:after="0"/>
              <w:rPr>
                <w:sz w:val="20"/>
                <w:szCs w:val="20"/>
                <w:color w:val="auto"/>
              </w:rPr>
            </w:pPr>
            <w:r>
              <w:rPr>
                <w:rFonts w:ascii="Arial" w:cs="Arial" w:eastAsia="Arial" w:hAnsi="Arial"/>
                <w:sz w:val="14"/>
                <w:szCs w:val="14"/>
                <w:b w:val="1"/>
                <w:bCs w:val="1"/>
                <w:color w:val="auto"/>
              </w:rPr>
              <w:t>Value Realized</w:t>
            </w:r>
          </w:p>
        </w:tc>
        <w:tc>
          <w:tcPr>
            <w:tcW w:w="1920" w:type="dxa"/>
            <w:vAlign w:val="bottom"/>
          </w:tcPr>
          <w:p>
            <w:pPr>
              <w:jc w:val="right"/>
              <w:ind w:right="424"/>
              <w:spacing w:after="0"/>
              <w:rPr>
                <w:sz w:val="20"/>
                <w:szCs w:val="20"/>
                <w:color w:val="auto"/>
              </w:rPr>
            </w:pPr>
            <w:r>
              <w:rPr>
                <w:rFonts w:ascii="Arial" w:cs="Arial" w:eastAsia="Arial" w:hAnsi="Arial"/>
                <w:sz w:val="14"/>
                <w:szCs w:val="14"/>
                <w:b w:val="1"/>
                <w:bCs w:val="1"/>
                <w:color w:val="auto"/>
              </w:rPr>
              <w:t>Shares Acquired</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9"/>
              </w:rPr>
              <w:t>Value Realized</w:t>
            </w:r>
          </w:p>
        </w:tc>
        <w:tc>
          <w:tcPr>
            <w:tcW w:w="0" w:type="dxa"/>
            <w:vAlign w:val="bottom"/>
          </w:tcPr>
          <w:p>
            <w:pPr>
              <w:spacing w:after="0"/>
              <w:rPr>
                <w:sz w:val="1"/>
                <w:szCs w:val="1"/>
                <w:color w:val="auto"/>
              </w:rPr>
            </w:pPr>
          </w:p>
        </w:tc>
      </w:tr>
      <w:tr>
        <w:trPr>
          <w:trHeight w:val="173"/>
        </w:trPr>
        <w:tc>
          <w:tcPr>
            <w:tcW w:w="5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760" w:type="dxa"/>
            <w:vAlign w:val="bottom"/>
          </w:tcPr>
          <w:p>
            <w:pPr>
              <w:jc w:val="right"/>
              <w:ind w:right="184"/>
              <w:spacing w:after="0"/>
              <w:rPr>
                <w:sz w:val="20"/>
                <w:szCs w:val="20"/>
                <w:color w:val="auto"/>
              </w:rPr>
            </w:pPr>
            <w:r>
              <w:rPr>
                <w:rFonts w:ascii="Arial" w:cs="Arial" w:eastAsia="Arial" w:hAnsi="Arial"/>
                <w:sz w:val="14"/>
                <w:szCs w:val="14"/>
                <w:b w:val="1"/>
                <w:bCs w:val="1"/>
                <w:color w:val="auto"/>
              </w:rPr>
              <w:t>on Exercise</w:t>
            </w:r>
          </w:p>
        </w:tc>
        <w:tc>
          <w:tcPr>
            <w:tcW w:w="1520" w:type="dxa"/>
            <w:vAlign w:val="bottom"/>
          </w:tcPr>
          <w:p>
            <w:pPr>
              <w:jc w:val="right"/>
              <w:ind w:right="182"/>
              <w:spacing w:after="0"/>
              <w:rPr>
                <w:sz w:val="20"/>
                <w:szCs w:val="20"/>
                <w:color w:val="auto"/>
              </w:rPr>
            </w:pPr>
            <w:r>
              <w:rPr>
                <w:rFonts w:ascii="Arial" w:cs="Arial" w:eastAsia="Arial" w:hAnsi="Arial"/>
                <w:sz w:val="14"/>
                <w:szCs w:val="14"/>
                <w:b w:val="1"/>
                <w:bCs w:val="1"/>
                <w:color w:val="auto"/>
              </w:rPr>
              <w:t>on Exercise</w:t>
            </w:r>
          </w:p>
        </w:tc>
        <w:tc>
          <w:tcPr>
            <w:tcW w:w="1920" w:type="dxa"/>
            <w:vAlign w:val="bottom"/>
          </w:tcPr>
          <w:p>
            <w:pPr>
              <w:jc w:val="right"/>
              <w:ind w:right="424"/>
              <w:spacing w:after="0"/>
              <w:rPr>
                <w:sz w:val="20"/>
                <w:szCs w:val="20"/>
                <w:color w:val="auto"/>
              </w:rPr>
            </w:pPr>
            <w:r>
              <w:rPr>
                <w:rFonts w:ascii="Arial" w:cs="Arial" w:eastAsia="Arial" w:hAnsi="Arial"/>
                <w:sz w:val="14"/>
                <w:szCs w:val="14"/>
                <w:b w:val="1"/>
                <w:bCs w:val="1"/>
                <w:color w:val="auto"/>
              </w:rPr>
              <w:t>on Vesting</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on Vesting</w:t>
            </w:r>
          </w:p>
        </w:tc>
        <w:tc>
          <w:tcPr>
            <w:tcW w:w="0" w:type="dxa"/>
            <w:vAlign w:val="bottom"/>
          </w:tcPr>
          <w:p>
            <w:pPr>
              <w:spacing w:after="0"/>
              <w:rPr>
                <w:sz w:val="1"/>
                <w:szCs w:val="1"/>
                <w:color w:val="auto"/>
              </w:rPr>
            </w:pPr>
          </w:p>
        </w:tc>
      </w:tr>
      <w:tr>
        <w:trPr>
          <w:trHeight w:val="201"/>
        </w:trPr>
        <w:tc>
          <w:tcPr>
            <w:tcW w:w="5020" w:type="dxa"/>
            <w:vAlign w:val="bottom"/>
            <w:tcBorders>
              <w:bottom w:val="single" w:sz="8" w:color="1A3FD6"/>
            </w:tcBorders>
            <w:vMerge w:val="continue"/>
          </w:tcPr>
          <w:p>
            <w:pPr>
              <w:spacing w:after="0"/>
              <w:rPr>
                <w:sz w:val="17"/>
                <w:szCs w:val="17"/>
                <w:color w:val="auto"/>
              </w:rPr>
            </w:pPr>
          </w:p>
        </w:tc>
        <w:tc>
          <w:tcPr>
            <w:tcW w:w="1760" w:type="dxa"/>
            <w:vAlign w:val="bottom"/>
            <w:tcBorders>
              <w:bottom w:val="single" w:sz="8" w:color="1A3FD6"/>
            </w:tcBorders>
          </w:tcPr>
          <w:p>
            <w:pPr>
              <w:jc w:val="right"/>
              <w:ind w:right="184"/>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1A3FD6"/>
            </w:tcBorders>
          </w:tcPr>
          <w:p>
            <w:pPr>
              <w:jc w:val="center"/>
              <w:ind w:left="622"/>
              <w:spacing w:after="0" w:line="201"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8"/>
                <w:szCs w:val="18"/>
                <w:b w:val="1"/>
                <w:bCs w:val="1"/>
                <w:color w:val="auto"/>
                <w:w w:val="94"/>
                <w:vertAlign w:val="superscript"/>
              </w:rPr>
              <w:t>(1)</w:t>
            </w:r>
          </w:p>
        </w:tc>
        <w:tc>
          <w:tcPr>
            <w:tcW w:w="1920" w:type="dxa"/>
            <w:vAlign w:val="bottom"/>
            <w:tcBorders>
              <w:bottom w:val="single" w:sz="8" w:color="1A3FD6"/>
            </w:tcBorders>
          </w:tcPr>
          <w:p>
            <w:pPr>
              <w:jc w:val="right"/>
              <w:ind w:right="424"/>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1A3FD6"/>
            </w:tcBorders>
          </w:tcPr>
          <w:p>
            <w:pPr>
              <w:jc w:val="right"/>
              <w:spacing w:after="0" w:line="201"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33"/>
        </w:trPr>
        <w:tc>
          <w:tcPr>
            <w:tcW w:w="5020" w:type="dxa"/>
            <w:vAlign w:val="bottom"/>
          </w:tcPr>
          <w:p>
            <w:pPr>
              <w:ind w:left="20"/>
              <w:spacing w:after="0"/>
              <w:rPr>
                <w:sz w:val="20"/>
                <w:szCs w:val="20"/>
                <w:color w:val="auto"/>
              </w:rPr>
            </w:pPr>
            <w:r>
              <w:rPr>
                <w:rFonts w:ascii="Arial" w:cs="Arial" w:eastAsia="Arial" w:hAnsi="Arial"/>
                <w:sz w:val="16"/>
                <w:szCs w:val="16"/>
                <w:b w:val="1"/>
                <w:bCs w:val="1"/>
                <w:color w:val="1A3FD6"/>
              </w:rPr>
              <w:t>Henry A. Fernandez</w:t>
            </w:r>
          </w:p>
        </w:tc>
        <w:tc>
          <w:tcPr>
            <w:tcW w:w="1760" w:type="dxa"/>
            <w:vAlign w:val="bottom"/>
          </w:tcPr>
          <w:p>
            <w:pPr>
              <w:ind w:left="1280"/>
              <w:spacing w:after="0"/>
              <w:rPr>
                <w:sz w:val="20"/>
                <w:szCs w:val="20"/>
                <w:color w:val="auto"/>
              </w:rPr>
            </w:pPr>
            <w:r>
              <w:rPr>
                <w:rFonts w:ascii="Arial" w:cs="Arial" w:eastAsia="Arial" w:hAnsi="Arial"/>
                <w:sz w:val="16"/>
                <w:szCs w:val="16"/>
                <w:color w:val="auto"/>
              </w:rPr>
              <w:t>—</w:t>
            </w:r>
          </w:p>
        </w:tc>
        <w:tc>
          <w:tcPr>
            <w:tcW w:w="1520" w:type="dxa"/>
            <w:vAlign w:val="bottom"/>
          </w:tcPr>
          <w:p>
            <w:pPr>
              <w:jc w:val="center"/>
              <w:ind w:left="642"/>
              <w:spacing w:after="0"/>
              <w:rPr>
                <w:sz w:val="20"/>
                <w:szCs w:val="20"/>
                <w:color w:val="auto"/>
              </w:rPr>
            </w:pPr>
            <w:r>
              <w:rPr>
                <w:rFonts w:ascii="Arial" w:cs="Arial" w:eastAsia="Arial" w:hAnsi="Arial"/>
                <w:sz w:val="16"/>
                <w:szCs w:val="16"/>
                <w:color w:val="auto"/>
                <w:w w:val="99"/>
              </w:rPr>
              <w:t>—</w:t>
            </w:r>
          </w:p>
        </w:tc>
        <w:tc>
          <w:tcPr>
            <w:tcW w:w="1920" w:type="dxa"/>
            <w:vAlign w:val="bottom"/>
          </w:tcPr>
          <w:p>
            <w:pPr>
              <w:jc w:val="right"/>
              <w:ind w:right="484"/>
              <w:spacing w:after="0"/>
              <w:rPr>
                <w:sz w:val="20"/>
                <w:szCs w:val="20"/>
                <w:color w:val="auto"/>
              </w:rPr>
            </w:pPr>
            <w:r>
              <w:rPr>
                <w:rFonts w:ascii="Arial" w:cs="Arial" w:eastAsia="Arial" w:hAnsi="Arial"/>
                <w:sz w:val="16"/>
                <w:szCs w:val="16"/>
                <w:color w:val="auto"/>
              </w:rPr>
              <w:t>91,320</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53,275,175</w:t>
            </w:r>
          </w:p>
        </w:tc>
        <w:tc>
          <w:tcPr>
            <w:tcW w:w="0" w:type="dxa"/>
            <w:vAlign w:val="bottom"/>
          </w:tcPr>
          <w:p>
            <w:pPr>
              <w:spacing w:after="0"/>
              <w:rPr>
                <w:sz w:val="1"/>
                <w:szCs w:val="1"/>
                <w:color w:val="auto"/>
              </w:rPr>
            </w:pPr>
          </w:p>
        </w:tc>
      </w:tr>
      <w:tr>
        <w:trPr>
          <w:trHeight w:val="247"/>
        </w:trPr>
        <w:tc>
          <w:tcPr>
            <w:tcW w:w="502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Andrew C. Wiechmann</w:t>
            </w:r>
          </w:p>
        </w:tc>
        <w:tc>
          <w:tcPr>
            <w:tcW w:w="1760" w:type="dxa"/>
            <w:vAlign w:val="bottom"/>
            <w:shd w:val="clear" w:color="auto" w:fill="EDF0FC"/>
          </w:tcPr>
          <w:p>
            <w:pPr>
              <w:ind w:left="1280"/>
              <w:spacing w:after="0"/>
              <w:rPr>
                <w:sz w:val="20"/>
                <w:szCs w:val="20"/>
                <w:color w:val="auto"/>
              </w:rPr>
            </w:pPr>
            <w:r>
              <w:rPr>
                <w:rFonts w:ascii="Arial" w:cs="Arial" w:eastAsia="Arial" w:hAnsi="Arial"/>
                <w:sz w:val="16"/>
                <w:szCs w:val="16"/>
                <w:color w:val="auto"/>
              </w:rPr>
              <w:t>—</w:t>
            </w:r>
          </w:p>
        </w:tc>
        <w:tc>
          <w:tcPr>
            <w:tcW w:w="1520" w:type="dxa"/>
            <w:vAlign w:val="bottom"/>
            <w:shd w:val="clear" w:color="auto" w:fill="EDF0FC"/>
          </w:tcPr>
          <w:p>
            <w:pPr>
              <w:jc w:val="center"/>
              <w:ind w:left="642"/>
              <w:spacing w:after="0"/>
              <w:rPr>
                <w:sz w:val="20"/>
                <w:szCs w:val="20"/>
                <w:color w:val="auto"/>
              </w:rPr>
            </w:pPr>
            <w:r>
              <w:rPr>
                <w:rFonts w:ascii="Arial" w:cs="Arial" w:eastAsia="Arial" w:hAnsi="Arial"/>
                <w:sz w:val="16"/>
                <w:szCs w:val="16"/>
                <w:color w:val="auto"/>
                <w:w w:val="99"/>
              </w:rPr>
              <w:t>—</w:t>
            </w:r>
          </w:p>
        </w:tc>
        <w:tc>
          <w:tcPr>
            <w:tcW w:w="1920" w:type="dxa"/>
            <w:vAlign w:val="bottom"/>
            <w:shd w:val="clear" w:color="auto" w:fill="EDF0FC"/>
          </w:tcPr>
          <w:p>
            <w:pPr>
              <w:jc w:val="right"/>
              <w:ind w:right="484"/>
              <w:spacing w:after="0"/>
              <w:rPr>
                <w:sz w:val="20"/>
                <w:szCs w:val="20"/>
                <w:color w:val="auto"/>
              </w:rPr>
            </w:pPr>
            <w:r>
              <w:rPr>
                <w:rFonts w:ascii="Arial" w:cs="Arial" w:eastAsia="Arial" w:hAnsi="Arial"/>
                <w:sz w:val="16"/>
                <w:szCs w:val="16"/>
                <w:color w:val="auto"/>
              </w:rPr>
              <w:t>2,336</w:t>
            </w:r>
          </w:p>
        </w:tc>
        <w:tc>
          <w:tcPr>
            <w:tcW w:w="1020" w:type="dxa"/>
            <w:vAlign w:val="bottom"/>
            <w:shd w:val="clear" w:color="auto" w:fill="EDF0FC"/>
          </w:tcPr>
          <w:p>
            <w:pPr>
              <w:jc w:val="right"/>
              <w:ind w:right="2"/>
              <w:spacing w:after="0"/>
              <w:rPr>
                <w:sz w:val="20"/>
                <w:szCs w:val="20"/>
                <w:color w:val="auto"/>
              </w:rPr>
            </w:pPr>
            <w:r>
              <w:rPr>
                <w:rFonts w:ascii="Arial" w:cs="Arial" w:eastAsia="Arial" w:hAnsi="Arial"/>
                <w:sz w:val="16"/>
                <w:szCs w:val="16"/>
                <w:color w:val="auto"/>
              </w:rPr>
              <w:t>1,364,878</w:t>
            </w:r>
          </w:p>
        </w:tc>
        <w:tc>
          <w:tcPr>
            <w:tcW w:w="0" w:type="dxa"/>
            <w:vAlign w:val="bottom"/>
          </w:tcPr>
          <w:p>
            <w:pPr>
              <w:spacing w:after="0"/>
              <w:rPr>
                <w:sz w:val="1"/>
                <w:szCs w:val="1"/>
                <w:color w:val="auto"/>
              </w:rPr>
            </w:pPr>
          </w:p>
        </w:tc>
      </w:tr>
      <w:tr>
        <w:trPr>
          <w:trHeight w:val="239"/>
        </w:trPr>
        <w:tc>
          <w:tcPr>
            <w:tcW w:w="5020" w:type="dxa"/>
            <w:vAlign w:val="bottom"/>
          </w:tcPr>
          <w:p>
            <w:pPr>
              <w:ind w:left="20"/>
              <w:spacing w:after="0"/>
              <w:rPr>
                <w:sz w:val="20"/>
                <w:szCs w:val="20"/>
                <w:color w:val="auto"/>
              </w:rPr>
            </w:pPr>
            <w:r>
              <w:rPr>
                <w:rFonts w:ascii="Arial" w:cs="Arial" w:eastAsia="Arial" w:hAnsi="Arial"/>
                <w:sz w:val="16"/>
                <w:szCs w:val="16"/>
                <w:b w:val="1"/>
                <w:bCs w:val="1"/>
                <w:color w:val="1A3FD6"/>
              </w:rPr>
              <w:t>C.D. Baer Pettit</w:t>
            </w:r>
          </w:p>
        </w:tc>
        <w:tc>
          <w:tcPr>
            <w:tcW w:w="1760" w:type="dxa"/>
            <w:vAlign w:val="bottom"/>
          </w:tcPr>
          <w:p>
            <w:pPr>
              <w:ind w:left="1280"/>
              <w:spacing w:after="0"/>
              <w:rPr>
                <w:sz w:val="20"/>
                <w:szCs w:val="20"/>
                <w:color w:val="auto"/>
              </w:rPr>
            </w:pPr>
            <w:r>
              <w:rPr>
                <w:rFonts w:ascii="Arial" w:cs="Arial" w:eastAsia="Arial" w:hAnsi="Arial"/>
                <w:sz w:val="16"/>
                <w:szCs w:val="16"/>
                <w:color w:val="auto"/>
              </w:rPr>
              <w:t>—</w:t>
            </w:r>
          </w:p>
        </w:tc>
        <w:tc>
          <w:tcPr>
            <w:tcW w:w="1520" w:type="dxa"/>
            <w:vAlign w:val="bottom"/>
          </w:tcPr>
          <w:p>
            <w:pPr>
              <w:jc w:val="center"/>
              <w:ind w:left="642"/>
              <w:spacing w:after="0"/>
              <w:rPr>
                <w:sz w:val="20"/>
                <w:szCs w:val="20"/>
                <w:color w:val="auto"/>
              </w:rPr>
            </w:pPr>
            <w:r>
              <w:rPr>
                <w:rFonts w:ascii="Arial" w:cs="Arial" w:eastAsia="Arial" w:hAnsi="Arial"/>
                <w:sz w:val="16"/>
                <w:szCs w:val="16"/>
                <w:color w:val="auto"/>
                <w:w w:val="99"/>
              </w:rPr>
              <w:t>—</w:t>
            </w:r>
          </w:p>
        </w:tc>
        <w:tc>
          <w:tcPr>
            <w:tcW w:w="1920" w:type="dxa"/>
            <w:vAlign w:val="bottom"/>
          </w:tcPr>
          <w:p>
            <w:pPr>
              <w:jc w:val="right"/>
              <w:ind w:right="484"/>
              <w:spacing w:after="0"/>
              <w:rPr>
                <w:sz w:val="20"/>
                <w:szCs w:val="20"/>
                <w:color w:val="auto"/>
              </w:rPr>
            </w:pPr>
            <w:r>
              <w:rPr>
                <w:rFonts w:ascii="Arial" w:cs="Arial" w:eastAsia="Arial" w:hAnsi="Arial"/>
                <w:sz w:val="16"/>
                <w:szCs w:val="16"/>
                <w:color w:val="auto"/>
              </w:rPr>
              <w:t>27,158</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15,843,706</w:t>
            </w:r>
          </w:p>
        </w:tc>
        <w:tc>
          <w:tcPr>
            <w:tcW w:w="0" w:type="dxa"/>
            <w:vAlign w:val="bottom"/>
          </w:tcPr>
          <w:p>
            <w:pPr>
              <w:spacing w:after="0"/>
              <w:rPr>
                <w:sz w:val="1"/>
                <w:szCs w:val="1"/>
                <w:color w:val="auto"/>
              </w:rPr>
            </w:pPr>
          </w:p>
        </w:tc>
      </w:tr>
      <w:tr>
        <w:trPr>
          <w:trHeight w:val="247"/>
        </w:trPr>
        <w:tc>
          <w:tcPr>
            <w:tcW w:w="502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Scott A. Crum</w:t>
            </w:r>
          </w:p>
        </w:tc>
        <w:tc>
          <w:tcPr>
            <w:tcW w:w="1760" w:type="dxa"/>
            <w:vAlign w:val="bottom"/>
            <w:shd w:val="clear" w:color="auto" w:fill="EDF0FC"/>
          </w:tcPr>
          <w:p>
            <w:pPr>
              <w:ind w:left="1280"/>
              <w:spacing w:after="0"/>
              <w:rPr>
                <w:sz w:val="20"/>
                <w:szCs w:val="20"/>
                <w:color w:val="auto"/>
              </w:rPr>
            </w:pPr>
            <w:r>
              <w:rPr>
                <w:rFonts w:ascii="Arial" w:cs="Arial" w:eastAsia="Arial" w:hAnsi="Arial"/>
                <w:sz w:val="16"/>
                <w:szCs w:val="16"/>
                <w:color w:val="auto"/>
              </w:rPr>
              <w:t>—</w:t>
            </w:r>
          </w:p>
        </w:tc>
        <w:tc>
          <w:tcPr>
            <w:tcW w:w="1520" w:type="dxa"/>
            <w:vAlign w:val="bottom"/>
            <w:shd w:val="clear" w:color="auto" w:fill="EDF0FC"/>
          </w:tcPr>
          <w:p>
            <w:pPr>
              <w:jc w:val="center"/>
              <w:ind w:left="642"/>
              <w:spacing w:after="0"/>
              <w:rPr>
                <w:sz w:val="20"/>
                <w:szCs w:val="20"/>
                <w:color w:val="auto"/>
              </w:rPr>
            </w:pPr>
            <w:r>
              <w:rPr>
                <w:rFonts w:ascii="Arial" w:cs="Arial" w:eastAsia="Arial" w:hAnsi="Arial"/>
                <w:sz w:val="16"/>
                <w:szCs w:val="16"/>
                <w:color w:val="auto"/>
                <w:w w:val="99"/>
              </w:rPr>
              <w:t>—</w:t>
            </w:r>
          </w:p>
        </w:tc>
        <w:tc>
          <w:tcPr>
            <w:tcW w:w="1920" w:type="dxa"/>
            <w:vAlign w:val="bottom"/>
            <w:shd w:val="clear" w:color="auto" w:fill="EDF0FC"/>
          </w:tcPr>
          <w:p>
            <w:pPr>
              <w:jc w:val="right"/>
              <w:ind w:right="484"/>
              <w:spacing w:after="0"/>
              <w:rPr>
                <w:sz w:val="20"/>
                <w:szCs w:val="20"/>
                <w:color w:val="auto"/>
              </w:rPr>
            </w:pPr>
            <w:r>
              <w:rPr>
                <w:rFonts w:ascii="Arial" w:cs="Arial" w:eastAsia="Arial" w:hAnsi="Arial"/>
                <w:sz w:val="16"/>
                <w:szCs w:val="16"/>
                <w:color w:val="auto"/>
              </w:rPr>
              <w:t>7,213</w:t>
            </w:r>
          </w:p>
        </w:tc>
        <w:tc>
          <w:tcPr>
            <w:tcW w:w="1020" w:type="dxa"/>
            <w:vAlign w:val="bottom"/>
            <w:shd w:val="clear" w:color="auto" w:fill="EDF0FC"/>
          </w:tcPr>
          <w:p>
            <w:pPr>
              <w:jc w:val="right"/>
              <w:ind w:right="2"/>
              <w:spacing w:after="0"/>
              <w:rPr>
                <w:sz w:val="20"/>
                <w:szCs w:val="20"/>
                <w:color w:val="auto"/>
              </w:rPr>
            </w:pPr>
            <w:r>
              <w:rPr>
                <w:rFonts w:ascii="Arial" w:cs="Arial" w:eastAsia="Arial" w:hAnsi="Arial"/>
                <w:sz w:val="16"/>
                <w:szCs w:val="16"/>
                <w:color w:val="auto"/>
              </w:rPr>
              <w:t>4,212,885</w:t>
            </w:r>
          </w:p>
        </w:tc>
        <w:tc>
          <w:tcPr>
            <w:tcW w:w="0" w:type="dxa"/>
            <w:vAlign w:val="bottom"/>
          </w:tcPr>
          <w:p>
            <w:pPr>
              <w:spacing w:after="0"/>
              <w:rPr>
                <w:sz w:val="1"/>
                <w:szCs w:val="1"/>
                <w:color w:val="auto"/>
              </w:rPr>
            </w:pPr>
          </w:p>
        </w:tc>
      </w:tr>
      <w:tr>
        <w:trPr>
          <w:trHeight w:val="239"/>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1A3FD6"/>
              </w:rPr>
              <w:t>Robert J. Gutowski</w:t>
            </w:r>
          </w:p>
        </w:tc>
        <w:tc>
          <w:tcPr>
            <w:tcW w:w="1760" w:type="dxa"/>
            <w:vAlign w:val="bottom"/>
            <w:tcBorders>
              <w:bottom w:val="single" w:sz="8" w:color="auto"/>
            </w:tcBorders>
          </w:tcPr>
          <w:p>
            <w:pPr>
              <w:ind w:left="128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center"/>
              <w:ind w:left="642"/>
              <w:spacing w:after="0"/>
              <w:rPr>
                <w:sz w:val="20"/>
                <w:szCs w:val="20"/>
                <w:color w:val="auto"/>
              </w:rPr>
            </w:pPr>
            <w:r>
              <w:rPr>
                <w:rFonts w:ascii="Arial" w:cs="Arial" w:eastAsia="Arial" w:hAnsi="Arial"/>
                <w:sz w:val="16"/>
                <w:szCs w:val="16"/>
                <w:color w:val="auto"/>
                <w:w w:val="99"/>
              </w:rPr>
              <w:t>—</w:t>
            </w:r>
          </w:p>
        </w:tc>
        <w:tc>
          <w:tcPr>
            <w:tcW w:w="1920" w:type="dxa"/>
            <w:vAlign w:val="bottom"/>
            <w:tcBorders>
              <w:bottom w:val="single" w:sz="8" w:color="auto"/>
            </w:tcBorders>
          </w:tcPr>
          <w:p>
            <w:pPr>
              <w:jc w:val="right"/>
              <w:ind w:right="484"/>
              <w:spacing w:after="0"/>
              <w:rPr>
                <w:sz w:val="20"/>
                <w:szCs w:val="20"/>
                <w:color w:val="auto"/>
              </w:rPr>
            </w:pPr>
            <w:r>
              <w:rPr>
                <w:rFonts w:ascii="Arial" w:cs="Arial" w:eastAsia="Arial" w:hAnsi="Arial"/>
                <w:sz w:val="16"/>
                <w:szCs w:val="16"/>
                <w:color w:val="auto"/>
              </w:rPr>
              <w:t>2,336</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1,364,878</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80" w:hanging="172"/>
        <w:spacing w:after="0"/>
        <w:tabs>
          <w:tab w:leader="none" w:pos="180" w:val="left"/>
        </w:tabs>
        <w:numPr>
          <w:ilvl w:val="0"/>
          <w:numId w:val="98"/>
        </w:numPr>
        <w:rPr>
          <w:rFonts w:ascii="Arial" w:cs="Arial" w:eastAsia="Arial" w:hAnsi="Arial"/>
          <w:sz w:val="19"/>
          <w:szCs w:val="19"/>
          <w:color w:val="auto"/>
          <w:vertAlign w:val="superscript"/>
        </w:rPr>
      </w:pPr>
      <w:r>
        <w:rPr>
          <w:rFonts w:ascii="Arial" w:cs="Arial" w:eastAsia="Arial" w:hAnsi="Arial"/>
          <w:sz w:val="14"/>
          <w:szCs w:val="14"/>
          <w:color w:val="auto"/>
        </w:rPr>
        <w:t>The value realized for option awards and stock awards is based on the closing share price of MSCI common stock on the applicable stock vesting date.</w:t>
      </w:r>
    </w:p>
    <w:p>
      <w:pPr>
        <w:spacing w:after="0" w:line="82"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Potential Payments upon Termination or Change in Control</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Change in Control Severance Plan</w:t>
      </w:r>
    </w:p>
    <w:p>
      <w:pPr>
        <w:spacing w:after="0" w:line="114"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In the event of a change in control of the Company, Executive Committee members, including all of our NEOs, would be entitled to benefits under the MSCI Inc. Change in Control Severance Plan (the “CIC Plan”), which was adopted by the Board of Directors in May 2015 and amended in November 2023. The CIC Plan covers participants identified on a schedule attached to the CIC Plan (subject to any additions to or removals from the participant list by the Compensation Committee), including the Company’s CEO, CFO and the Company’s other NEOs. In the event of a “Qualifying Termination” (for certain terminations related to changes in control, as defined in the CIC Plan), participants will receive the severance payments and benefits specified in the CIC Plan. Severance payments and benefits under the CIC Plan are subject to a “double-trigger” as both a change in control and a termination of the participant’s employment by the Company without “cause” or by the participant for “good reason” (as such terms are defined in the CIC Plan) are required in order for the participant to qualify for payments and benefits. The CIC Plan does not include any golden parachute excise tax gross-up provisions. Any severance payments and benefits under the CIC Plan are subject to execution of an agreement by the CIC Plan participant releasing claims against the Company. Participants are also obligated to comply with confidentiality, non-solicitation and non-disparagement covenants under their release agreement.</w:t>
      </w:r>
    </w:p>
    <w:p>
      <w:pPr>
        <w:spacing w:after="0" w:line="6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Annual Incentive Plan</w:t>
      </w:r>
    </w:p>
    <w:p>
      <w:pPr>
        <w:spacing w:after="0" w:line="114"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In the event of a change in control (as defined in the AIP), unless otherwise determined by the Compensation Committee, the performance period applicable to any outstanding AIP cash bonus award will cease as of the date immediately prior to the change in control. The portion of any such award based on performance metrics (other than individual goals and metrics) will be payable based on the higher of (i) the Company’s actual achievement of the performance metrics (other than individual goals and metrics) for the prorated period ending immediately prior to the change in control and (ii) 100%. The portion of any such award based on individual goals and metrics will be payable at 100% of the target. All awards will be payable by the Company (or the successor or survivor entity) within 60 days of the date of the change in control, prorated for the portion of the applicable performance period that elapsed prior to the change in control.</w:t>
      </w:r>
    </w:p>
    <w:p>
      <w:pPr>
        <w:spacing w:after="0" w:line="71"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If the Company’s successor will not be implementing a comparable annual incentive plan for the remaining portion of the year in which the change in control occurs, the Compensation Committee may, in its discretion, elect not to prorate the awards. If any AIP participant is eligible to receive a prorated annual bonus for the year in which the change in control occurs pursuant to any other change in control severance plan, including the CIC Plan, the individual’s prorated annual bonus payable under such other plan will be reduced by the amount of the bonus paid under the AIP.</w:t>
      </w:r>
    </w:p>
    <w:p>
      <w:pPr>
        <w:spacing w:after="0" w:line="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Offer Letters</w:t>
      </w:r>
    </w:p>
    <w:p>
      <w:pPr>
        <w:spacing w:after="0" w:line="101" w:lineRule="exact"/>
        <w:rPr>
          <w:sz w:val="20"/>
          <w:szCs w:val="20"/>
          <w:color w:val="auto"/>
        </w:rPr>
      </w:pPr>
    </w:p>
    <w:p>
      <w:pPr>
        <w:jc w:val="both"/>
        <w:ind w:right="260"/>
        <w:spacing w:after="0" w:line="292" w:lineRule="auto"/>
        <w:rPr>
          <w:sz w:val="20"/>
          <w:szCs w:val="20"/>
          <w:color w:val="auto"/>
        </w:rPr>
      </w:pPr>
      <w:r>
        <w:rPr>
          <w:rFonts w:ascii="Arial" w:cs="Arial" w:eastAsia="Arial" w:hAnsi="Arial"/>
          <w:sz w:val="16"/>
          <w:szCs w:val="16"/>
          <w:color w:val="auto"/>
        </w:rPr>
        <w:t>For information regarding certain amounts payable to each of Messrs. Wiechmann and Pettit in connection with an involuntary termination of employment other than for cause pursuant to the terms of their offer letter or employment letter, respectively, please see “Employment Agreements” on page 79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91" w:name="page92"/>
    <w:bookmarkEnd w:id="91"/>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90</w:t>
      </w:r>
      <w:r>
        <w:rPr>
          <w:sz w:val="20"/>
          <w:szCs w:val="20"/>
          <w:color w:val="auto"/>
        </w:rPr>
        <w:tab/>
      </w:r>
      <w:r>
        <w:rPr>
          <w:rFonts w:ascii="Arial" w:cs="Arial" w:eastAsia="Arial" w:hAnsi="Arial"/>
          <w:sz w:val="14"/>
          <w:szCs w:val="14"/>
          <w:b w:val="1"/>
          <w:bCs w:val="1"/>
          <w:color w:val="1A3FD6"/>
        </w:rPr>
        <w:t>2025 PROXY STATEMENT</w:t>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Equity Acceleration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descriptions of equity acceleration provisions below apply to the applicable outstanding equity awards as of December 31, 2024.</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1A3FD6"/>
        </w:rPr>
        <w:t>Terminations Other Than Due to Death, Disability, Involuntary Termination Without Cause or Retirement</w:t>
      </w:r>
    </w:p>
    <w:p>
      <w:pPr>
        <w:spacing w:after="0" w:line="85" w:lineRule="exact"/>
        <w:rPr>
          <w:sz w:val="20"/>
          <w:szCs w:val="20"/>
          <w:color w:val="auto"/>
        </w:rPr>
      </w:pPr>
    </w:p>
    <w:p>
      <w:pPr>
        <w:jc w:val="both"/>
        <w:ind w:right="240"/>
        <w:spacing w:after="0" w:line="292" w:lineRule="auto"/>
        <w:rPr>
          <w:sz w:val="20"/>
          <w:szCs w:val="20"/>
          <w:color w:val="auto"/>
        </w:rPr>
      </w:pPr>
      <w:r>
        <w:rPr>
          <w:rFonts w:ascii="Arial" w:cs="Arial" w:eastAsia="Arial" w:hAnsi="Arial"/>
          <w:sz w:val="16"/>
          <w:szCs w:val="16"/>
          <w:color w:val="auto"/>
        </w:rPr>
        <w:t>Upon termination of an NEO’s employment for any reason other than due to death, disability, involuntary termination without cause or retirement (as such terms are defined in the applicable award agreement), his or her unvested RSUs, PSUs and PSOs will generally be cancelled immediately. Equity awards granted to NEOs who are eligible for retirement treatment are cancelled following a termination for cause.</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1A3FD6"/>
        </w:rPr>
        <w:t>Death or Disability</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Upon termination of an NEO’s employment due to death or “disability” (as defined in the applicable award agreement):</w:t>
      </w:r>
    </w:p>
    <w:p>
      <w:pPr>
        <w:spacing w:after="0" w:line="140" w:lineRule="exact"/>
        <w:rPr>
          <w:sz w:val="20"/>
          <w:szCs w:val="20"/>
          <w:color w:val="auto"/>
        </w:rPr>
      </w:pPr>
    </w:p>
    <w:p>
      <w:pPr>
        <w:ind w:left="200" w:hanging="192"/>
        <w:spacing w:after="0"/>
        <w:tabs>
          <w:tab w:leader="none" w:pos="200" w:val="left"/>
        </w:tabs>
        <w:numPr>
          <w:ilvl w:val="0"/>
          <w:numId w:val="99"/>
        </w:numPr>
        <w:rPr>
          <w:rFonts w:ascii="Arial" w:cs="Arial" w:eastAsia="Arial" w:hAnsi="Arial"/>
          <w:sz w:val="16"/>
          <w:szCs w:val="16"/>
          <w:color w:val="1A3FD6"/>
        </w:rPr>
      </w:pPr>
      <w:r>
        <w:rPr>
          <w:rFonts w:ascii="Arial" w:cs="Arial" w:eastAsia="Arial" w:hAnsi="Arial"/>
          <w:sz w:val="16"/>
          <w:szCs w:val="16"/>
          <w:i w:val="1"/>
          <w:iCs w:val="1"/>
          <w:color w:val="auto"/>
        </w:rPr>
        <w:t>RSUs</w:t>
      </w:r>
      <w:r>
        <w:rPr>
          <w:rFonts w:ascii="Arial" w:cs="Arial" w:eastAsia="Arial" w:hAnsi="Arial"/>
          <w:sz w:val="16"/>
          <w:szCs w:val="16"/>
          <w:color w:val="auto"/>
        </w:rPr>
        <w:t>. RSUs will vest and convert into shares within 30 days of the termination date.</w:t>
      </w:r>
    </w:p>
    <w:p>
      <w:pPr>
        <w:spacing w:after="0" w:line="72" w:lineRule="exact"/>
        <w:rPr>
          <w:rFonts w:ascii="Arial" w:cs="Arial" w:eastAsia="Arial" w:hAnsi="Arial"/>
          <w:sz w:val="16"/>
          <w:szCs w:val="16"/>
          <w:color w:val="1A3FD6"/>
        </w:rPr>
      </w:pPr>
    </w:p>
    <w:p>
      <w:pPr>
        <w:ind w:left="200" w:right="700" w:hanging="192"/>
        <w:spacing w:after="0" w:line="316" w:lineRule="auto"/>
        <w:tabs>
          <w:tab w:leader="none" w:pos="197" w:val="left"/>
        </w:tabs>
        <w:numPr>
          <w:ilvl w:val="0"/>
          <w:numId w:val="99"/>
        </w:numPr>
        <w:rPr>
          <w:rFonts w:ascii="Arial" w:cs="Arial" w:eastAsia="Arial" w:hAnsi="Arial"/>
          <w:sz w:val="16"/>
          <w:szCs w:val="16"/>
          <w:color w:val="1A3FD6"/>
        </w:rPr>
      </w:pPr>
      <w:r>
        <w:rPr>
          <w:rFonts w:ascii="Arial" w:cs="Arial" w:eastAsia="Arial" w:hAnsi="Arial"/>
          <w:sz w:val="16"/>
          <w:szCs w:val="16"/>
          <w:i w:val="1"/>
          <w:iCs w:val="1"/>
          <w:color w:val="auto"/>
        </w:rPr>
        <w:t xml:space="preserve">PSUs. </w:t>
      </w:r>
      <w:r>
        <w:rPr>
          <w:rFonts w:ascii="Arial" w:cs="Arial" w:eastAsia="Arial" w:hAnsi="Arial"/>
          <w:sz w:val="16"/>
          <w:szCs w:val="16"/>
          <w:color w:val="auto"/>
        </w:rPr>
        <w:t>PSUs will vest and convert into shares on the adjustment date, subject to adjustment based on actual performance through the end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period.</w:t>
      </w:r>
    </w:p>
    <w:p>
      <w:pPr>
        <w:spacing w:after="0" w:line="1" w:lineRule="exact"/>
        <w:rPr>
          <w:rFonts w:ascii="Arial" w:cs="Arial" w:eastAsia="Arial" w:hAnsi="Arial"/>
          <w:sz w:val="16"/>
          <w:szCs w:val="16"/>
          <w:color w:val="1A3FD6"/>
        </w:rPr>
      </w:pPr>
    </w:p>
    <w:p>
      <w:pPr>
        <w:ind w:left="200" w:right="480" w:hanging="192"/>
        <w:spacing w:after="0" w:line="304" w:lineRule="auto"/>
        <w:tabs>
          <w:tab w:leader="none" w:pos="197" w:val="left"/>
        </w:tabs>
        <w:numPr>
          <w:ilvl w:val="0"/>
          <w:numId w:val="99"/>
        </w:numPr>
        <w:rPr>
          <w:rFonts w:ascii="Arial" w:cs="Arial" w:eastAsia="Arial" w:hAnsi="Arial"/>
          <w:sz w:val="16"/>
          <w:szCs w:val="16"/>
          <w:color w:val="1A3FD6"/>
        </w:rPr>
      </w:pPr>
      <w:r>
        <w:rPr>
          <w:rFonts w:ascii="Arial" w:cs="Arial" w:eastAsia="Arial" w:hAnsi="Arial"/>
          <w:sz w:val="16"/>
          <w:szCs w:val="16"/>
          <w:i w:val="1"/>
          <w:iCs w:val="1"/>
          <w:color w:val="auto"/>
        </w:rPr>
        <w:t>PSOs</w:t>
      </w:r>
      <w:r>
        <w:rPr>
          <w:rFonts w:ascii="Arial" w:cs="Arial" w:eastAsia="Arial" w:hAnsi="Arial"/>
          <w:sz w:val="16"/>
          <w:szCs w:val="16"/>
          <w:color w:val="auto"/>
        </w:rPr>
        <w:t>. The service condition will be deemed dully satisfied on the termination date, and the number of PSOs that will become vested options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based on actual performance through the end of the performance period.</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1A3FD6"/>
        </w:rPr>
        <w:t>Involuntary Termination</w:t>
      </w:r>
    </w:p>
    <w:p>
      <w:pPr>
        <w:spacing w:after="0" w:line="85"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If the Company terminates an NEO’s employment without “cause” (as defined in the applicable award agreement) and he or she signs and does not revoke an agreement and release of claims satisfactory to the Company within 60 days of the termination date:</w:t>
      </w:r>
    </w:p>
    <w:p>
      <w:pPr>
        <w:spacing w:after="0" w:line="60" w:lineRule="exact"/>
        <w:rPr>
          <w:sz w:val="20"/>
          <w:szCs w:val="20"/>
          <w:color w:val="auto"/>
        </w:rPr>
      </w:pPr>
    </w:p>
    <w:p>
      <w:pPr>
        <w:ind w:left="200" w:right="100" w:hanging="192"/>
        <w:spacing w:after="0" w:line="282" w:lineRule="auto"/>
        <w:tabs>
          <w:tab w:leader="none" w:pos="197" w:val="left"/>
        </w:tabs>
        <w:numPr>
          <w:ilvl w:val="0"/>
          <w:numId w:val="100"/>
        </w:numPr>
        <w:rPr>
          <w:rFonts w:ascii="Arial" w:cs="Arial" w:eastAsia="Arial" w:hAnsi="Arial"/>
          <w:sz w:val="16"/>
          <w:szCs w:val="16"/>
          <w:color w:val="1A3FD6"/>
        </w:rPr>
      </w:pPr>
      <w:r>
        <w:rPr>
          <w:rFonts w:ascii="Arial" w:cs="Arial" w:eastAsia="Arial" w:hAnsi="Arial"/>
          <w:sz w:val="16"/>
          <w:szCs w:val="16"/>
          <w:i w:val="1"/>
          <w:iCs w:val="1"/>
          <w:color w:val="auto"/>
        </w:rPr>
        <w:t>RSUs</w:t>
      </w:r>
      <w:r>
        <w:rPr>
          <w:rFonts w:ascii="Arial" w:cs="Arial" w:eastAsia="Arial" w:hAnsi="Arial"/>
          <w:sz w:val="16"/>
          <w:szCs w:val="16"/>
          <w:color w:val="auto"/>
        </w:rPr>
        <w:t>. A prorated portion of the RSUs will vest and convert to shares on the vesting date equal to the product of (i) the total number of RSUs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the award multiplied by (ii) a fraction, (A) the numerator of which is the total number of months the NEO was employed by the Company during the vesting period (rounded up to the next whole month) and (B) the denominator of which is 36 months. However, for NEOs who have achieved “62/10 Retirement Eligibility” (as defined in the applicable award agreement), the RSUs will fully vest on the date of termination and will convert to shares on the original payment schedule.</w:t>
      </w:r>
    </w:p>
    <w:p>
      <w:pPr>
        <w:spacing w:after="0" w:line="26" w:lineRule="exact"/>
        <w:rPr>
          <w:rFonts w:ascii="Arial" w:cs="Arial" w:eastAsia="Arial" w:hAnsi="Arial"/>
          <w:sz w:val="16"/>
          <w:szCs w:val="16"/>
          <w:color w:val="1A3FD6"/>
        </w:rPr>
      </w:pPr>
    </w:p>
    <w:p>
      <w:pPr>
        <w:ind w:left="200" w:hanging="192"/>
        <w:spacing w:after="0" w:line="282" w:lineRule="auto"/>
        <w:tabs>
          <w:tab w:leader="none" w:pos="197" w:val="left"/>
        </w:tabs>
        <w:numPr>
          <w:ilvl w:val="0"/>
          <w:numId w:val="100"/>
        </w:numPr>
        <w:rPr>
          <w:rFonts w:ascii="Arial" w:cs="Arial" w:eastAsia="Arial" w:hAnsi="Arial"/>
          <w:sz w:val="16"/>
          <w:szCs w:val="16"/>
          <w:color w:val="1A3FD6"/>
        </w:rPr>
      </w:pPr>
      <w:r>
        <w:rPr>
          <w:rFonts w:ascii="Arial" w:cs="Arial" w:eastAsia="Arial" w:hAnsi="Arial"/>
          <w:sz w:val="16"/>
          <w:szCs w:val="16"/>
          <w:i w:val="1"/>
          <w:iCs w:val="1"/>
          <w:color w:val="auto"/>
        </w:rPr>
        <w:t xml:space="preserve">2022, 2023 and 2024 3-Year PSUs. </w:t>
      </w:r>
      <w:r>
        <w:rPr>
          <w:rFonts w:ascii="Arial" w:cs="Arial" w:eastAsia="Arial" w:hAnsi="Arial"/>
          <w:sz w:val="16"/>
          <w:szCs w:val="16"/>
          <w:color w:val="auto"/>
        </w:rPr>
        <w:t>A prorated portion of the target number of PSUs will vest and convert into shares on the adjustment date equal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of (i) the target number of PSUs multiplied by (ii) a fraction, (A) the numerator of which is the total number of months the NEO was employed by the Company during the 3-year performance period (rounded up to the next whole month), and (B) the denominator of which is 36 months, subject to adjustment based on actual performance through the end of the performance period. However, for NEOs who have achieved “62/10 Retirement Eligibility,” all of the target PSUs (i.e., not prorated) will vest and convert into shares on the adjustment date, subject to adjustment based on actual performance through the end of the performance period.</w:t>
      </w:r>
    </w:p>
    <w:p>
      <w:pPr>
        <w:spacing w:after="0" w:line="25" w:lineRule="exact"/>
        <w:rPr>
          <w:rFonts w:ascii="Arial" w:cs="Arial" w:eastAsia="Arial" w:hAnsi="Arial"/>
          <w:sz w:val="16"/>
          <w:szCs w:val="16"/>
          <w:color w:val="1A3FD6"/>
        </w:rPr>
      </w:pPr>
    </w:p>
    <w:p>
      <w:pPr>
        <w:ind w:left="200" w:right="20" w:hanging="192"/>
        <w:spacing w:after="0" w:line="279" w:lineRule="auto"/>
        <w:tabs>
          <w:tab w:leader="none" w:pos="197" w:val="left"/>
        </w:tabs>
        <w:numPr>
          <w:ilvl w:val="0"/>
          <w:numId w:val="100"/>
        </w:numPr>
        <w:rPr>
          <w:rFonts w:ascii="Arial" w:cs="Arial" w:eastAsia="Arial" w:hAnsi="Arial"/>
          <w:sz w:val="16"/>
          <w:szCs w:val="16"/>
          <w:color w:val="1A3FD6"/>
        </w:rPr>
      </w:pPr>
      <w:r>
        <w:rPr>
          <w:rFonts w:ascii="Arial" w:cs="Arial" w:eastAsia="Arial" w:hAnsi="Arial"/>
          <w:sz w:val="16"/>
          <w:szCs w:val="16"/>
          <w:i w:val="1"/>
          <w:iCs w:val="1"/>
          <w:color w:val="auto"/>
        </w:rPr>
        <w:t xml:space="preserve">2020 and 2021 5-Year PSUs. </w:t>
      </w:r>
      <w:r>
        <w:rPr>
          <w:rFonts w:ascii="Arial" w:cs="Arial" w:eastAsia="Arial" w:hAnsi="Arial"/>
          <w:sz w:val="16"/>
          <w:szCs w:val="16"/>
          <w:color w:val="auto"/>
        </w:rPr>
        <w:t>If the termination of employment occurs prior to the second anniversary of the grant date, the PSUs will be forfeited in their</w:t>
      </w:r>
      <w:r>
        <w:rPr>
          <w:rFonts w:ascii="Arial" w:cs="Arial" w:eastAsia="Arial" w:hAnsi="Arial"/>
          <w:sz w:val="16"/>
          <w:szCs w:val="16"/>
          <w:i w:val="1"/>
          <w:iCs w:val="1"/>
          <w:color w:val="auto"/>
        </w:rPr>
        <w:t xml:space="preserve"> </w:t>
      </w:r>
      <w:r>
        <w:rPr>
          <w:rFonts w:ascii="Arial" w:cs="Arial" w:eastAsia="Arial" w:hAnsi="Arial"/>
          <w:sz w:val="16"/>
          <w:szCs w:val="16"/>
          <w:color w:val="auto"/>
        </w:rPr>
        <w:t>entirety. Following the second anniversary of the grant date, a prorated portion of the target number of PSUs will vest and convert into shares on the adjustment date equal to the product of (i) the target number of PSUs multiplied by (ii) a fraction, (A) the numerator of which is the total number of months the NEO was employed by the Company during the 5-year performance period (rounded up to the next whole month), and (B) the denominator of which is 60 months, subject to adjustment based on actual performance through the end of the performance period. However, for NEOs who have achieved “62/10 Retirement Eligibility,” all of the target PSUs (i.e., not prorated) will vest and convert into shares on the adjustment date, subject to adjustment based on actual performance through the end of the performance period.</w:t>
      </w:r>
    </w:p>
    <w:p>
      <w:pPr>
        <w:spacing w:after="0" w:line="28" w:lineRule="exact"/>
        <w:rPr>
          <w:rFonts w:ascii="Arial" w:cs="Arial" w:eastAsia="Arial" w:hAnsi="Arial"/>
          <w:sz w:val="16"/>
          <w:szCs w:val="16"/>
          <w:color w:val="1A3FD6"/>
        </w:rPr>
      </w:pPr>
    </w:p>
    <w:p>
      <w:pPr>
        <w:ind w:left="200" w:right="60" w:hanging="192"/>
        <w:spacing w:after="0" w:line="282" w:lineRule="auto"/>
        <w:tabs>
          <w:tab w:leader="none" w:pos="197" w:val="left"/>
        </w:tabs>
        <w:numPr>
          <w:ilvl w:val="0"/>
          <w:numId w:val="100"/>
        </w:numPr>
        <w:rPr>
          <w:rFonts w:ascii="Arial" w:cs="Arial" w:eastAsia="Arial" w:hAnsi="Arial"/>
          <w:sz w:val="16"/>
          <w:szCs w:val="16"/>
          <w:color w:val="1A3FD6"/>
        </w:rPr>
      </w:pPr>
      <w:r>
        <w:rPr>
          <w:rFonts w:ascii="Arial" w:cs="Arial" w:eastAsia="Arial" w:hAnsi="Arial"/>
          <w:sz w:val="16"/>
          <w:szCs w:val="16"/>
          <w:i w:val="1"/>
          <w:iCs w:val="1"/>
          <w:color w:val="auto"/>
        </w:rPr>
        <w:t xml:space="preserve">PSOs. </w:t>
      </w:r>
      <w:r>
        <w:rPr>
          <w:rFonts w:ascii="Arial" w:cs="Arial" w:eastAsia="Arial" w:hAnsi="Arial"/>
          <w:sz w:val="16"/>
          <w:szCs w:val="16"/>
          <w:color w:val="auto"/>
        </w:rPr>
        <w:t>A prorated portion of the service condition will be deemed satisfied determined by dividing (i) the total number of months the NEO was employed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Company during the vesting period (rounded up for partial months) by (ii) 36 months. The number of prorated PSOs that become vested options (if any) will be determined based on actual performance through the end of the performance period. However, for NEOs who have achieved “62/10 Retirement Eligibility,” (i) the service condition will be deemed fully satisfied on the termination date and (ii) the number of PSOs that become vested options (if any) will be determined based on actual performance through the end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92" w:name="page93"/>
    <w:bookmarkEnd w:id="92"/>
    <w:p>
      <w:pPr>
        <w:ind w:left="8420"/>
        <w:spacing w:after="0"/>
        <w:tabs>
          <w:tab w:leader="none" w:pos="109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Compensation Matters | MSCI</w:t>
      </w:r>
      <w:r>
        <w:rPr>
          <w:sz w:val="20"/>
          <w:szCs w:val="20"/>
          <w:color w:val="auto"/>
        </w:rPr>
        <w:tab/>
      </w:r>
      <w:r>
        <w:rPr>
          <w:rFonts w:ascii="Arial" w:cs="Arial" w:eastAsia="Arial" w:hAnsi="Arial"/>
          <w:sz w:val="14"/>
          <w:szCs w:val="14"/>
          <w:b w:val="1"/>
          <w:bCs w:val="1"/>
          <w:color w:val="1A3FD6"/>
        </w:rPr>
        <w:t>91</w:t>
      </w:r>
    </w:p>
    <w:p>
      <w:pPr>
        <w:sectPr>
          <w:pgSz w:w="11900" w:h="16838" w:orient="portrait"/>
          <w:cols w:equalWidth="0" w:num="1">
            <w:col w:w="11200"/>
          </w:cols>
          <w:pgMar w:left="320" w:top="29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1A3FD6"/>
        </w:rPr>
        <w:t>Retirement</w:t>
      </w:r>
    </w:p>
    <w:p>
      <w:pPr>
        <w:spacing w:after="0" w:line="85" w:lineRule="exact"/>
        <w:rPr>
          <w:sz w:val="20"/>
          <w:szCs w:val="20"/>
          <w:color w:val="auto"/>
        </w:rPr>
      </w:pPr>
    </w:p>
    <w:p>
      <w:pPr>
        <w:ind w:right="660"/>
        <w:spacing w:after="0" w:line="304" w:lineRule="auto"/>
        <w:rPr>
          <w:sz w:val="20"/>
          <w:szCs w:val="20"/>
          <w:color w:val="auto"/>
        </w:rPr>
      </w:pPr>
      <w:r>
        <w:rPr>
          <w:rFonts w:ascii="Arial" w:cs="Arial" w:eastAsia="Arial" w:hAnsi="Arial"/>
          <w:sz w:val="16"/>
          <w:szCs w:val="16"/>
          <w:color w:val="auto"/>
        </w:rPr>
        <w:t>Upon termination of an NEO’s employment in circumstances that makes him or her eligible for retirement treatment (based on the applicable award agreement):</w:t>
      </w:r>
    </w:p>
    <w:p>
      <w:pPr>
        <w:spacing w:after="0" w:line="60" w:lineRule="exact"/>
        <w:rPr>
          <w:sz w:val="20"/>
          <w:szCs w:val="20"/>
          <w:color w:val="auto"/>
        </w:rPr>
      </w:pPr>
    </w:p>
    <w:p>
      <w:pPr>
        <w:ind w:left="200" w:hanging="192"/>
        <w:spacing w:after="0" w:line="282" w:lineRule="auto"/>
        <w:tabs>
          <w:tab w:leader="none" w:pos="197" w:val="left"/>
        </w:tabs>
        <w:numPr>
          <w:ilvl w:val="0"/>
          <w:numId w:val="101"/>
        </w:numPr>
        <w:rPr>
          <w:rFonts w:ascii="Arial" w:cs="Arial" w:eastAsia="Arial" w:hAnsi="Arial"/>
          <w:sz w:val="16"/>
          <w:szCs w:val="16"/>
          <w:color w:val="1A3FD6"/>
        </w:rPr>
      </w:pPr>
      <w:r>
        <w:rPr>
          <w:rFonts w:ascii="Arial" w:cs="Arial" w:eastAsia="Arial" w:hAnsi="Arial"/>
          <w:sz w:val="16"/>
          <w:szCs w:val="16"/>
          <w:i w:val="1"/>
          <w:iCs w:val="1"/>
          <w:color w:val="auto"/>
        </w:rPr>
        <w:t xml:space="preserve">RSUs. </w:t>
      </w:r>
      <w:r>
        <w:rPr>
          <w:rFonts w:ascii="Arial" w:cs="Arial" w:eastAsia="Arial" w:hAnsi="Arial"/>
          <w:sz w:val="16"/>
          <w:szCs w:val="16"/>
          <w:color w:val="auto"/>
        </w:rPr>
        <w:t>For NEOs who have achieved “Legacy Retirement Eligibility” or “55/10 Retirement Eligibility” (as such terms are defined in the applicable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but who have not achieved “62/10 Retirement Eligibility,” a prorated portion of the RSUs will vest and convert to shares on the next regularly scheduled vesting date equal to the product of (i) the total number of RSUs granted pursuant to the award multiplied by (ii) a fraction, (A) the numerator of which is the total number of months the NEO was employed by the Company during the vesting period (rounded up to the next whole month) and (B) the denominator of which is 36 months. For NEOs who have achieved “62/10 Retirement Eligibility,” the RSUs will fully vest on the date of termination and will convert to shares on the original payment schedule.</w:t>
      </w:r>
    </w:p>
    <w:p>
      <w:pPr>
        <w:spacing w:after="0" w:line="25" w:lineRule="exact"/>
        <w:rPr>
          <w:rFonts w:ascii="Arial" w:cs="Arial" w:eastAsia="Arial" w:hAnsi="Arial"/>
          <w:sz w:val="16"/>
          <w:szCs w:val="16"/>
          <w:color w:val="1A3FD6"/>
        </w:rPr>
      </w:pPr>
    </w:p>
    <w:p>
      <w:pPr>
        <w:ind w:left="200" w:hanging="192"/>
        <w:spacing w:after="0" w:line="279" w:lineRule="auto"/>
        <w:tabs>
          <w:tab w:leader="none" w:pos="197" w:val="left"/>
        </w:tabs>
        <w:numPr>
          <w:ilvl w:val="0"/>
          <w:numId w:val="101"/>
        </w:numPr>
        <w:rPr>
          <w:rFonts w:ascii="Arial" w:cs="Arial" w:eastAsia="Arial" w:hAnsi="Arial"/>
          <w:sz w:val="16"/>
          <w:szCs w:val="16"/>
          <w:color w:val="1A3FD6"/>
        </w:rPr>
      </w:pPr>
      <w:r>
        <w:rPr>
          <w:rFonts w:ascii="Arial" w:cs="Arial" w:eastAsia="Arial" w:hAnsi="Arial"/>
          <w:sz w:val="16"/>
          <w:szCs w:val="16"/>
          <w:i w:val="1"/>
          <w:iCs w:val="1"/>
          <w:color w:val="auto"/>
        </w:rPr>
        <w:t xml:space="preserve">PSUs. </w:t>
      </w:r>
      <w:r>
        <w:rPr>
          <w:rFonts w:ascii="Arial" w:cs="Arial" w:eastAsia="Arial" w:hAnsi="Arial"/>
          <w:sz w:val="16"/>
          <w:szCs w:val="16"/>
          <w:color w:val="auto"/>
        </w:rPr>
        <w:t>For NEOs who have achieved “Legacy Retirement Eligibility” or “55/10 Retirement Eligibility” but who have not achieved “62/10 Retirement</w:t>
      </w:r>
      <w:r>
        <w:rPr>
          <w:rFonts w:ascii="Arial" w:cs="Arial" w:eastAsia="Arial" w:hAnsi="Arial"/>
          <w:sz w:val="16"/>
          <w:szCs w:val="16"/>
          <w:i w:val="1"/>
          <w:iCs w:val="1"/>
          <w:color w:val="auto"/>
        </w:rPr>
        <w:t xml:space="preserve"> </w:t>
      </w:r>
      <w:r>
        <w:rPr>
          <w:rFonts w:ascii="Arial" w:cs="Arial" w:eastAsia="Arial" w:hAnsi="Arial"/>
          <w:sz w:val="16"/>
          <w:szCs w:val="16"/>
          <w:color w:val="auto"/>
        </w:rPr>
        <w:t>Eligibility,” a prorated portion of the target number of PSUs will vest and convert to shares on the adjustment date equal to the product of (i) the target number of PSUs multiplied by (ii) a fraction, (A) the numerator of which is the total number of months the NEO was employed by the Company during the 3- or 5-year performance period, as applicable (rounded up to the next whole month), and (B) the denominator of which is 36 or 60 months, as applicable, subject to adjustment based on actual performance through the end of the performance period. However, for NEOs who have achieved “62/10 Retirement Eligibility,” all of the target PSUs (i.e., not prorated) will vest and convert into shares on the adjustment date, subject to adjustment based on actual performance through the end of the performance period.</w:t>
      </w:r>
    </w:p>
    <w:p>
      <w:pPr>
        <w:spacing w:after="0" w:line="28" w:lineRule="exact"/>
        <w:rPr>
          <w:rFonts w:ascii="Arial" w:cs="Arial" w:eastAsia="Arial" w:hAnsi="Arial"/>
          <w:sz w:val="16"/>
          <w:szCs w:val="16"/>
          <w:color w:val="1A3FD6"/>
        </w:rPr>
      </w:pPr>
    </w:p>
    <w:p>
      <w:pPr>
        <w:ind w:left="200" w:right="20" w:hanging="192"/>
        <w:spacing w:after="0" w:line="282" w:lineRule="auto"/>
        <w:tabs>
          <w:tab w:leader="none" w:pos="197" w:val="left"/>
        </w:tabs>
        <w:numPr>
          <w:ilvl w:val="0"/>
          <w:numId w:val="101"/>
        </w:numPr>
        <w:rPr>
          <w:rFonts w:ascii="Arial" w:cs="Arial" w:eastAsia="Arial" w:hAnsi="Arial"/>
          <w:sz w:val="16"/>
          <w:szCs w:val="16"/>
          <w:color w:val="1A3FD6"/>
        </w:rPr>
      </w:pPr>
      <w:r>
        <w:rPr>
          <w:rFonts w:ascii="Arial" w:cs="Arial" w:eastAsia="Arial" w:hAnsi="Arial"/>
          <w:sz w:val="16"/>
          <w:szCs w:val="16"/>
          <w:i w:val="1"/>
          <w:iCs w:val="1"/>
          <w:color w:val="auto"/>
        </w:rPr>
        <w:t>PSOs</w:t>
      </w:r>
      <w:r>
        <w:rPr>
          <w:rFonts w:ascii="Arial" w:cs="Arial" w:eastAsia="Arial" w:hAnsi="Arial"/>
          <w:sz w:val="16"/>
          <w:szCs w:val="16"/>
          <w:color w:val="auto"/>
        </w:rPr>
        <w:t>. For NEOs who have achieved “Legacy Retirement Eligibility” or “55/10 Retirement Eligibility” but who have not achieved “62/10 Retirement</w:t>
      </w:r>
      <w:r>
        <w:rPr>
          <w:rFonts w:ascii="Arial" w:cs="Arial" w:eastAsia="Arial" w:hAnsi="Arial"/>
          <w:sz w:val="16"/>
          <w:szCs w:val="16"/>
          <w:i w:val="1"/>
          <w:iCs w:val="1"/>
          <w:color w:val="auto"/>
        </w:rPr>
        <w:t xml:space="preserve"> </w:t>
      </w:r>
      <w:r>
        <w:rPr>
          <w:rFonts w:ascii="Arial" w:cs="Arial" w:eastAsia="Arial" w:hAnsi="Arial"/>
          <w:sz w:val="16"/>
          <w:szCs w:val="16"/>
          <w:color w:val="auto"/>
        </w:rPr>
        <w:t>Eligibility,” a prorated portion of the service condition will be deemed satisfied determined by dividing (i) the total number of months the NEO was employed by the Company during the 3-year performance vesting period (rounded up for partial months) by (ii) 36 months. The number of prorated PSOs that become vested options (if any) will be determined based on actual performance through the end of the performance period. For NEOs who have achieved “62/10 Retirement Termination” (as such term is defined in the applicable award agreement), the service condition will be deemed fully satisfied and the number of PSOs that become vested options (if any) will be determined by actual performance through the end of the performance period.</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1A3FD6"/>
        </w:rPr>
        <w:t>Change in Control</w:t>
      </w:r>
    </w:p>
    <w:p>
      <w:pPr>
        <w:spacing w:after="0" w:line="99"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In the event an NEO’s employment is terminated by MSCI without “cause” or by him or her for “good reason,” in each case, within 24 months following a “change in control” (as such terms are defined in the applicable award agreement):</w:t>
      </w:r>
    </w:p>
    <w:p>
      <w:pPr>
        <w:spacing w:after="0" w:line="60" w:lineRule="exact"/>
        <w:rPr>
          <w:sz w:val="20"/>
          <w:szCs w:val="20"/>
          <w:color w:val="auto"/>
        </w:rPr>
      </w:pPr>
    </w:p>
    <w:p>
      <w:pPr>
        <w:ind w:left="200" w:hanging="192"/>
        <w:spacing w:after="0"/>
        <w:tabs>
          <w:tab w:leader="none" w:pos="200" w:val="left"/>
        </w:tabs>
        <w:numPr>
          <w:ilvl w:val="0"/>
          <w:numId w:val="102"/>
        </w:numPr>
        <w:rPr>
          <w:rFonts w:ascii="Arial" w:cs="Arial" w:eastAsia="Arial" w:hAnsi="Arial"/>
          <w:sz w:val="16"/>
          <w:szCs w:val="16"/>
          <w:color w:val="1A3FD6"/>
        </w:rPr>
      </w:pPr>
      <w:r>
        <w:rPr>
          <w:rFonts w:ascii="Arial" w:cs="Arial" w:eastAsia="Arial" w:hAnsi="Arial"/>
          <w:sz w:val="16"/>
          <w:szCs w:val="16"/>
          <w:i w:val="1"/>
          <w:iCs w:val="1"/>
          <w:color w:val="auto"/>
        </w:rPr>
        <w:t xml:space="preserve">RSUs. </w:t>
      </w:r>
      <w:r>
        <w:rPr>
          <w:rFonts w:ascii="Arial" w:cs="Arial" w:eastAsia="Arial" w:hAnsi="Arial"/>
          <w:sz w:val="16"/>
          <w:szCs w:val="16"/>
          <w:color w:val="auto"/>
        </w:rPr>
        <w:t>RSUs will vest and convert into shares within 60 days of the date of termination of employment.</w:t>
      </w:r>
    </w:p>
    <w:p>
      <w:pPr>
        <w:spacing w:after="0" w:line="72" w:lineRule="exact"/>
        <w:rPr>
          <w:rFonts w:ascii="Arial" w:cs="Arial" w:eastAsia="Arial" w:hAnsi="Arial"/>
          <w:sz w:val="16"/>
          <w:szCs w:val="16"/>
          <w:color w:val="1A3FD6"/>
        </w:rPr>
      </w:pPr>
    </w:p>
    <w:p>
      <w:pPr>
        <w:ind w:left="200" w:hanging="192"/>
        <w:spacing w:after="0" w:line="292" w:lineRule="auto"/>
        <w:tabs>
          <w:tab w:leader="none" w:pos="197" w:val="left"/>
        </w:tabs>
        <w:numPr>
          <w:ilvl w:val="0"/>
          <w:numId w:val="102"/>
        </w:numPr>
        <w:rPr>
          <w:rFonts w:ascii="Arial" w:cs="Arial" w:eastAsia="Arial" w:hAnsi="Arial"/>
          <w:sz w:val="16"/>
          <w:szCs w:val="16"/>
          <w:color w:val="1A3FD6"/>
        </w:rPr>
      </w:pPr>
      <w:r>
        <w:rPr>
          <w:rFonts w:ascii="Arial" w:cs="Arial" w:eastAsia="Arial" w:hAnsi="Arial"/>
          <w:sz w:val="16"/>
          <w:szCs w:val="16"/>
          <w:i w:val="1"/>
          <w:iCs w:val="1"/>
          <w:color w:val="auto"/>
        </w:rPr>
        <w:t xml:space="preserve">PSUs. </w:t>
      </w:r>
      <w:r>
        <w:rPr>
          <w:rFonts w:ascii="Arial" w:cs="Arial" w:eastAsia="Arial" w:hAnsi="Arial"/>
          <w:sz w:val="16"/>
          <w:szCs w:val="16"/>
          <w:color w:val="auto"/>
        </w:rPr>
        <w:t>PSUs will vest and convert to shares within 60 days of the date of termination of employment, and the performance metrics will be deemed to have</w:t>
      </w:r>
      <w:r>
        <w:rPr>
          <w:rFonts w:ascii="Arial" w:cs="Arial" w:eastAsia="Arial" w:hAnsi="Arial"/>
          <w:sz w:val="16"/>
          <w:szCs w:val="16"/>
          <w:i w:val="1"/>
          <w:iCs w:val="1"/>
          <w:color w:val="auto"/>
        </w:rPr>
        <w:t xml:space="preserve"> </w:t>
      </w:r>
      <w:r>
        <w:rPr>
          <w:rFonts w:ascii="Arial" w:cs="Arial" w:eastAsia="Arial" w:hAnsi="Arial"/>
          <w:sz w:val="16"/>
          <w:szCs w:val="16"/>
          <w:color w:val="auto"/>
        </w:rPr>
        <w:t>been achieved at the greater of (i) the actual achievement of the performance metrics for the period commencing on the first day of the performance period and ending on the date immediately prior to the change in control and (ii) 100%.</w:t>
      </w:r>
    </w:p>
    <w:p>
      <w:pPr>
        <w:spacing w:after="0" w:line="16" w:lineRule="exact"/>
        <w:rPr>
          <w:rFonts w:ascii="Arial" w:cs="Arial" w:eastAsia="Arial" w:hAnsi="Arial"/>
          <w:sz w:val="16"/>
          <w:szCs w:val="16"/>
          <w:color w:val="1A3FD6"/>
        </w:rPr>
      </w:pPr>
    </w:p>
    <w:p>
      <w:pPr>
        <w:ind w:left="200" w:right="40" w:hanging="192"/>
        <w:spacing w:after="0" w:line="292" w:lineRule="auto"/>
        <w:tabs>
          <w:tab w:leader="none" w:pos="197" w:val="left"/>
        </w:tabs>
        <w:numPr>
          <w:ilvl w:val="0"/>
          <w:numId w:val="102"/>
        </w:numPr>
        <w:rPr>
          <w:rFonts w:ascii="Arial" w:cs="Arial" w:eastAsia="Arial" w:hAnsi="Arial"/>
          <w:sz w:val="16"/>
          <w:szCs w:val="16"/>
          <w:color w:val="1A3FD6"/>
        </w:rPr>
      </w:pPr>
      <w:r>
        <w:rPr>
          <w:rFonts w:ascii="Arial" w:cs="Arial" w:eastAsia="Arial" w:hAnsi="Arial"/>
          <w:sz w:val="16"/>
          <w:szCs w:val="16"/>
          <w:i w:val="1"/>
          <w:iCs w:val="1"/>
          <w:color w:val="auto"/>
        </w:rPr>
        <w:t>PSOs</w:t>
      </w:r>
      <w:r>
        <w:rPr>
          <w:rFonts w:ascii="Arial" w:cs="Arial" w:eastAsia="Arial" w:hAnsi="Arial"/>
          <w:sz w:val="16"/>
          <w:szCs w:val="16"/>
          <w:color w:val="auto"/>
        </w:rPr>
        <w:t>. PSOs will vest and become exercisable and the performance condition will be deemed to have been achieved at the greater of (i) the actual</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of the performance condition for the period commencing on the first day of the performance period and ending on the date immediately prior to the change in control and (ii) 100%.</w:t>
      </w:r>
    </w:p>
    <w:p>
      <w:pPr>
        <w:spacing w:after="0" w:line="71"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The following table represents the amounts to which our NEOs or their estates or representatives, as applicable, would have been entitled to receive had their employment been terminated on December 31, 2024 or had a change in control occurred on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2" w:right="379" w:bottom="1440" w:gutter="0" w:footer="0" w:header="0"/>
          <w:type w:val="continuous"/>
        </w:sectPr>
      </w:pPr>
    </w:p>
    <w:bookmarkStart w:id="93" w:name="page94"/>
    <w:bookmarkEnd w:id="93"/>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92</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Estimated Potential Payments upon Termination or Change in Control</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2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tcBorders>
              <w:bottom w:val="single" w:sz="8" w:color="1A3FD6"/>
            </w:tcBorders>
          </w:tcPr>
          <w:p>
            <w:pPr>
              <w:spacing w:after="0"/>
              <w:rPr>
                <w:sz w:val="17"/>
                <w:szCs w:val="17"/>
                <w:color w:val="auto"/>
              </w:rPr>
            </w:pPr>
          </w:p>
        </w:tc>
        <w:tc>
          <w:tcPr>
            <w:tcW w:w="1460" w:type="dxa"/>
            <w:vAlign w:val="bottom"/>
            <w:tcBorders>
              <w:bottom w:val="single" w:sz="8" w:color="1A3FD6"/>
            </w:tcBorders>
          </w:tcPr>
          <w:p>
            <w:pPr>
              <w:jc w:val="right"/>
              <w:ind w:right="47"/>
              <w:spacing w:after="0"/>
              <w:rPr>
                <w:sz w:val="20"/>
                <w:szCs w:val="20"/>
                <w:color w:val="auto"/>
              </w:rPr>
            </w:pPr>
            <w:r>
              <w:rPr>
                <w:rFonts w:ascii="Arial" w:cs="Arial" w:eastAsia="Arial" w:hAnsi="Arial"/>
                <w:sz w:val="14"/>
                <w:szCs w:val="14"/>
                <w:b w:val="1"/>
                <w:bCs w:val="1"/>
                <w:color w:val="auto"/>
              </w:rPr>
              <w:t>Change in Control</w:t>
            </w:r>
          </w:p>
        </w:tc>
        <w:tc>
          <w:tcPr>
            <w:tcW w:w="1420" w:type="dxa"/>
            <w:vAlign w:val="bottom"/>
            <w:tcBorders>
              <w:bottom w:val="single" w:sz="8" w:color="1A3FD6"/>
            </w:tcBorders>
          </w:tcPr>
          <w:p>
            <w:pPr>
              <w:spacing w:after="0"/>
              <w:rPr>
                <w:sz w:val="17"/>
                <w:szCs w:val="17"/>
                <w:color w:val="auto"/>
              </w:rPr>
            </w:pPr>
          </w:p>
        </w:tc>
      </w:tr>
      <w:tr>
        <w:trPr>
          <w:trHeight w:val="180"/>
        </w:trPr>
        <w:tc>
          <w:tcPr>
            <w:tcW w:w="22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Termination</w:t>
            </w:r>
          </w:p>
        </w:tc>
      </w:tr>
      <w:tr>
        <w:trPr>
          <w:trHeight w:val="176"/>
        </w:trPr>
        <w:tc>
          <w:tcPr>
            <w:tcW w:w="22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Without Cause</w:t>
            </w:r>
          </w:p>
        </w:tc>
      </w:tr>
      <w:tr>
        <w:trPr>
          <w:trHeight w:val="162"/>
        </w:trPr>
        <w:tc>
          <w:tcPr>
            <w:tcW w:w="22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60" w:type="dxa"/>
            <w:vAlign w:val="bottom"/>
          </w:tcPr>
          <w:p>
            <w:pPr>
              <w:jc w:val="right"/>
              <w:ind w:right="227"/>
              <w:spacing w:after="0"/>
              <w:rPr>
                <w:sz w:val="20"/>
                <w:szCs w:val="20"/>
                <w:color w:val="auto"/>
              </w:rPr>
            </w:pPr>
            <w:r>
              <w:rPr>
                <w:rFonts w:ascii="Arial" w:cs="Arial" w:eastAsia="Arial" w:hAnsi="Arial"/>
                <w:sz w:val="14"/>
                <w:szCs w:val="14"/>
                <w:b w:val="1"/>
                <w:bCs w:val="1"/>
                <w:color w:val="auto"/>
              </w:rPr>
              <w:t>Benefits and</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or for Good</w:t>
            </w:r>
          </w:p>
        </w:tc>
      </w:tr>
      <w:tr>
        <w:trPr>
          <w:trHeight w:val="176"/>
        </w:trPr>
        <w:tc>
          <w:tcPr>
            <w:tcW w:w="2260" w:type="dxa"/>
            <w:vAlign w:val="bottom"/>
          </w:tcPr>
          <w:p>
            <w:pPr>
              <w:spacing w:after="0"/>
              <w:rPr>
                <w:sz w:val="15"/>
                <w:szCs w:val="15"/>
                <w:color w:val="auto"/>
              </w:rPr>
            </w:pPr>
          </w:p>
        </w:tc>
        <w:tc>
          <w:tcPr>
            <w:tcW w:w="1780" w:type="dxa"/>
            <w:vAlign w:val="bottom"/>
          </w:tcPr>
          <w:p>
            <w:pPr>
              <w:jc w:val="right"/>
              <w:ind w:right="166"/>
              <w:spacing w:after="0"/>
              <w:rPr>
                <w:sz w:val="20"/>
                <w:szCs w:val="20"/>
                <w:color w:val="auto"/>
              </w:rPr>
            </w:pPr>
            <w:r>
              <w:rPr>
                <w:rFonts w:ascii="Arial" w:cs="Arial" w:eastAsia="Arial" w:hAnsi="Arial"/>
                <w:sz w:val="14"/>
                <w:szCs w:val="14"/>
                <w:b w:val="1"/>
                <w:bCs w:val="1"/>
                <w:color w:val="auto"/>
              </w:rPr>
              <w:t>Involuntary</w:t>
            </w:r>
          </w:p>
        </w:tc>
        <w:tc>
          <w:tcPr>
            <w:tcW w:w="1540" w:type="dxa"/>
            <w:vAlign w:val="bottom"/>
          </w:tcPr>
          <w:p>
            <w:pPr>
              <w:jc w:val="right"/>
              <w:ind w:right="126"/>
              <w:spacing w:after="0"/>
              <w:rPr>
                <w:sz w:val="20"/>
                <w:szCs w:val="20"/>
                <w:color w:val="auto"/>
              </w:rPr>
            </w:pPr>
            <w:r>
              <w:rPr>
                <w:rFonts w:ascii="Arial" w:cs="Arial" w:eastAsia="Arial" w:hAnsi="Arial"/>
                <w:sz w:val="14"/>
                <w:szCs w:val="14"/>
                <w:b w:val="1"/>
                <w:bCs w:val="1"/>
                <w:color w:val="auto"/>
              </w:rPr>
              <w:t>Termination</w:t>
            </w:r>
          </w:p>
        </w:tc>
        <w:tc>
          <w:tcPr>
            <w:tcW w:w="1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Pr>
          <w:p>
            <w:pPr>
              <w:jc w:val="right"/>
              <w:ind w:right="227"/>
              <w:spacing w:after="0"/>
              <w:rPr>
                <w:sz w:val="20"/>
                <w:szCs w:val="20"/>
                <w:color w:val="auto"/>
              </w:rPr>
            </w:pPr>
            <w:r>
              <w:rPr>
                <w:rFonts w:ascii="Arial" w:cs="Arial" w:eastAsia="Arial" w:hAnsi="Arial"/>
                <w:sz w:val="14"/>
                <w:szCs w:val="14"/>
                <w:b w:val="1"/>
                <w:bCs w:val="1"/>
                <w:color w:val="auto"/>
              </w:rPr>
              <w:t>Perquisites -</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Reason (Following</w:t>
            </w:r>
          </w:p>
        </w:tc>
      </w:tr>
      <w:tr>
        <w:trPr>
          <w:trHeight w:val="175"/>
        </w:trPr>
        <w:tc>
          <w:tcPr>
            <w:tcW w:w="2260" w:type="dxa"/>
            <w:vAlign w:val="bottom"/>
          </w:tcPr>
          <w:p>
            <w:pPr>
              <w:spacing w:after="0"/>
              <w:rPr>
                <w:sz w:val="15"/>
                <w:szCs w:val="15"/>
                <w:color w:val="auto"/>
              </w:rPr>
            </w:pPr>
          </w:p>
        </w:tc>
        <w:tc>
          <w:tcPr>
            <w:tcW w:w="1780" w:type="dxa"/>
            <w:vAlign w:val="bottom"/>
          </w:tcPr>
          <w:p>
            <w:pPr>
              <w:jc w:val="right"/>
              <w:ind w:right="166"/>
              <w:spacing w:after="0"/>
              <w:rPr>
                <w:sz w:val="20"/>
                <w:szCs w:val="20"/>
                <w:color w:val="auto"/>
              </w:rPr>
            </w:pPr>
            <w:r>
              <w:rPr>
                <w:rFonts w:ascii="Arial" w:cs="Arial" w:eastAsia="Arial" w:hAnsi="Arial"/>
                <w:sz w:val="14"/>
                <w:szCs w:val="14"/>
                <w:b w:val="1"/>
                <w:bCs w:val="1"/>
                <w:color w:val="auto"/>
              </w:rPr>
              <w:t>Termination</w:t>
            </w:r>
          </w:p>
        </w:tc>
        <w:tc>
          <w:tcPr>
            <w:tcW w:w="1540" w:type="dxa"/>
            <w:vAlign w:val="bottom"/>
          </w:tcPr>
          <w:p>
            <w:pPr>
              <w:jc w:val="right"/>
              <w:ind w:right="126"/>
              <w:spacing w:after="0"/>
              <w:rPr>
                <w:sz w:val="20"/>
                <w:szCs w:val="20"/>
                <w:color w:val="auto"/>
              </w:rPr>
            </w:pPr>
            <w:r>
              <w:rPr>
                <w:rFonts w:ascii="Arial" w:cs="Arial" w:eastAsia="Arial" w:hAnsi="Arial"/>
                <w:sz w:val="14"/>
                <w:szCs w:val="14"/>
                <w:b w:val="1"/>
                <w:bCs w:val="1"/>
                <w:color w:val="auto"/>
              </w:rPr>
              <w:t>Due to Death,</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Qualified</w:t>
            </w:r>
          </w:p>
        </w:tc>
        <w:tc>
          <w:tcPr>
            <w:tcW w:w="1460" w:type="dxa"/>
            <w:vAlign w:val="bottom"/>
          </w:tcPr>
          <w:p>
            <w:pPr>
              <w:spacing w:after="0"/>
              <w:rPr>
                <w:sz w:val="15"/>
                <w:szCs w:val="15"/>
                <w:color w:val="auto"/>
              </w:rPr>
            </w:pPr>
          </w:p>
        </w:tc>
        <w:tc>
          <w:tcPr>
            <w:tcW w:w="1460" w:type="dxa"/>
            <w:vAlign w:val="bottom"/>
          </w:tcPr>
          <w:p>
            <w:pPr>
              <w:jc w:val="right"/>
              <w:ind w:right="227"/>
              <w:spacing w:after="0"/>
              <w:rPr>
                <w:sz w:val="20"/>
                <w:szCs w:val="20"/>
                <w:color w:val="auto"/>
              </w:rPr>
            </w:pPr>
            <w:r>
              <w:rPr>
                <w:rFonts w:ascii="Arial" w:cs="Arial" w:eastAsia="Arial" w:hAnsi="Arial"/>
                <w:sz w:val="14"/>
                <w:szCs w:val="14"/>
                <w:b w:val="1"/>
                <w:bCs w:val="1"/>
                <w:color w:val="auto"/>
              </w:rPr>
              <w:t>Cobra / UK</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a Change</w:t>
            </w:r>
          </w:p>
        </w:tc>
      </w:tr>
      <w:tr>
        <w:trPr>
          <w:trHeight w:val="176"/>
        </w:trPr>
        <w:tc>
          <w:tcPr>
            <w:tcW w:w="2260" w:type="dxa"/>
            <w:vAlign w:val="bottom"/>
          </w:tcPr>
          <w:p>
            <w:pPr>
              <w:spacing w:after="0"/>
              <w:rPr>
                <w:sz w:val="15"/>
                <w:szCs w:val="15"/>
                <w:color w:val="auto"/>
              </w:rPr>
            </w:pPr>
          </w:p>
        </w:tc>
        <w:tc>
          <w:tcPr>
            <w:tcW w:w="1780" w:type="dxa"/>
            <w:vAlign w:val="bottom"/>
          </w:tcPr>
          <w:p>
            <w:pPr>
              <w:jc w:val="right"/>
              <w:ind w:right="166"/>
              <w:spacing w:after="0"/>
              <w:rPr>
                <w:sz w:val="20"/>
                <w:szCs w:val="20"/>
                <w:color w:val="auto"/>
              </w:rPr>
            </w:pPr>
            <w:r>
              <w:rPr>
                <w:rFonts w:ascii="Arial" w:cs="Arial" w:eastAsia="Arial" w:hAnsi="Arial"/>
                <w:sz w:val="14"/>
                <w:szCs w:val="14"/>
                <w:b w:val="1"/>
                <w:bCs w:val="1"/>
                <w:color w:val="auto"/>
              </w:rPr>
              <w:t>Without Cause-</w:t>
            </w:r>
          </w:p>
        </w:tc>
        <w:tc>
          <w:tcPr>
            <w:tcW w:w="1540" w:type="dxa"/>
            <w:vAlign w:val="bottom"/>
          </w:tcPr>
          <w:p>
            <w:pPr>
              <w:jc w:val="right"/>
              <w:ind w:right="126"/>
              <w:spacing w:after="0"/>
              <w:rPr>
                <w:sz w:val="20"/>
                <w:szCs w:val="20"/>
                <w:color w:val="auto"/>
              </w:rPr>
            </w:pPr>
            <w:r>
              <w:rPr>
                <w:rFonts w:ascii="Arial" w:cs="Arial" w:eastAsia="Arial" w:hAnsi="Arial"/>
                <w:sz w:val="14"/>
                <w:szCs w:val="14"/>
                <w:b w:val="1"/>
                <w:bCs w:val="1"/>
                <w:color w:val="auto"/>
              </w:rPr>
              <w:t>Disability-</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Retirement-</w:t>
            </w:r>
          </w:p>
        </w:tc>
        <w:tc>
          <w:tcPr>
            <w:tcW w:w="1460" w:type="dxa"/>
            <w:vAlign w:val="bottom"/>
          </w:tcPr>
          <w:p>
            <w:pPr>
              <w:spacing w:after="0"/>
              <w:rPr>
                <w:sz w:val="15"/>
                <w:szCs w:val="15"/>
                <w:color w:val="auto"/>
              </w:rPr>
            </w:pPr>
          </w:p>
        </w:tc>
        <w:tc>
          <w:tcPr>
            <w:tcW w:w="1460" w:type="dxa"/>
            <w:vAlign w:val="bottom"/>
          </w:tcPr>
          <w:p>
            <w:pPr>
              <w:jc w:val="right"/>
              <w:ind w:right="227"/>
              <w:spacing w:after="0"/>
              <w:rPr>
                <w:sz w:val="20"/>
                <w:szCs w:val="20"/>
                <w:color w:val="auto"/>
              </w:rPr>
            </w:pPr>
            <w:r>
              <w:rPr>
                <w:rFonts w:ascii="Arial" w:cs="Arial" w:eastAsia="Arial" w:hAnsi="Arial"/>
                <w:sz w:val="14"/>
                <w:szCs w:val="14"/>
                <w:b w:val="1"/>
                <w:bCs w:val="1"/>
                <w:color w:val="auto"/>
              </w:rPr>
              <w:t>Medical</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in Control)-Equity</w:t>
            </w:r>
          </w:p>
        </w:tc>
      </w:tr>
      <w:tr>
        <w:trPr>
          <w:trHeight w:val="175"/>
        </w:trPr>
        <w:tc>
          <w:tcPr>
            <w:tcW w:w="2260" w:type="dxa"/>
            <w:vAlign w:val="bottom"/>
          </w:tcPr>
          <w:p>
            <w:pPr>
              <w:spacing w:after="0"/>
              <w:rPr>
                <w:sz w:val="15"/>
                <w:szCs w:val="15"/>
                <w:color w:val="auto"/>
              </w:rPr>
            </w:pPr>
          </w:p>
        </w:tc>
        <w:tc>
          <w:tcPr>
            <w:tcW w:w="1780" w:type="dxa"/>
            <w:vAlign w:val="bottom"/>
          </w:tcPr>
          <w:p>
            <w:pPr>
              <w:jc w:val="right"/>
              <w:ind w:right="166"/>
              <w:spacing w:after="0"/>
              <w:rPr>
                <w:sz w:val="20"/>
                <w:szCs w:val="20"/>
                <w:color w:val="auto"/>
              </w:rPr>
            </w:pPr>
            <w:r>
              <w:rPr>
                <w:rFonts w:ascii="Arial" w:cs="Arial" w:eastAsia="Arial" w:hAnsi="Arial"/>
                <w:sz w:val="14"/>
                <w:szCs w:val="14"/>
                <w:b w:val="1"/>
                <w:bCs w:val="1"/>
                <w:color w:val="auto"/>
              </w:rPr>
              <w:t>Equity at Target</w:t>
            </w:r>
          </w:p>
        </w:tc>
        <w:tc>
          <w:tcPr>
            <w:tcW w:w="1540" w:type="dxa"/>
            <w:vAlign w:val="bottom"/>
          </w:tcPr>
          <w:p>
            <w:pPr>
              <w:jc w:val="right"/>
              <w:ind w:right="126"/>
              <w:spacing w:after="0"/>
              <w:rPr>
                <w:sz w:val="20"/>
                <w:szCs w:val="20"/>
                <w:color w:val="auto"/>
              </w:rPr>
            </w:pPr>
            <w:r>
              <w:rPr>
                <w:rFonts w:ascii="Arial" w:cs="Arial" w:eastAsia="Arial" w:hAnsi="Arial"/>
                <w:sz w:val="14"/>
                <w:szCs w:val="14"/>
                <w:b w:val="1"/>
                <w:bCs w:val="1"/>
                <w:color w:val="auto"/>
              </w:rPr>
              <w:t>Equity at Target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Equity at Target</w:t>
            </w:r>
          </w:p>
        </w:tc>
        <w:tc>
          <w:tcPr>
            <w:tcW w:w="1460" w:type="dxa"/>
            <w:vAlign w:val="bottom"/>
          </w:tcPr>
          <w:p>
            <w:pPr>
              <w:jc w:val="right"/>
              <w:ind w:right="22"/>
              <w:spacing w:after="0"/>
              <w:rPr>
                <w:sz w:val="20"/>
                <w:szCs w:val="20"/>
                <w:color w:val="auto"/>
              </w:rPr>
            </w:pPr>
            <w:r>
              <w:rPr>
                <w:rFonts w:ascii="Arial" w:cs="Arial" w:eastAsia="Arial" w:hAnsi="Arial"/>
                <w:sz w:val="14"/>
                <w:szCs w:val="14"/>
                <w:b w:val="1"/>
                <w:bCs w:val="1"/>
                <w:color w:val="auto"/>
              </w:rPr>
              <w:t>Cash</w:t>
            </w:r>
          </w:p>
        </w:tc>
        <w:tc>
          <w:tcPr>
            <w:tcW w:w="1460" w:type="dxa"/>
            <w:vAlign w:val="bottom"/>
          </w:tcPr>
          <w:p>
            <w:pPr>
              <w:jc w:val="right"/>
              <w:ind w:right="227"/>
              <w:spacing w:after="0"/>
              <w:rPr>
                <w:sz w:val="20"/>
                <w:szCs w:val="20"/>
                <w:color w:val="auto"/>
              </w:rPr>
            </w:pPr>
            <w:r>
              <w:rPr>
                <w:rFonts w:ascii="Arial" w:cs="Arial" w:eastAsia="Arial" w:hAnsi="Arial"/>
                <w:sz w:val="14"/>
                <w:szCs w:val="14"/>
                <w:b w:val="1"/>
                <w:bCs w:val="1"/>
                <w:color w:val="auto"/>
              </w:rPr>
              <w:t>Continuation</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at Target</w:t>
            </w:r>
          </w:p>
        </w:tc>
      </w:tr>
      <w:tr>
        <w:trPr>
          <w:trHeight w:val="162"/>
        </w:trPr>
        <w:tc>
          <w:tcPr>
            <w:tcW w:w="2260" w:type="dxa"/>
            <w:vAlign w:val="bottom"/>
          </w:tcPr>
          <w:p>
            <w:pPr>
              <w:spacing w:after="0"/>
              <w:rPr>
                <w:sz w:val="14"/>
                <w:szCs w:val="14"/>
                <w:color w:val="auto"/>
              </w:rPr>
            </w:pPr>
          </w:p>
        </w:tc>
        <w:tc>
          <w:tcPr>
            <w:tcW w:w="1780" w:type="dxa"/>
            <w:vAlign w:val="bottom"/>
          </w:tcPr>
          <w:p>
            <w:pPr>
              <w:jc w:val="right"/>
              <w:ind w:right="166"/>
              <w:spacing w:after="0"/>
              <w:rPr>
                <w:sz w:val="20"/>
                <w:szCs w:val="20"/>
                <w:color w:val="auto"/>
              </w:rPr>
            </w:pPr>
            <w:r>
              <w:rPr>
                <w:rFonts w:ascii="Arial" w:cs="Arial" w:eastAsia="Arial" w:hAnsi="Arial"/>
                <w:sz w:val="14"/>
                <w:szCs w:val="14"/>
                <w:b w:val="1"/>
                <w:bCs w:val="1"/>
                <w:color w:val="auto"/>
              </w:rPr>
              <w:t>Performance</w:t>
            </w:r>
          </w:p>
        </w:tc>
        <w:tc>
          <w:tcPr>
            <w:tcW w:w="1540" w:type="dxa"/>
            <w:vAlign w:val="bottom"/>
          </w:tcPr>
          <w:p>
            <w:pPr>
              <w:jc w:val="right"/>
              <w:ind w:right="126"/>
              <w:spacing w:after="0"/>
              <w:rPr>
                <w:sz w:val="20"/>
                <w:szCs w:val="20"/>
                <w:color w:val="auto"/>
              </w:rPr>
            </w:pPr>
            <w:r>
              <w:rPr>
                <w:rFonts w:ascii="Arial" w:cs="Arial" w:eastAsia="Arial" w:hAnsi="Arial"/>
                <w:sz w:val="14"/>
                <w:szCs w:val="14"/>
                <w:b w:val="1"/>
                <w:bCs w:val="1"/>
                <w:color w:val="auto"/>
              </w:rPr>
              <w:t>Performance</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Performance</w:t>
            </w:r>
          </w:p>
        </w:tc>
        <w:tc>
          <w:tcPr>
            <w:tcW w:w="1460" w:type="dxa"/>
            <w:vAlign w:val="bottom"/>
          </w:tcPr>
          <w:p>
            <w:pPr>
              <w:jc w:val="right"/>
              <w:ind w:right="22"/>
              <w:spacing w:after="0"/>
              <w:rPr>
                <w:sz w:val="20"/>
                <w:szCs w:val="20"/>
                <w:color w:val="auto"/>
              </w:rPr>
            </w:pPr>
            <w:r>
              <w:rPr>
                <w:rFonts w:ascii="Arial" w:cs="Arial" w:eastAsia="Arial" w:hAnsi="Arial"/>
                <w:sz w:val="14"/>
                <w:szCs w:val="14"/>
                <w:b w:val="1"/>
                <w:bCs w:val="1"/>
                <w:color w:val="auto"/>
              </w:rPr>
              <w:t>Severance</w:t>
            </w:r>
          </w:p>
        </w:tc>
        <w:tc>
          <w:tcPr>
            <w:tcW w:w="1460" w:type="dxa"/>
            <w:vAlign w:val="bottom"/>
          </w:tcPr>
          <w:p>
            <w:pPr>
              <w:jc w:val="right"/>
              <w:ind w:right="227"/>
              <w:spacing w:after="0"/>
              <w:rPr>
                <w:sz w:val="20"/>
                <w:szCs w:val="20"/>
                <w:color w:val="auto"/>
              </w:rPr>
            </w:pPr>
            <w:r>
              <w:rPr>
                <w:rFonts w:ascii="Arial" w:cs="Arial" w:eastAsia="Arial" w:hAnsi="Arial"/>
                <w:sz w:val="14"/>
                <w:szCs w:val="14"/>
                <w:b w:val="1"/>
                <w:bCs w:val="1"/>
                <w:color w:val="auto"/>
              </w:rPr>
              <w:t>Premiums</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Performance</w:t>
            </w:r>
          </w:p>
        </w:tc>
      </w:tr>
      <w:tr>
        <w:trPr>
          <w:trHeight w:val="225"/>
        </w:trPr>
        <w:tc>
          <w:tcPr>
            <w:tcW w:w="226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18"/>
                <w:szCs w:val="18"/>
                <w:b w:val="1"/>
                <w:bCs w:val="1"/>
                <w:color w:val="auto"/>
                <w:vertAlign w:val="superscript"/>
              </w:rPr>
              <w:t>(1)</w:t>
            </w:r>
          </w:p>
        </w:tc>
        <w:tc>
          <w:tcPr>
            <w:tcW w:w="1780" w:type="dxa"/>
            <w:vAlign w:val="bottom"/>
            <w:tcBorders>
              <w:bottom w:val="single" w:sz="8" w:color="1A3FD6"/>
            </w:tcBorders>
          </w:tcPr>
          <w:p>
            <w:pPr>
              <w:jc w:val="right"/>
              <w:ind w:right="166"/>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9"/>
                <w:szCs w:val="9"/>
                <w:b w:val="1"/>
                <w:bCs w:val="1"/>
                <w:color w:val="auto"/>
              </w:rPr>
              <w:t>(1)(2)</w:t>
            </w:r>
          </w:p>
        </w:tc>
        <w:tc>
          <w:tcPr>
            <w:tcW w:w="1540" w:type="dxa"/>
            <w:vAlign w:val="bottom"/>
            <w:tcBorders>
              <w:bottom w:val="single" w:sz="8" w:color="1A3FD6"/>
            </w:tcBorders>
          </w:tcPr>
          <w:p>
            <w:pPr>
              <w:jc w:val="right"/>
              <w:ind w:right="126"/>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9"/>
                <w:szCs w:val="9"/>
                <w:b w:val="1"/>
                <w:bCs w:val="1"/>
                <w:color w:val="auto"/>
              </w:rPr>
              <w:t>(1)(3)</w:t>
            </w:r>
          </w:p>
        </w:tc>
        <w:tc>
          <w:tcPr>
            <w:tcW w:w="1320" w:type="dxa"/>
            <w:vAlign w:val="bottom"/>
            <w:tcBorders>
              <w:bottom w:val="single" w:sz="8" w:color="1A3FD6"/>
            </w:tcBorders>
          </w:tcPr>
          <w:p>
            <w:pPr>
              <w:jc w:val="right"/>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9"/>
                <w:szCs w:val="9"/>
                <w:b w:val="1"/>
                <w:bCs w:val="1"/>
                <w:color w:val="auto"/>
              </w:rPr>
              <w:t>(1)(4)</w:t>
            </w:r>
          </w:p>
        </w:tc>
        <w:tc>
          <w:tcPr>
            <w:tcW w:w="1460" w:type="dxa"/>
            <w:vAlign w:val="bottom"/>
            <w:tcBorders>
              <w:bottom w:val="single" w:sz="8" w:color="1A3FD6"/>
            </w:tcBorders>
          </w:tcPr>
          <w:p>
            <w:pPr>
              <w:jc w:val="right"/>
              <w:ind w:right="22"/>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(5)</w:t>
            </w:r>
          </w:p>
        </w:tc>
        <w:tc>
          <w:tcPr>
            <w:tcW w:w="1460" w:type="dxa"/>
            <w:vAlign w:val="bottom"/>
            <w:tcBorders>
              <w:bottom w:val="single" w:sz="8" w:color="1A3FD6"/>
            </w:tcBorders>
          </w:tcPr>
          <w:p>
            <w:pPr>
              <w:jc w:val="right"/>
              <w:ind w:right="227"/>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9"/>
                <w:szCs w:val="9"/>
                <w:b w:val="1"/>
                <w:bCs w:val="1"/>
                <w:color w:val="auto"/>
              </w:rPr>
              <w:t>(6)</w:t>
            </w:r>
          </w:p>
        </w:tc>
        <w:tc>
          <w:tcPr>
            <w:tcW w:w="1420" w:type="dxa"/>
            <w:vAlign w:val="bottom"/>
            <w:tcBorders>
              <w:bottom w:val="single" w:sz="8" w:color="1A3FD6"/>
            </w:tcBorders>
          </w:tcPr>
          <w:p>
            <w:pPr>
              <w:jc w:val="right"/>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9"/>
                <w:szCs w:val="9"/>
                <w:b w:val="1"/>
                <w:bCs w:val="1"/>
                <w:color w:val="auto"/>
              </w:rPr>
              <w:t>(1)(7)</w:t>
            </w:r>
          </w:p>
        </w:tc>
      </w:tr>
      <w:tr>
        <w:trPr>
          <w:trHeight w:val="233"/>
        </w:trPr>
        <w:tc>
          <w:tcPr>
            <w:tcW w:w="2260" w:type="dxa"/>
            <w:vAlign w:val="bottom"/>
          </w:tcPr>
          <w:p>
            <w:pPr>
              <w:ind w:left="20"/>
              <w:spacing w:after="0"/>
              <w:rPr>
                <w:sz w:val="20"/>
                <w:szCs w:val="20"/>
                <w:color w:val="auto"/>
              </w:rPr>
            </w:pPr>
            <w:r>
              <w:rPr>
                <w:rFonts w:ascii="Arial" w:cs="Arial" w:eastAsia="Arial" w:hAnsi="Arial"/>
                <w:sz w:val="16"/>
                <w:szCs w:val="16"/>
                <w:b w:val="1"/>
                <w:bCs w:val="1"/>
                <w:color w:val="1A3FD6"/>
              </w:rPr>
              <w:t>Henry A. Fernandez</w:t>
            </w:r>
          </w:p>
        </w:tc>
        <w:tc>
          <w:tcPr>
            <w:tcW w:w="1780" w:type="dxa"/>
            <w:vAlign w:val="bottom"/>
          </w:tcPr>
          <w:p>
            <w:pPr>
              <w:jc w:val="right"/>
              <w:ind w:right="226"/>
              <w:spacing w:after="0"/>
              <w:rPr>
                <w:sz w:val="20"/>
                <w:szCs w:val="20"/>
                <w:color w:val="auto"/>
              </w:rPr>
            </w:pPr>
            <w:r>
              <w:rPr>
                <w:rFonts w:ascii="Arial" w:cs="Arial" w:eastAsia="Arial" w:hAnsi="Arial"/>
                <w:sz w:val="16"/>
                <w:szCs w:val="16"/>
                <w:color w:val="auto"/>
              </w:rPr>
              <w:t>48,737,717</w:t>
            </w:r>
          </w:p>
        </w:tc>
        <w:tc>
          <w:tcPr>
            <w:tcW w:w="1540" w:type="dxa"/>
            <w:vAlign w:val="bottom"/>
          </w:tcPr>
          <w:p>
            <w:pPr>
              <w:jc w:val="right"/>
              <w:ind w:right="186"/>
              <w:spacing w:after="0"/>
              <w:rPr>
                <w:sz w:val="20"/>
                <w:szCs w:val="20"/>
                <w:color w:val="auto"/>
              </w:rPr>
            </w:pPr>
            <w:r>
              <w:rPr>
                <w:rFonts w:ascii="Arial" w:cs="Arial" w:eastAsia="Arial" w:hAnsi="Arial"/>
                <w:sz w:val="16"/>
                <w:szCs w:val="16"/>
                <w:color w:val="auto"/>
              </w:rPr>
              <w:t>48,737,717</w:t>
            </w:r>
          </w:p>
        </w:tc>
        <w:tc>
          <w:tcPr>
            <w:tcW w:w="1320" w:type="dxa"/>
            <w:vAlign w:val="bottom"/>
          </w:tcPr>
          <w:p>
            <w:pPr>
              <w:jc w:val="right"/>
              <w:spacing w:after="0"/>
              <w:rPr>
                <w:sz w:val="20"/>
                <w:szCs w:val="20"/>
                <w:color w:val="auto"/>
              </w:rPr>
            </w:pPr>
            <w:r>
              <w:rPr>
                <w:rFonts w:ascii="Arial" w:cs="Arial" w:eastAsia="Arial" w:hAnsi="Arial"/>
                <w:sz w:val="16"/>
                <w:szCs w:val="16"/>
                <w:color w:val="auto"/>
              </w:rPr>
              <w:t>48,737,717</w:t>
            </w:r>
          </w:p>
        </w:tc>
        <w:tc>
          <w:tcPr>
            <w:tcW w:w="1460" w:type="dxa"/>
            <w:vAlign w:val="bottom"/>
          </w:tcPr>
          <w:p>
            <w:pPr>
              <w:jc w:val="right"/>
              <w:ind w:right="62"/>
              <w:spacing w:after="0"/>
              <w:rPr>
                <w:sz w:val="20"/>
                <w:szCs w:val="20"/>
                <w:color w:val="auto"/>
              </w:rPr>
            </w:pPr>
            <w:r>
              <w:rPr>
                <w:rFonts w:ascii="Arial" w:cs="Arial" w:eastAsia="Arial" w:hAnsi="Arial"/>
                <w:sz w:val="16"/>
                <w:szCs w:val="16"/>
                <w:color w:val="auto"/>
              </w:rPr>
              <w:t>4,702,640</w:t>
            </w:r>
          </w:p>
        </w:tc>
        <w:tc>
          <w:tcPr>
            <w:tcW w:w="1460" w:type="dxa"/>
            <w:vAlign w:val="bottom"/>
          </w:tcPr>
          <w:p>
            <w:pPr>
              <w:jc w:val="right"/>
              <w:ind w:right="287"/>
              <w:spacing w:after="0"/>
              <w:rPr>
                <w:sz w:val="20"/>
                <w:szCs w:val="20"/>
                <w:color w:val="auto"/>
              </w:rPr>
            </w:pPr>
            <w:r>
              <w:rPr>
                <w:rFonts w:ascii="Arial" w:cs="Arial" w:eastAsia="Arial" w:hAnsi="Arial"/>
                <w:sz w:val="16"/>
                <w:szCs w:val="16"/>
                <w:color w:val="auto"/>
              </w:rPr>
              <w:t>66,281</w:t>
            </w:r>
          </w:p>
        </w:tc>
        <w:tc>
          <w:tcPr>
            <w:tcW w:w="1420" w:type="dxa"/>
            <w:vAlign w:val="bottom"/>
          </w:tcPr>
          <w:p>
            <w:pPr>
              <w:jc w:val="right"/>
              <w:ind w:right="7"/>
              <w:spacing w:after="0"/>
              <w:rPr>
                <w:sz w:val="20"/>
                <w:szCs w:val="20"/>
                <w:color w:val="auto"/>
              </w:rPr>
            </w:pPr>
            <w:r>
              <w:rPr>
                <w:rFonts w:ascii="Arial" w:cs="Arial" w:eastAsia="Arial" w:hAnsi="Arial"/>
                <w:sz w:val="16"/>
                <w:szCs w:val="16"/>
                <w:color w:val="auto"/>
              </w:rPr>
              <w:t>48,737,717</w:t>
            </w:r>
          </w:p>
        </w:tc>
      </w:tr>
      <w:tr>
        <w:trPr>
          <w:trHeight w:val="247"/>
        </w:trPr>
        <w:tc>
          <w:tcPr>
            <w:tcW w:w="226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Andrew C. Wiechmann</w:t>
            </w:r>
          </w:p>
        </w:tc>
        <w:tc>
          <w:tcPr>
            <w:tcW w:w="1780" w:type="dxa"/>
            <w:vAlign w:val="bottom"/>
            <w:shd w:val="clear" w:color="auto" w:fill="EDF0FC"/>
          </w:tcPr>
          <w:p>
            <w:pPr>
              <w:jc w:val="right"/>
              <w:ind w:right="226"/>
              <w:spacing w:after="0"/>
              <w:rPr>
                <w:sz w:val="20"/>
                <w:szCs w:val="20"/>
                <w:color w:val="auto"/>
              </w:rPr>
            </w:pPr>
            <w:r>
              <w:rPr>
                <w:rFonts w:ascii="Arial" w:cs="Arial" w:eastAsia="Arial" w:hAnsi="Arial"/>
                <w:sz w:val="16"/>
                <w:szCs w:val="16"/>
                <w:color w:val="auto"/>
              </w:rPr>
              <w:t>3,880,804</w:t>
            </w:r>
          </w:p>
        </w:tc>
        <w:tc>
          <w:tcPr>
            <w:tcW w:w="1540" w:type="dxa"/>
            <w:vAlign w:val="bottom"/>
            <w:shd w:val="clear" w:color="auto" w:fill="EDF0FC"/>
          </w:tcPr>
          <w:p>
            <w:pPr>
              <w:jc w:val="right"/>
              <w:ind w:right="186"/>
              <w:spacing w:after="0"/>
              <w:rPr>
                <w:sz w:val="20"/>
                <w:szCs w:val="20"/>
                <w:color w:val="auto"/>
              </w:rPr>
            </w:pPr>
            <w:r>
              <w:rPr>
                <w:rFonts w:ascii="Arial" w:cs="Arial" w:eastAsia="Arial" w:hAnsi="Arial"/>
                <w:sz w:val="16"/>
                <w:szCs w:val="16"/>
                <w:color w:val="auto"/>
              </w:rPr>
              <w:t>5,841,123</w:t>
            </w:r>
          </w:p>
        </w:tc>
        <w:tc>
          <w:tcPr>
            <w:tcW w:w="1320" w:type="dxa"/>
            <w:vAlign w:val="bottom"/>
            <w:shd w:val="clear" w:color="auto" w:fill="EDF0FC"/>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EDF0FC"/>
          </w:tcPr>
          <w:p>
            <w:pPr>
              <w:jc w:val="right"/>
              <w:ind w:right="62"/>
              <w:spacing w:after="0"/>
              <w:rPr>
                <w:sz w:val="20"/>
                <w:szCs w:val="20"/>
                <w:color w:val="auto"/>
              </w:rPr>
            </w:pPr>
            <w:r>
              <w:rPr>
                <w:rFonts w:ascii="Arial" w:cs="Arial" w:eastAsia="Arial" w:hAnsi="Arial"/>
                <w:sz w:val="16"/>
                <w:szCs w:val="16"/>
                <w:color w:val="auto"/>
              </w:rPr>
              <w:t>2,547,847</w:t>
            </w:r>
          </w:p>
        </w:tc>
        <w:tc>
          <w:tcPr>
            <w:tcW w:w="1460" w:type="dxa"/>
            <w:vAlign w:val="bottom"/>
            <w:shd w:val="clear" w:color="auto" w:fill="EDF0FC"/>
          </w:tcPr>
          <w:p>
            <w:pPr>
              <w:jc w:val="right"/>
              <w:ind w:right="287"/>
              <w:spacing w:after="0"/>
              <w:rPr>
                <w:sz w:val="20"/>
                <w:szCs w:val="20"/>
                <w:color w:val="auto"/>
              </w:rPr>
            </w:pPr>
            <w:r>
              <w:rPr>
                <w:rFonts w:ascii="Arial" w:cs="Arial" w:eastAsia="Arial" w:hAnsi="Arial"/>
                <w:sz w:val="16"/>
                <w:szCs w:val="16"/>
                <w:color w:val="auto"/>
              </w:rPr>
              <w:t>—</w:t>
            </w:r>
          </w:p>
        </w:tc>
        <w:tc>
          <w:tcPr>
            <w:tcW w:w="1420" w:type="dxa"/>
            <w:vAlign w:val="bottom"/>
            <w:shd w:val="clear" w:color="auto" w:fill="EDF0FC"/>
          </w:tcPr>
          <w:p>
            <w:pPr>
              <w:jc w:val="right"/>
              <w:ind w:right="7"/>
              <w:spacing w:after="0"/>
              <w:rPr>
                <w:sz w:val="20"/>
                <w:szCs w:val="20"/>
                <w:color w:val="auto"/>
              </w:rPr>
            </w:pPr>
            <w:r>
              <w:rPr>
                <w:rFonts w:ascii="Arial" w:cs="Arial" w:eastAsia="Arial" w:hAnsi="Arial"/>
                <w:sz w:val="16"/>
                <w:szCs w:val="16"/>
                <w:color w:val="auto"/>
              </w:rPr>
              <w:t>5,841,123</w:t>
            </w:r>
          </w:p>
        </w:tc>
      </w:tr>
      <w:tr>
        <w:trPr>
          <w:trHeight w:val="239"/>
        </w:trPr>
        <w:tc>
          <w:tcPr>
            <w:tcW w:w="2260" w:type="dxa"/>
            <w:vAlign w:val="bottom"/>
          </w:tcPr>
          <w:p>
            <w:pPr>
              <w:ind w:left="20"/>
              <w:spacing w:after="0"/>
              <w:rPr>
                <w:sz w:val="20"/>
                <w:szCs w:val="20"/>
                <w:color w:val="auto"/>
              </w:rPr>
            </w:pPr>
            <w:r>
              <w:rPr>
                <w:rFonts w:ascii="Arial" w:cs="Arial" w:eastAsia="Arial" w:hAnsi="Arial"/>
                <w:sz w:val="16"/>
                <w:szCs w:val="16"/>
                <w:b w:val="1"/>
                <w:bCs w:val="1"/>
                <w:color w:val="1A3FD6"/>
              </w:rPr>
              <w:t>C.D. Baer Pettit</w:t>
            </w:r>
          </w:p>
        </w:tc>
        <w:tc>
          <w:tcPr>
            <w:tcW w:w="1780" w:type="dxa"/>
            <w:vAlign w:val="bottom"/>
          </w:tcPr>
          <w:p>
            <w:pPr>
              <w:jc w:val="right"/>
              <w:ind w:right="226"/>
              <w:spacing w:after="0"/>
              <w:rPr>
                <w:sz w:val="20"/>
                <w:szCs w:val="20"/>
                <w:color w:val="auto"/>
              </w:rPr>
            </w:pPr>
            <w:r>
              <w:rPr>
                <w:rFonts w:ascii="Arial" w:cs="Arial" w:eastAsia="Arial" w:hAnsi="Arial"/>
                <w:sz w:val="16"/>
                <w:szCs w:val="16"/>
                <w:color w:val="auto"/>
              </w:rPr>
              <w:t>20,163,254</w:t>
            </w:r>
          </w:p>
        </w:tc>
        <w:tc>
          <w:tcPr>
            <w:tcW w:w="1540" w:type="dxa"/>
            <w:vAlign w:val="bottom"/>
          </w:tcPr>
          <w:p>
            <w:pPr>
              <w:jc w:val="right"/>
              <w:ind w:right="186"/>
              <w:spacing w:after="0"/>
              <w:rPr>
                <w:sz w:val="20"/>
                <w:szCs w:val="20"/>
                <w:color w:val="auto"/>
              </w:rPr>
            </w:pPr>
            <w:r>
              <w:rPr>
                <w:rFonts w:ascii="Arial" w:cs="Arial" w:eastAsia="Arial" w:hAnsi="Arial"/>
                <w:sz w:val="16"/>
                <w:szCs w:val="16"/>
                <w:color w:val="auto"/>
              </w:rPr>
              <w:t>24,504,124</w:t>
            </w:r>
          </w:p>
        </w:tc>
        <w:tc>
          <w:tcPr>
            <w:tcW w:w="1320" w:type="dxa"/>
            <w:vAlign w:val="bottom"/>
          </w:tcPr>
          <w:p>
            <w:pPr>
              <w:jc w:val="right"/>
              <w:spacing w:after="0"/>
              <w:rPr>
                <w:sz w:val="20"/>
                <w:szCs w:val="20"/>
                <w:color w:val="auto"/>
              </w:rPr>
            </w:pPr>
            <w:r>
              <w:rPr>
                <w:rFonts w:ascii="Arial" w:cs="Arial" w:eastAsia="Arial" w:hAnsi="Arial"/>
                <w:sz w:val="16"/>
                <w:szCs w:val="16"/>
                <w:color w:val="auto"/>
              </w:rPr>
              <w:t>20,163,254</w:t>
            </w:r>
          </w:p>
        </w:tc>
        <w:tc>
          <w:tcPr>
            <w:tcW w:w="1460" w:type="dxa"/>
            <w:vAlign w:val="bottom"/>
          </w:tcPr>
          <w:p>
            <w:pPr>
              <w:jc w:val="right"/>
              <w:ind w:right="62"/>
              <w:spacing w:after="0"/>
              <w:rPr>
                <w:sz w:val="20"/>
                <w:szCs w:val="20"/>
                <w:color w:val="auto"/>
              </w:rPr>
            </w:pPr>
            <w:r>
              <w:rPr>
                <w:rFonts w:ascii="Arial" w:cs="Arial" w:eastAsia="Arial" w:hAnsi="Arial"/>
                <w:sz w:val="16"/>
                <w:szCs w:val="16"/>
                <w:color w:val="auto"/>
              </w:rPr>
              <w:t>4,164,623</w:t>
            </w:r>
          </w:p>
        </w:tc>
        <w:tc>
          <w:tcPr>
            <w:tcW w:w="1460" w:type="dxa"/>
            <w:vAlign w:val="bottom"/>
          </w:tcPr>
          <w:p>
            <w:pPr>
              <w:jc w:val="right"/>
              <w:ind w:right="287"/>
              <w:spacing w:after="0"/>
              <w:rPr>
                <w:sz w:val="20"/>
                <w:szCs w:val="20"/>
                <w:color w:val="auto"/>
              </w:rPr>
            </w:pPr>
            <w:r>
              <w:rPr>
                <w:rFonts w:ascii="Arial" w:cs="Arial" w:eastAsia="Arial" w:hAnsi="Arial"/>
                <w:sz w:val="16"/>
                <w:szCs w:val="16"/>
                <w:color w:val="auto"/>
              </w:rPr>
              <w:t>17,908</w:t>
            </w:r>
          </w:p>
        </w:tc>
        <w:tc>
          <w:tcPr>
            <w:tcW w:w="1420" w:type="dxa"/>
            <w:vAlign w:val="bottom"/>
          </w:tcPr>
          <w:p>
            <w:pPr>
              <w:jc w:val="right"/>
              <w:ind w:right="7"/>
              <w:spacing w:after="0"/>
              <w:rPr>
                <w:sz w:val="20"/>
                <w:szCs w:val="20"/>
                <w:color w:val="auto"/>
              </w:rPr>
            </w:pPr>
            <w:r>
              <w:rPr>
                <w:rFonts w:ascii="Arial" w:cs="Arial" w:eastAsia="Arial" w:hAnsi="Arial"/>
                <w:sz w:val="16"/>
                <w:szCs w:val="16"/>
                <w:color w:val="auto"/>
              </w:rPr>
              <w:t>24,504,124</w:t>
            </w:r>
          </w:p>
        </w:tc>
      </w:tr>
      <w:tr>
        <w:trPr>
          <w:trHeight w:val="247"/>
        </w:trPr>
        <w:tc>
          <w:tcPr>
            <w:tcW w:w="226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Scott A. Crum</w:t>
            </w:r>
          </w:p>
        </w:tc>
        <w:tc>
          <w:tcPr>
            <w:tcW w:w="1780" w:type="dxa"/>
            <w:vAlign w:val="bottom"/>
            <w:shd w:val="clear" w:color="auto" w:fill="EDF0FC"/>
          </w:tcPr>
          <w:p>
            <w:pPr>
              <w:jc w:val="right"/>
              <w:ind w:right="226"/>
              <w:spacing w:after="0"/>
              <w:rPr>
                <w:sz w:val="20"/>
                <w:szCs w:val="20"/>
                <w:color w:val="auto"/>
              </w:rPr>
            </w:pPr>
            <w:r>
              <w:rPr>
                <w:rFonts w:ascii="Arial" w:cs="Arial" w:eastAsia="Arial" w:hAnsi="Arial"/>
                <w:sz w:val="16"/>
                <w:szCs w:val="16"/>
                <w:color w:val="auto"/>
              </w:rPr>
              <w:t>6,915,848</w:t>
            </w:r>
          </w:p>
        </w:tc>
        <w:tc>
          <w:tcPr>
            <w:tcW w:w="1540" w:type="dxa"/>
            <w:vAlign w:val="bottom"/>
            <w:shd w:val="clear" w:color="auto" w:fill="EDF0FC"/>
          </w:tcPr>
          <w:p>
            <w:pPr>
              <w:jc w:val="right"/>
              <w:ind w:right="186"/>
              <w:spacing w:after="0"/>
              <w:rPr>
                <w:sz w:val="20"/>
                <w:szCs w:val="20"/>
                <w:color w:val="auto"/>
              </w:rPr>
            </w:pPr>
            <w:r>
              <w:rPr>
                <w:rFonts w:ascii="Arial" w:cs="Arial" w:eastAsia="Arial" w:hAnsi="Arial"/>
                <w:sz w:val="16"/>
                <w:szCs w:val="16"/>
                <w:color w:val="auto"/>
              </w:rPr>
              <w:t>6,915,848</w:t>
            </w:r>
          </w:p>
        </w:tc>
        <w:tc>
          <w:tcPr>
            <w:tcW w:w="1320" w:type="dxa"/>
            <w:vAlign w:val="bottom"/>
            <w:shd w:val="clear" w:color="auto" w:fill="EDF0FC"/>
          </w:tcPr>
          <w:p>
            <w:pPr>
              <w:jc w:val="right"/>
              <w:spacing w:after="0"/>
              <w:rPr>
                <w:sz w:val="20"/>
                <w:szCs w:val="20"/>
                <w:color w:val="auto"/>
              </w:rPr>
            </w:pPr>
            <w:r>
              <w:rPr>
                <w:rFonts w:ascii="Arial" w:cs="Arial" w:eastAsia="Arial" w:hAnsi="Arial"/>
                <w:sz w:val="16"/>
                <w:szCs w:val="16"/>
                <w:color w:val="auto"/>
              </w:rPr>
              <w:t>6,915,848</w:t>
            </w:r>
          </w:p>
        </w:tc>
        <w:tc>
          <w:tcPr>
            <w:tcW w:w="1460" w:type="dxa"/>
            <w:vAlign w:val="bottom"/>
            <w:shd w:val="clear" w:color="auto" w:fill="EDF0FC"/>
          </w:tcPr>
          <w:p>
            <w:pPr>
              <w:jc w:val="right"/>
              <w:ind w:right="62"/>
              <w:spacing w:after="0"/>
              <w:rPr>
                <w:sz w:val="20"/>
                <w:szCs w:val="20"/>
                <w:color w:val="auto"/>
              </w:rPr>
            </w:pPr>
            <w:r>
              <w:rPr>
                <w:rFonts w:ascii="Arial" w:cs="Arial" w:eastAsia="Arial" w:hAnsi="Arial"/>
                <w:sz w:val="16"/>
                <w:szCs w:val="16"/>
                <w:color w:val="auto"/>
              </w:rPr>
              <w:t>2,451,327</w:t>
            </w:r>
          </w:p>
        </w:tc>
        <w:tc>
          <w:tcPr>
            <w:tcW w:w="1460" w:type="dxa"/>
            <w:vAlign w:val="bottom"/>
            <w:shd w:val="clear" w:color="auto" w:fill="EDF0FC"/>
          </w:tcPr>
          <w:p>
            <w:pPr>
              <w:jc w:val="right"/>
              <w:ind w:right="287"/>
              <w:spacing w:after="0"/>
              <w:rPr>
                <w:sz w:val="20"/>
                <w:szCs w:val="20"/>
                <w:color w:val="auto"/>
              </w:rPr>
            </w:pPr>
            <w:r>
              <w:rPr>
                <w:rFonts w:ascii="Arial" w:cs="Arial" w:eastAsia="Arial" w:hAnsi="Arial"/>
                <w:sz w:val="16"/>
                <w:szCs w:val="16"/>
                <w:color w:val="auto"/>
              </w:rPr>
              <w:t>77,129</w:t>
            </w:r>
          </w:p>
        </w:tc>
        <w:tc>
          <w:tcPr>
            <w:tcW w:w="1420" w:type="dxa"/>
            <w:vAlign w:val="bottom"/>
            <w:shd w:val="clear" w:color="auto" w:fill="EDF0FC"/>
          </w:tcPr>
          <w:p>
            <w:pPr>
              <w:jc w:val="right"/>
              <w:ind w:right="7"/>
              <w:spacing w:after="0"/>
              <w:rPr>
                <w:sz w:val="20"/>
                <w:szCs w:val="20"/>
                <w:color w:val="auto"/>
              </w:rPr>
            </w:pPr>
            <w:r>
              <w:rPr>
                <w:rFonts w:ascii="Arial" w:cs="Arial" w:eastAsia="Arial" w:hAnsi="Arial"/>
                <w:sz w:val="16"/>
                <w:szCs w:val="16"/>
                <w:color w:val="auto"/>
              </w:rPr>
              <w:t>6,915,848</w:t>
            </w:r>
          </w:p>
        </w:tc>
      </w:tr>
      <w:tr>
        <w:trPr>
          <w:trHeight w:val="239"/>
        </w:trPr>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1A3FD6"/>
              </w:rPr>
              <w:t>Robert J. Gutowski</w:t>
            </w:r>
          </w:p>
        </w:tc>
        <w:tc>
          <w:tcPr>
            <w:tcW w:w="1780" w:type="dxa"/>
            <w:vAlign w:val="bottom"/>
            <w:tcBorders>
              <w:bottom w:val="single" w:sz="8" w:color="auto"/>
            </w:tcBorders>
          </w:tcPr>
          <w:p>
            <w:pPr>
              <w:jc w:val="right"/>
              <w:ind w:right="226"/>
              <w:spacing w:after="0"/>
              <w:rPr>
                <w:sz w:val="20"/>
                <w:szCs w:val="20"/>
                <w:color w:val="auto"/>
              </w:rPr>
            </w:pPr>
            <w:r>
              <w:rPr>
                <w:rFonts w:ascii="Arial" w:cs="Arial" w:eastAsia="Arial" w:hAnsi="Arial"/>
                <w:sz w:val="16"/>
                <w:szCs w:val="16"/>
                <w:color w:val="auto"/>
              </w:rPr>
              <w:t>3,055,831</w:t>
            </w:r>
          </w:p>
        </w:tc>
        <w:tc>
          <w:tcPr>
            <w:tcW w:w="1540" w:type="dxa"/>
            <w:vAlign w:val="bottom"/>
            <w:tcBorders>
              <w:bottom w:val="single" w:sz="8" w:color="auto"/>
            </w:tcBorders>
          </w:tcPr>
          <w:p>
            <w:pPr>
              <w:jc w:val="right"/>
              <w:ind w:right="186"/>
              <w:spacing w:after="0"/>
              <w:rPr>
                <w:sz w:val="20"/>
                <w:szCs w:val="20"/>
                <w:color w:val="auto"/>
              </w:rPr>
            </w:pPr>
            <w:r>
              <w:rPr>
                <w:rFonts w:ascii="Arial" w:cs="Arial" w:eastAsia="Arial" w:hAnsi="Arial"/>
                <w:sz w:val="16"/>
                <w:szCs w:val="16"/>
                <w:color w:val="auto"/>
              </w:rPr>
              <w:t>4,267,671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2,254,800</w:t>
            </w:r>
          </w:p>
        </w:tc>
        <w:tc>
          <w:tcPr>
            <w:tcW w:w="1460" w:type="dxa"/>
            <w:vAlign w:val="bottom"/>
            <w:tcBorders>
              <w:bottom w:val="single" w:sz="8" w:color="auto"/>
            </w:tcBorders>
          </w:tcPr>
          <w:p>
            <w:pPr>
              <w:jc w:val="right"/>
              <w:ind w:right="287"/>
              <w:spacing w:after="0"/>
              <w:rPr>
                <w:sz w:val="20"/>
                <w:szCs w:val="20"/>
                <w:color w:val="auto"/>
              </w:rPr>
            </w:pPr>
            <w:r>
              <w:rPr>
                <w:rFonts w:ascii="Arial" w:cs="Arial" w:eastAsia="Arial" w:hAnsi="Arial"/>
                <w:sz w:val="16"/>
                <w:szCs w:val="16"/>
                <w:color w:val="auto"/>
              </w:rPr>
              <w:t>66,281</w:t>
            </w:r>
          </w:p>
        </w:tc>
        <w:tc>
          <w:tcPr>
            <w:tcW w:w="142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color w:val="auto"/>
              </w:rPr>
              <w:t>4,267,671</w:t>
            </w:r>
          </w:p>
        </w:tc>
      </w:tr>
    </w:tbl>
    <w:p>
      <w:pPr>
        <w:spacing w:after="0" w:line="180" w:lineRule="exact"/>
        <w:rPr>
          <w:sz w:val="20"/>
          <w:szCs w:val="20"/>
          <w:color w:val="auto"/>
        </w:rPr>
      </w:pPr>
    </w:p>
    <w:p>
      <w:pPr>
        <w:ind w:left="200" w:right="100" w:hanging="192"/>
        <w:spacing w:after="0" w:line="303" w:lineRule="auto"/>
        <w:tabs>
          <w:tab w:leader="none" w:pos="187" w:val="left"/>
        </w:tabs>
        <w:numPr>
          <w:ilvl w:val="0"/>
          <w:numId w:val="103"/>
        </w:numPr>
        <w:rPr>
          <w:rFonts w:ascii="Arial" w:cs="Arial" w:eastAsia="Arial" w:hAnsi="Arial"/>
          <w:sz w:val="9"/>
          <w:szCs w:val="9"/>
          <w:color w:val="auto"/>
        </w:rPr>
      </w:pPr>
      <w:r>
        <w:rPr>
          <w:rFonts w:ascii="Arial" w:cs="Arial" w:eastAsia="Arial" w:hAnsi="Arial"/>
          <w:sz w:val="14"/>
          <w:szCs w:val="14"/>
          <w:color w:val="auto"/>
        </w:rPr>
        <w:t>With respect to RSUs or PSUs, values are based on the closing share price of MSCI common stock on December 31, 2024 ($600.01). With respect to PSOs, represents the closing share price of MSCI common stock on December 31, 2024 minus the relevant exercise price times the number of outstanding PSOs for all in-the-money, unvested PSOs as of such date.</w:t>
      </w:r>
    </w:p>
    <w:p>
      <w:pPr>
        <w:spacing w:after="0" w:line="11" w:lineRule="exact"/>
        <w:rPr>
          <w:rFonts w:ascii="Arial" w:cs="Arial" w:eastAsia="Arial" w:hAnsi="Arial"/>
          <w:sz w:val="9"/>
          <w:szCs w:val="9"/>
          <w:color w:val="auto"/>
        </w:rPr>
      </w:pPr>
    </w:p>
    <w:p>
      <w:pPr>
        <w:ind w:left="200" w:right="20" w:hanging="192"/>
        <w:spacing w:after="0" w:line="258" w:lineRule="auto"/>
        <w:tabs>
          <w:tab w:leader="none" w:pos="187"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These amounts represent the values associated with the acceleration of unvested RSUs and payout of PSUs at the target performance level upon a termination of the NEO’s employment due to an involuntary termination without cause (not following a change in control), in each case, pursuant to the terms of the applicable award agreement. The value associated with the acceleration of unvested RSUs and PSUs (assuming payout at the maximum performance level) is $107,446,400 for Mr. Fernandez, $7,536,003 for Mr. Wiechmann, $44,819,983 for Mr. Pettit, $13,251,487 for Mr. Crum and $6,001,860 for Mr. Gutowski.</w:t>
      </w:r>
    </w:p>
    <w:p>
      <w:pPr>
        <w:spacing w:after="0" w:line="42" w:lineRule="exact"/>
        <w:rPr>
          <w:rFonts w:ascii="Arial" w:cs="Arial" w:eastAsia="Arial" w:hAnsi="Arial"/>
          <w:sz w:val="19"/>
          <w:szCs w:val="19"/>
          <w:color w:val="auto"/>
          <w:vertAlign w:val="superscript"/>
        </w:rPr>
      </w:pPr>
    </w:p>
    <w:p>
      <w:pPr>
        <w:ind w:left="200" w:right="40" w:hanging="192"/>
        <w:spacing w:after="0" w:line="296" w:lineRule="auto"/>
        <w:tabs>
          <w:tab w:leader="none" w:pos="187" w:val="left"/>
        </w:tabs>
        <w:numPr>
          <w:ilvl w:val="0"/>
          <w:numId w:val="103"/>
        </w:numPr>
        <w:rPr>
          <w:rFonts w:ascii="Arial" w:cs="Arial" w:eastAsia="Arial" w:hAnsi="Arial"/>
          <w:sz w:val="9"/>
          <w:szCs w:val="9"/>
          <w:color w:val="auto"/>
        </w:rPr>
      </w:pPr>
      <w:r>
        <w:rPr>
          <w:rFonts w:ascii="Arial" w:cs="Arial" w:eastAsia="Arial" w:hAnsi="Arial"/>
          <w:sz w:val="14"/>
          <w:szCs w:val="14"/>
          <w:color w:val="auto"/>
        </w:rPr>
        <w:t>These amounts represent the values associated with the acceleration of unvested RSUs and payout of PSUs at the target performance level upon a termination of the NEO’s employment due to death or disability, in each case, pursuant to the terms of the applicable award agreement. The value associated with the acceleration of unvested RSUs and PSUs (assuming payout at the maximum performance level) is $107,446,400 for Mr. Fernandez, $10,889,632 for Mr. Wiechmann, $54,558,341 for Mr. Pettit, $13,251,487 for Mr. Crum and $8,114,736 for Mr. Gutowski.</w:t>
      </w:r>
    </w:p>
    <w:p>
      <w:pPr>
        <w:spacing w:after="0" w:line="15" w:lineRule="exact"/>
        <w:rPr>
          <w:rFonts w:ascii="Arial" w:cs="Arial" w:eastAsia="Arial" w:hAnsi="Arial"/>
          <w:sz w:val="9"/>
          <w:szCs w:val="9"/>
          <w:color w:val="auto"/>
        </w:rPr>
      </w:pPr>
    </w:p>
    <w:p>
      <w:pPr>
        <w:ind w:left="200" w:right="120" w:hanging="192"/>
        <w:spacing w:after="0" w:line="267" w:lineRule="auto"/>
        <w:tabs>
          <w:tab w:leader="none" w:pos="187"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These amounts represent the values associated with the acceleration of the payout of RSUs, PSUs and PSOs upon a termination of the NEO’s employment due to qualified retirement, pursuant to the terms of the applicable award agreement. With respect to Mr. Fernandez and Mr. Crum, such acceleration is treated in accordance with the provisions applicable to “62/10 Retirement Eligibility,” as detailed above under “—Potential Payments Upon Termination or Change in Control—Equity Acceleration.” With respect to Mr. Pettit, such acceleration is treated as in accordance with the provisions applicable to “55/10 Retirement Eligibility” as detailed above under “—Potential Payments Upon Termination or Change in Control—Equity Acceleration.” The value associated with the acceleration of unvested awards (assuming payout at the maximum performance level) is $107,446,400 for Mr. Fernandez, $44,819,983 for Mr. Pettit and $13,251,487 for Mr. Crum.</w:t>
      </w:r>
    </w:p>
    <w:p>
      <w:pPr>
        <w:spacing w:after="0" w:line="35" w:lineRule="exact"/>
        <w:rPr>
          <w:rFonts w:ascii="Arial" w:cs="Arial" w:eastAsia="Arial" w:hAnsi="Arial"/>
          <w:sz w:val="19"/>
          <w:szCs w:val="19"/>
          <w:color w:val="auto"/>
          <w:vertAlign w:val="superscript"/>
        </w:rPr>
      </w:pPr>
    </w:p>
    <w:p>
      <w:pPr>
        <w:ind w:left="200" w:right="140" w:hanging="192"/>
        <w:spacing w:after="0" w:line="257" w:lineRule="auto"/>
        <w:tabs>
          <w:tab w:leader="none" w:pos="187"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A lump sum cash payment under our CIC Plan equal to the sum of (1) two times the participant’s base salary and (2) two times the participant’s average annual cash bonus (three-year average annual cash bonus). For more information on our CIC Plan and qualifying terminations of employment thereunder, see “—Potential Payments Upon Termination or Change in Control—Change in Control Severance Plan” above.</w:t>
      </w:r>
    </w:p>
    <w:p>
      <w:pPr>
        <w:spacing w:after="0" w:line="28" w:lineRule="exact"/>
        <w:rPr>
          <w:rFonts w:ascii="Arial" w:cs="Arial" w:eastAsia="Arial" w:hAnsi="Arial"/>
          <w:sz w:val="19"/>
          <w:szCs w:val="19"/>
          <w:color w:val="auto"/>
          <w:vertAlign w:val="superscript"/>
        </w:rPr>
      </w:pPr>
    </w:p>
    <w:p>
      <w:pPr>
        <w:jc w:val="both"/>
        <w:ind w:left="200" w:right="140" w:hanging="192"/>
        <w:spacing w:after="0" w:line="296" w:lineRule="auto"/>
        <w:tabs>
          <w:tab w:leader="none" w:pos="187" w:val="left"/>
        </w:tabs>
        <w:numPr>
          <w:ilvl w:val="0"/>
          <w:numId w:val="103"/>
        </w:numPr>
        <w:rPr>
          <w:rFonts w:ascii="Arial" w:cs="Arial" w:eastAsia="Arial" w:hAnsi="Arial"/>
          <w:sz w:val="9"/>
          <w:szCs w:val="9"/>
          <w:color w:val="auto"/>
        </w:rPr>
      </w:pPr>
      <w:r>
        <w:rPr>
          <w:rFonts w:ascii="Arial" w:cs="Arial" w:eastAsia="Arial" w:hAnsi="Arial"/>
          <w:sz w:val="14"/>
          <w:szCs w:val="14"/>
          <w:color w:val="auto"/>
        </w:rPr>
        <w:t>A lump sum cash payment under our CIC Plan equal to 135% of the approximate amount of qualifying health coverage continuation premiums for the participant and his or her eligible dependents for 24 months for the coverage option and level of medical, dental and/or vision coverage in effect for the participant immediately prior to the date of termination (or, in the case of an international participant, equivalent local health benefits). For more information on our CIC Plan and qualifying terminations of employment thereunder, see “Compensation Discussion and Analysis—Potential Payments Upon Termination or Change in Control—Change in Control Severance Plan” above.</w:t>
      </w:r>
    </w:p>
    <w:p>
      <w:pPr>
        <w:spacing w:after="0" w:line="15" w:lineRule="exact"/>
        <w:rPr>
          <w:rFonts w:ascii="Arial" w:cs="Arial" w:eastAsia="Arial" w:hAnsi="Arial"/>
          <w:sz w:val="9"/>
          <w:szCs w:val="9"/>
          <w:color w:val="auto"/>
        </w:rPr>
      </w:pPr>
    </w:p>
    <w:p>
      <w:pPr>
        <w:ind w:left="200" w:right="20" w:hanging="192"/>
        <w:spacing w:after="0" w:line="258" w:lineRule="auto"/>
        <w:tabs>
          <w:tab w:leader="none" w:pos="187"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These amounts represent the values associated with the acceleration of unvested RSUs and payout of PSUs at the target performance level upon a termination of the NEO’s employment by the Company without cause or by the NEO for good reason, in each case, within 24 months following a change in control, pursuant to the terms of the applicable award agreement. The value associated with the acceleration of unvested RSUs and PSUs (assuming payout at the maximum performance level) is $107,446,400 for Mr. Fernandez, $10,889,632 for Mr. Wiechmann, $54,558,341 for Mr. Pettit, $13,251,487 for Mr. Crum and $8,114,736 for Mr. Gutowski.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706120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94" w:name="page95"/>
    <w:bookmarkEnd w:id="94"/>
    <w:p>
      <w:pPr>
        <w:ind w:left="8420"/>
        <w:spacing w:after="0"/>
        <w:tabs>
          <w:tab w:leader="none" w:pos="109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Compensation Matters | MSCI</w:t>
      </w:r>
      <w:r>
        <w:rPr>
          <w:sz w:val="20"/>
          <w:szCs w:val="20"/>
          <w:color w:val="auto"/>
        </w:rPr>
        <w:tab/>
      </w:r>
      <w:r>
        <w:rPr>
          <w:rFonts w:ascii="Arial" w:cs="Arial" w:eastAsia="Arial" w:hAnsi="Arial"/>
          <w:sz w:val="14"/>
          <w:szCs w:val="14"/>
          <w:b w:val="1"/>
          <w:bCs w:val="1"/>
          <w:color w:val="1A3FD6"/>
        </w:rPr>
        <w:t>93</w:t>
      </w:r>
    </w:p>
    <w:p>
      <w:pPr>
        <w:sectPr>
          <w:pgSz w:w="11900" w:h="16838" w:orient="portrait"/>
          <w:cols w:equalWidth="0" w:num="1">
            <w:col w:w="11220"/>
          </w:cols>
          <w:pgMar w:left="320" w:top="2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CEO Pay Ratio</w:t>
      </w:r>
    </w:p>
    <w:p>
      <w:pPr>
        <w:spacing w:after="0" w:line="181"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In accordance with the requirements of Section 953(b) of the Dodd-Frank Act and Item 402(u) of Regulation S-K (collectively, the “Pay Ratio Rule”), we are providing the following estimated information for 2024:</w:t>
      </w:r>
    </w:p>
    <w:p>
      <w:pPr>
        <w:spacing w:after="0" w:line="34" w:lineRule="exact"/>
        <w:rPr>
          <w:sz w:val="20"/>
          <w:szCs w:val="20"/>
          <w:color w:val="auto"/>
        </w:rPr>
      </w:pPr>
    </w:p>
    <w:p>
      <w:pPr>
        <w:ind w:left="200" w:hanging="192"/>
        <w:spacing w:after="0"/>
        <w:tabs>
          <w:tab w:leader="none" w:pos="200" w:val="left"/>
        </w:tabs>
        <w:numPr>
          <w:ilvl w:val="0"/>
          <w:numId w:val="104"/>
        </w:numPr>
        <w:rPr>
          <w:rFonts w:ascii="Arial" w:cs="Arial" w:eastAsia="Arial" w:hAnsi="Arial"/>
          <w:sz w:val="16"/>
          <w:szCs w:val="16"/>
          <w:color w:val="1A3FD6"/>
        </w:rPr>
      </w:pPr>
      <w:r>
        <w:rPr>
          <w:rFonts w:ascii="Arial" w:cs="Arial" w:eastAsia="Arial" w:hAnsi="Arial"/>
          <w:sz w:val="16"/>
          <w:szCs w:val="16"/>
          <w:color w:val="auto"/>
        </w:rPr>
        <w:t>the median of the annual total compensation of all our employees (except our Chief Executive Officer) was $55,751;</w:t>
      </w:r>
    </w:p>
    <w:p>
      <w:pPr>
        <w:spacing w:after="0" w:line="86" w:lineRule="exact"/>
        <w:rPr>
          <w:rFonts w:ascii="Arial" w:cs="Arial" w:eastAsia="Arial" w:hAnsi="Arial"/>
          <w:sz w:val="16"/>
          <w:szCs w:val="16"/>
          <w:color w:val="1A3FD6"/>
        </w:rPr>
      </w:pPr>
    </w:p>
    <w:p>
      <w:pPr>
        <w:ind w:left="200" w:hanging="192"/>
        <w:spacing w:after="0"/>
        <w:tabs>
          <w:tab w:leader="none" w:pos="200" w:val="left"/>
        </w:tabs>
        <w:numPr>
          <w:ilvl w:val="0"/>
          <w:numId w:val="104"/>
        </w:numPr>
        <w:rPr>
          <w:rFonts w:ascii="Arial" w:cs="Arial" w:eastAsia="Arial" w:hAnsi="Arial"/>
          <w:sz w:val="16"/>
          <w:szCs w:val="16"/>
          <w:color w:val="1A3FD6"/>
        </w:rPr>
      </w:pPr>
      <w:r>
        <w:rPr>
          <w:rFonts w:ascii="Arial" w:cs="Arial" w:eastAsia="Arial" w:hAnsi="Arial"/>
          <w:sz w:val="16"/>
          <w:szCs w:val="16"/>
          <w:color w:val="auto"/>
        </w:rPr>
        <w:t>the annual total compensation of our Chief Executive Officer was $15,696,607; and</w:t>
      </w:r>
    </w:p>
    <w:p>
      <w:pPr>
        <w:spacing w:after="0" w:line="86" w:lineRule="exact"/>
        <w:rPr>
          <w:rFonts w:ascii="Arial" w:cs="Arial" w:eastAsia="Arial" w:hAnsi="Arial"/>
          <w:sz w:val="16"/>
          <w:szCs w:val="16"/>
          <w:color w:val="1A3FD6"/>
        </w:rPr>
      </w:pPr>
    </w:p>
    <w:p>
      <w:pPr>
        <w:ind w:left="200" w:hanging="192"/>
        <w:spacing w:after="0" w:line="304" w:lineRule="auto"/>
        <w:tabs>
          <w:tab w:leader="none" w:pos="197" w:val="left"/>
        </w:tabs>
        <w:numPr>
          <w:ilvl w:val="0"/>
          <w:numId w:val="104"/>
        </w:numPr>
        <w:rPr>
          <w:rFonts w:ascii="Arial" w:cs="Arial" w:eastAsia="Arial" w:hAnsi="Arial"/>
          <w:sz w:val="16"/>
          <w:szCs w:val="16"/>
          <w:color w:val="1A3FD6"/>
        </w:rPr>
      </w:pPr>
      <w:r>
        <w:rPr>
          <w:rFonts w:ascii="Arial" w:cs="Arial" w:eastAsia="Arial" w:hAnsi="Arial"/>
          <w:sz w:val="16"/>
          <w:szCs w:val="16"/>
          <w:color w:val="auto"/>
        </w:rPr>
        <w:t>the ratio of these two amounts was 282 to 1. We believe that this ratio is a reasonable estimate calculated in a manner consistent with the requirements of the Pay Ratio Rule.</w:t>
      </w:r>
    </w:p>
    <w:p>
      <w:pPr>
        <w:spacing w:after="0" w:line="60"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SEC rules for identifying the median employee and calculating the pay ratio allow companies to apply various methodologies and apply various assumptions and, as a result, the pay ratio reported by us may not be comparable to the pay ratio reported by other companies.</w:t>
      </w:r>
    </w:p>
    <w:p>
      <w:pPr>
        <w:spacing w:after="0" w:line="5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Methodology for Identifying our “Median Employee”</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1A3FD6"/>
        </w:rPr>
        <w:t>Employee Population</w:t>
      </w:r>
    </w:p>
    <w:p>
      <w:pPr>
        <w:spacing w:after="0" w:line="99"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To identify the median of the annual total compensation of all our employees (other than our Chief Executive Officer), we first identified our total employee population from which we determined our “median employee.” We determined that, as of December 31, 2024, our total employee population consisted of 6,132 individuals (of which 50.0% of MSCI employees were located in the Asia Pacific region, 24.9% in Europe, Middle East and Africa, 17.0% in the United States and Canada, and 8.1% in Mexico and Brazil). Our total employee population consisted of our global workforce of full-time and part-time employees, as described in more detail below.</w:t>
      </w:r>
    </w:p>
    <w:p>
      <w:pPr>
        <w:spacing w:after="0" w:line="66" w:lineRule="exact"/>
        <w:rPr>
          <w:sz w:val="20"/>
          <w:szCs w:val="20"/>
          <w:color w:val="auto"/>
        </w:rPr>
      </w:pPr>
    </w:p>
    <w:p>
      <w:pPr>
        <w:spacing w:after="0"/>
        <w:rPr>
          <w:sz w:val="20"/>
          <w:szCs w:val="20"/>
          <w:color w:val="auto"/>
        </w:rPr>
      </w:pPr>
      <w:r>
        <w:rPr>
          <w:rFonts w:ascii="Arial" w:cs="Arial" w:eastAsia="Arial" w:hAnsi="Arial"/>
          <w:sz w:val="22"/>
          <w:szCs w:val="22"/>
          <w:b w:val="1"/>
          <w:bCs w:val="1"/>
          <w:color w:val="1A3FD6"/>
        </w:rPr>
        <w:t>Determining our Median Employee</w:t>
      </w:r>
    </w:p>
    <w:p>
      <w:pPr>
        <w:spacing w:after="0" w:line="99"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To identify our “median employee” from our total employee population, we compared the amount of base salary plus actual cash bonus paid for 2024. In making this determination, we annualized the compensation of our full-time employees who were hired in 2024 but did not work for us for the entire fiscal year and permanent part-time employees. We identified our “median employee” using this compensation measure, which was consistently applied to all our employees included in the calculation.</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1A3FD6"/>
        </w:rPr>
        <w:t>Our Median Employee</w:t>
      </w:r>
    </w:p>
    <w:p>
      <w:pPr>
        <w:spacing w:after="0" w:line="85" w:lineRule="exact"/>
        <w:rPr>
          <w:sz w:val="20"/>
          <w:szCs w:val="20"/>
          <w:color w:val="auto"/>
        </w:rPr>
      </w:pPr>
    </w:p>
    <w:p>
      <w:pPr>
        <w:ind w:right="360"/>
        <w:spacing w:after="0" w:line="321" w:lineRule="auto"/>
        <w:rPr>
          <w:sz w:val="20"/>
          <w:szCs w:val="20"/>
          <w:color w:val="auto"/>
        </w:rPr>
      </w:pPr>
      <w:r>
        <w:rPr>
          <w:rFonts w:ascii="Arial" w:cs="Arial" w:eastAsia="Arial" w:hAnsi="Arial"/>
          <w:sz w:val="16"/>
          <w:szCs w:val="16"/>
          <w:color w:val="auto"/>
        </w:rPr>
        <w:t>Using the methodologies described above, we determined that our “median employee” was a full-time, salaried employee located in Mumbai, India, with base salary plus actual cash bonus paid for the 12-month period ending December 31, 2024 in the amount of $50,917.</w:t>
      </w:r>
    </w:p>
    <w:p>
      <w:pPr>
        <w:spacing w:after="0" w:line="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Determination of Annual Total Compensation of our “Median Employee” and our CEO</w:t>
      </w:r>
    </w:p>
    <w:p>
      <w:pPr>
        <w:spacing w:after="0" w:line="114" w:lineRule="exact"/>
        <w:rPr>
          <w:sz w:val="20"/>
          <w:szCs w:val="20"/>
          <w:color w:val="auto"/>
        </w:rPr>
      </w:pPr>
    </w:p>
    <w:p>
      <w:pPr>
        <w:jc w:val="both"/>
        <w:ind w:right="140"/>
        <w:spacing w:after="0" w:line="292" w:lineRule="auto"/>
        <w:rPr>
          <w:sz w:val="20"/>
          <w:szCs w:val="20"/>
          <w:color w:val="auto"/>
        </w:rPr>
      </w:pPr>
      <w:r>
        <w:rPr>
          <w:rFonts w:ascii="Arial" w:cs="Arial" w:eastAsia="Arial" w:hAnsi="Arial"/>
          <w:sz w:val="16"/>
          <w:szCs w:val="16"/>
          <w:color w:val="auto"/>
        </w:rPr>
        <w:t>Once we identified our “median employee,” we then calculated such employee’s annual total compensation for 2024 using the same methodology we used for purposes of determining the annual total compensation of our NEOs for 2024 (as set forth in the Summary Compensation Table for 2024 on page 84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type w:val="continuous"/>
        </w:sectPr>
      </w:pPr>
    </w:p>
    <w:bookmarkStart w:id="95" w:name="page96"/>
    <w:bookmarkEnd w:id="95"/>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94</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Pay Versus Performance</w:t>
      </w:r>
    </w:p>
    <w:p>
      <w:pPr>
        <w:spacing w:after="0" w:line="181" w:lineRule="exact"/>
        <w:rPr>
          <w:sz w:val="20"/>
          <w:szCs w:val="20"/>
          <w:color w:val="auto"/>
        </w:rPr>
      </w:pPr>
    </w:p>
    <w:p>
      <w:pPr>
        <w:ind w:right="400"/>
        <w:spacing w:after="0" w:line="289" w:lineRule="auto"/>
        <w:rPr>
          <w:sz w:val="20"/>
          <w:szCs w:val="20"/>
          <w:color w:val="auto"/>
        </w:rPr>
      </w:pPr>
      <w:r>
        <w:rPr>
          <w:rFonts w:ascii="Arial" w:cs="Arial" w:eastAsia="Arial" w:hAnsi="Arial"/>
          <w:sz w:val="16"/>
          <w:szCs w:val="16"/>
          <w:color w:val="auto"/>
        </w:rPr>
        <w:t>The following table sets forth the compensation for our CEO and the average compensation for our other NEOs, both as reported in the Summary Compensation Table on page 84 of this Proxy Statement and with certain adjustments to reflect the “compensation actually paid” to such individuals, as defined under SEC rules, for each of 2024, 2023, 2022, 2021 and 2020. The table also provides information on our cumulative total shareholder return (“TSR”), the cumulative TSR of our peer group, net income and adjusted EPS.</w:t>
      </w:r>
    </w:p>
    <w:p>
      <w:pPr>
        <w:spacing w:after="0" w:line="335" w:lineRule="exact"/>
        <w:rPr>
          <w:sz w:val="20"/>
          <w:szCs w:val="20"/>
          <w:color w:val="auto"/>
        </w:rPr>
      </w:pPr>
    </w:p>
    <w:p>
      <w:pPr>
        <w:ind w:left="20"/>
        <w:spacing w:after="0"/>
        <w:rPr>
          <w:sz w:val="20"/>
          <w:szCs w:val="20"/>
          <w:color w:val="auto"/>
        </w:rPr>
      </w:pPr>
      <w:r>
        <w:rPr>
          <w:rFonts w:ascii="Arial" w:cs="Arial" w:eastAsia="Arial" w:hAnsi="Arial"/>
          <w:sz w:val="20"/>
          <w:szCs w:val="20"/>
          <w:color w:val="1A3FD6"/>
        </w:rPr>
        <w:t>2024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6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rPr>
              <w:t>Average Summary</w:t>
            </w:r>
          </w:p>
        </w:tc>
        <w:tc>
          <w:tcPr>
            <w:tcW w:w="146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rPr>
              <w:t>Average</w:t>
            </w:r>
          </w:p>
        </w:tc>
        <w:tc>
          <w:tcPr>
            <w:tcW w:w="2380" w:type="dxa"/>
            <w:vAlign w:val="bottom"/>
            <w:gridSpan w:val="2"/>
          </w:tcPr>
          <w:p>
            <w:pPr>
              <w:jc w:val="right"/>
              <w:ind w:right="244"/>
              <w:spacing w:after="0"/>
              <w:rPr>
                <w:sz w:val="20"/>
                <w:szCs w:val="20"/>
                <w:color w:val="auto"/>
              </w:rPr>
            </w:pPr>
            <w:r>
              <w:rPr>
                <w:rFonts w:ascii="Arial" w:cs="Arial" w:eastAsia="Arial" w:hAnsi="Arial"/>
                <w:sz w:val="14"/>
                <w:szCs w:val="14"/>
                <w:b w:val="1"/>
                <w:bCs w:val="1"/>
                <w:color w:val="auto"/>
              </w:rPr>
              <w:t>Value of Initial Fixed $100</w:t>
            </w:r>
          </w:p>
        </w:tc>
        <w:tc>
          <w:tcPr>
            <w:tcW w:w="1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6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380" w:type="dxa"/>
            <w:vAlign w:val="bottom"/>
            <w:gridSpan w:val="2"/>
            <w:vMerge w:val="restart"/>
          </w:tcPr>
          <w:p>
            <w:pPr>
              <w:jc w:val="right"/>
              <w:ind w:right="344"/>
              <w:spacing w:after="0"/>
              <w:rPr>
                <w:sz w:val="20"/>
                <w:szCs w:val="20"/>
                <w:color w:val="auto"/>
              </w:rPr>
            </w:pPr>
            <w:r>
              <w:rPr>
                <w:rFonts w:ascii="Arial" w:cs="Arial" w:eastAsia="Arial" w:hAnsi="Arial"/>
                <w:sz w:val="14"/>
                <w:szCs w:val="14"/>
                <w:b w:val="1"/>
                <w:bCs w:val="1"/>
                <w:color w:val="auto"/>
              </w:rPr>
              <w:t>Investment Based On:</w:t>
            </w:r>
          </w:p>
        </w:tc>
        <w:tc>
          <w:tcPr>
            <w:tcW w:w="1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60" w:type="dxa"/>
            <w:vAlign w:val="bottom"/>
          </w:tcPr>
          <w:p>
            <w:pPr>
              <w:jc w:val="right"/>
              <w:ind w:right="124"/>
              <w:spacing w:after="0" w:line="125" w:lineRule="exact"/>
              <w:rPr>
                <w:sz w:val="20"/>
                <w:szCs w:val="20"/>
                <w:color w:val="auto"/>
              </w:rPr>
            </w:pPr>
            <w:r>
              <w:rPr>
                <w:rFonts w:ascii="Arial" w:cs="Arial" w:eastAsia="Arial" w:hAnsi="Arial"/>
                <w:sz w:val="14"/>
                <w:szCs w:val="14"/>
                <w:b w:val="1"/>
                <w:bCs w:val="1"/>
                <w:color w:val="auto"/>
              </w:rPr>
              <w:t>Compensation</w:t>
            </w:r>
          </w:p>
        </w:tc>
        <w:tc>
          <w:tcPr>
            <w:tcW w:w="1460" w:type="dxa"/>
            <w:vAlign w:val="bottom"/>
          </w:tcPr>
          <w:p>
            <w:pPr>
              <w:jc w:val="right"/>
              <w:ind w:right="24"/>
              <w:spacing w:after="0" w:line="125" w:lineRule="exact"/>
              <w:rPr>
                <w:sz w:val="20"/>
                <w:szCs w:val="20"/>
                <w:color w:val="auto"/>
              </w:rPr>
            </w:pPr>
            <w:r>
              <w:rPr>
                <w:rFonts w:ascii="Arial" w:cs="Arial" w:eastAsia="Arial" w:hAnsi="Arial"/>
                <w:sz w:val="14"/>
                <w:szCs w:val="14"/>
                <w:b w:val="1"/>
                <w:bCs w:val="1"/>
                <w:color w:val="auto"/>
              </w:rPr>
              <w:t>Compensation</w:t>
            </w:r>
          </w:p>
        </w:tc>
        <w:tc>
          <w:tcPr>
            <w:tcW w:w="2380" w:type="dxa"/>
            <w:vAlign w:val="bottom"/>
            <w:tcBorders>
              <w:bottom w:val="single" w:sz="8" w:color="1A3FD6"/>
            </w:tcBorders>
            <w:gridSpan w:val="2"/>
            <w:vMerge w:val="continue"/>
          </w:tcPr>
          <w:p>
            <w:pPr>
              <w:spacing w:after="0"/>
              <w:rPr>
                <w:sz w:val="12"/>
                <w:szCs w:val="12"/>
                <w:color w:val="auto"/>
              </w:rPr>
            </w:pPr>
          </w:p>
        </w:tc>
        <w:tc>
          <w:tcPr>
            <w:tcW w:w="1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1460" w:type="dxa"/>
            <w:vAlign w:val="bottom"/>
          </w:tcPr>
          <w:p>
            <w:pPr>
              <w:jc w:val="right"/>
              <w:ind w:right="124"/>
              <w:spacing w:after="0"/>
              <w:rPr>
                <w:sz w:val="20"/>
                <w:szCs w:val="20"/>
                <w:color w:val="auto"/>
              </w:rPr>
            </w:pPr>
            <w:r>
              <w:rPr>
                <w:rFonts w:ascii="Arial" w:cs="Arial" w:eastAsia="Arial" w:hAnsi="Arial"/>
                <w:sz w:val="14"/>
                <w:szCs w:val="14"/>
                <w:b w:val="1"/>
                <w:bCs w:val="1"/>
                <w:color w:val="auto"/>
              </w:rPr>
              <w:t>Summary</w:t>
            </w:r>
          </w:p>
        </w:tc>
        <w:tc>
          <w:tcPr>
            <w:tcW w:w="1400" w:type="dxa"/>
            <w:vAlign w:val="bottom"/>
          </w:tcPr>
          <w:p>
            <w:pPr>
              <w:spacing w:after="0"/>
              <w:rPr>
                <w:sz w:val="16"/>
                <w:szCs w:val="16"/>
                <w:color w:val="auto"/>
              </w:rPr>
            </w:pPr>
          </w:p>
        </w:tc>
        <w:tc>
          <w:tcPr>
            <w:tcW w:w="1660" w:type="dxa"/>
            <w:vAlign w:val="bottom"/>
          </w:tcPr>
          <w:p>
            <w:pPr>
              <w:jc w:val="right"/>
              <w:ind w:right="124"/>
              <w:spacing w:after="0"/>
              <w:rPr>
                <w:sz w:val="20"/>
                <w:szCs w:val="20"/>
                <w:color w:val="auto"/>
              </w:rPr>
            </w:pPr>
            <w:r>
              <w:rPr>
                <w:rFonts w:ascii="Arial" w:cs="Arial" w:eastAsia="Arial" w:hAnsi="Arial"/>
                <w:sz w:val="14"/>
                <w:szCs w:val="14"/>
                <w:b w:val="1"/>
                <w:bCs w:val="1"/>
                <w:color w:val="auto"/>
              </w:rPr>
              <w:t>Table Total</w:t>
            </w:r>
          </w:p>
        </w:tc>
        <w:tc>
          <w:tcPr>
            <w:tcW w:w="1460" w:type="dxa"/>
            <w:vAlign w:val="bottom"/>
          </w:tcPr>
          <w:p>
            <w:pPr>
              <w:jc w:val="right"/>
              <w:ind w:right="24"/>
              <w:spacing w:after="0"/>
              <w:rPr>
                <w:sz w:val="20"/>
                <w:szCs w:val="20"/>
                <w:color w:val="auto"/>
              </w:rPr>
            </w:pPr>
            <w:r>
              <w:rPr>
                <w:rFonts w:ascii="Arial" w:cs="Arial" w:eastAsia="Arial" w:hAnsi="Arial"/>
                <w:sz w:val="14"/>
                <w:szCs w:val="14"/>
                <w:b w:val="1"/>
                <w:bCs w:val="1"/>
                <w:color w:val="auto"/>
              </w:rPr>
              <w:t>Actually Paid to</w:t>
            </w:r>
          </w:p>
        </w:tc>
        <w:tc>
          <w:tcPr>
            <w:tcW w:w="1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Peer Group</w:t>
            </w:r>
          </w:p>
        </w:tc>
        <w:tc>
          <w:tcPr>
            <w:tcW w:w="1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1460" w:type="dxa"/>
            <w:vAlign w:val="bottom"/>
          </w:tcPr>
          <w:p>
            <w:pPr>
              <w:jc w:val="right"/>
              <w:ind w:right="124"/>
              <w:spacing w:after="0"/>
              <w:rPr>
                <w:sz w:val="20"/>
                <w:szCs w:val="20"/>
                <w:color w:val="auto"/>
              </w:rPr>
            </w:pPr>
            <w:r>
              <w:rPr>
                <w:rFonts w:ascii="Arial" w:cs="Arial" w:eastAsia="Arial" w:hAnsi="Arial"/>
                <w:sz w:val="14"/>
                <w:szCs w:val="14"/>
                <w:b w:val="1"/>
                <w:bCs w:val="1"/>
                <w:color w:val="auto"/>
              </w:rPr>
              <w:t>Compensation</w:t>
            </w:r>
          </w:p>
        </w:tc>
        <w:tc>
          <w:tcPr>
            <w:tcW w:w="1400" w:type="dxa"/>
            <w:vAlign w:val="bottom"/>
          </w:tcPr>
          <w:p>
            <w:pPr>
              <w:jc w:val="right"/>
              <w:ind w:right="123"/>
              <w:spacing w:after="0"/>
              <w:rPr>
                <w:sz w:val="20"/>
                <w:szCs w:val="20"/>
                <w:color w:val="auto"/>
              </w:rPr>
            </w:pPr>
            <w:r>
              <w:rPr>
                <w:rFonts w:ascii="Arial" w:cs="Arial" w:eastAsia="Arial" w:hAnsi="Arial"/>
                <w:sz w:val="14"/>
                <w:szCs w:val="14"/>
                <w:b w:val="1"/>
                <w:bCs w:val="1"/>
                <w:color w:val="auto"/>
              </w:rPr>
              <w:t>Compensation</w:t>
            </w:r>
          </w:p>
        </w:tc>
        <w:tc>
          <w:tcPr>
            <w:tcW w:w="1660" w:type="dxa"/>
            <w:vAlign w:val="bottom"/>
          </w:tcPr>
          <w:p>
            <w:pPr>
              <w:jc w:val="right"/>
              <w:ind w:right="124"/>
              <w:spacing w:after="0"/>
              <w:rPr>
                <w:sz w:val="20"/>
                <w:szCs w:val="20"/>
                <w:color w:val="auto"/>
              </w:rPr>
            </w:pPr>
            <w:r>
              <w:rPr>
                <w:rFonts w:ascii="Arial" w:cs="Arial" w:eastAsia="Arial" w:hAnsi="Arial"/>
                <w:sz w:val="14"/>
                <w:szCs w:val="14"/>
                <w:b w:val="1"/>
                <w:bCs w:val="1"/>
                <w:color w:val="auto"/>
              </w:rPr>
              <w:t>for Non-PEO</w:t>
            </w:r>
          </w:p>
        </w:tc>
        <w:tc>
          <w:tcPr>
            <w:tcW w:w="1460" w:type="dxa"/>
            <w:vAlign w:val="bottom"/>
          </w:tcPr>
          <w:p>
            <w:pPr>
              <w:jc w:val="right"/>
              <w:ind w:right="24"/>
              <w:spacing w:after="0"/>
              <w:rPr>
                <w:sz w:val="20"/>
                <w:szCs w:val="20"/>
                <w:color w:val="auto"/>
              </w:rPr>
            </w:pPr>
            <w:r>
              <w:rPr>
                <w:rFonts w:ascii="Arial" w:cs="Arial" w:eastAsia="Arial" w:hAnsi="Arial"/>
                <w:sz w:val="14"/>
                <w:szCs w:val="14"/>
                <w:b w:val="1"/>
                <w:bCs w:val="1"/>
                <w:color w:val="auto"/>
              </w:rPr>
              <w:t>Non-PEO Named</w:t>
            </w:r>
          </w:p>
        </w:tc>
        <w:tc>
          <w:tcPr>
            <w:tcW w:w="1320" w:type="dxa"/>
            <w:vAlign w:val="bottom"/>
          </w:tcPr>
          <w:p>
            <w:pPr>
              <w:jc w:val="right"/>
              <w:ind w:right="104"/>
              <w:spacing w:after="0"/>
              <w:rPr>
                <w:sz w:val="20"/>
                <w:szCs w:val="20"/>
                <w:color w:val="auto"/>
              </w:rPr>
            </w:pPr>
            <w:r>
              <w:rPr>
                <w:rFonts w:ascii="Arial" w:cs="Arial" w:eastAsia="Arial" w:hAnsi="Arial"/>
                <w:sz w:val="14"/>
                <w:szCs w:val="14"/>
                <w:b w:val="1"/>
                <w:bCs w:val="1"/>
                <w:color w:val="auto"/>
              </w:rPr>
              <w:t>Total</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1420" w:type="dxa"/>
            <w:vAlign w:val="bottom"/>
          </w:tcPr>
          <w:p>
            <w:pPr>
              <w:jc w:val="right"/>
              <w:ind w:right="83"/>
              <w:spacing w:after="0"/>
              <w:rPr>
                <w:sz w:val="20"/>
                <w:szCs w:val="20"/>
                <w:color w:val="auto"/>
              </w:rPr>
            </w:pPr>
            <w:r>
              <w:rPr>
                <w:rFonts w:ascii="Arial" w:cs="Arial" w:eastAsia="Arial" w:hAnsi="Arial"/>
                <w:sz w:val="14"/>
                <w:szCs w:val="14"/>
                <w:b w:val="1"/>
                <w:bCs w:val="1"/>
                <w:color w:val="auto"/>
              </w:rPr>
              <w:t>Net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1460" w:type="dxa"/>
            <w:vAlign w:val="bottom"/>
          </w:tcPr>
          <w:p>
            <w:pPr>
              <w:jc w:val="right"/>
              <w:ind w:right="124"/>
              <w:spacing w:after="0"/>
              <w:rPr>
                <w:sz w:val="20"/>
                <w:szCs w:val="20"/>
                <w:color w:val="auto"/>
              </w:rPr>
            </w:pPr>
            <w:r>
              <w:rPr>
                <w:rFonts w:ascii="Arial" w:cs="Arial" w:eastAsia="Arial" w:hAnsi="Arial"/>
                <w:sz w:val="14"/>
                <w:szCs w:val="14"/>
                <w:b w:val="1"/>
                <w:bCs w:val="1"/>
                <w:color w:val="auto"/>
              </w:rPr>
              <w:t>Table Total</w:t>
            </w:r>
          </w:p>
        </w:tc>
        <w:tc>
          <w:tcPr>
            <w:tcW w:w="1400" w:type="dxa"/>
            <w:vAlign w:val="bottom"/>
          </w:tcPr>
          <w:p>
            <w:pPr>
              <w:jc w:val="center"/>
              <w:ind w:left="3"/>
              <w:spacing w:after="0"/>
              <w:rPr>
                <w:sz w:val="20"/>
                <w:szCs w:val="20"/>
                <w:color w:val="auto"/>
              </w:rPr>
            </w:pPr>
            <w:r>
              <w:rPr>
                <w:rFonts w:ascii="Arial" w:cs="Arial" w:eastAsia="Arial" w:hAnsi="Arial"/>
                <w:sz w:val="14"/>
                <w:szCs w:val="14"/>
                <w:b w:val="1"/>
                <w:bCs w:val="1"/>
                <w:color w:val="auto"/>
              </w:rPr>
              <w:t>Actually Paid</w:t>
            </w:r>
          </w:p>
        </w:tc>
        <w:tc>
          <w:tcPr>
            <w:tcW w:w="1660" w:type="dxa"/>
            <w:vAlign w:val="bottom"/>
          </w:tcPr>
          <w:p>
            <w:pPr>
              <w:jc w:val="right"/>
              <w:ind w:right="124"/>
              <w:spacing w:after="0"/>
              <w:rPr>
                <w:sz w:val="20"/>
                <w:szCs w:val="20"/>
                <w:color w:val="auto"/>
              </w:rPr>
            </w:pPr>
            <w:r>
              <w:rPr>
                <w:rFonts w:ascii="Arial" w:cs="Arial" w:eastAsia="Arial" w:hAnsi="Arial"/>
                <w:sz w:val="14"/>
                <w:szCs w:val="14"/>
                <w:b w:val="1"/>
                <w:bCs w:val="1"/>
                <w:color w:val="auto"/>
              </w:rPr>
              <w:t>Named Executive</w:t>
            </w:r>
          </w:p>
        </w:tc>
        <w:tc>
          <w:tcPr>
            <w:tcW w:w="1460" w:type="dxa"/>
            <w:vAlign w:val="bottom"/>
          </w:tcPr>
          <w:p>
            <w:pPr>
              <w:jc w:val="right"/>
              <w:ind w:right="24"/>
              <w:spacing w:after="0"/>
              <w:rPr>
                <w:sz w:val="20"/>
                <w:szCs w:val="20"/>
                <w:color w:val="auto"/>
              </w:rPr>
            </w:pPr>
            <w:r>
              <w:rPr>
                <w:rFonts w:ascii="Arial" w:cs="Arial" w:eastAsia="Arial" w:hAnsi="Arial"/>
                <w:sz w:val="14"/>
                <w:szCs w:val="14"/>
                <w:b w:val="1"/>
                <w:bCs w:val="1"/>
                <w:color w:val="auto"/>
              </w:rPr>
              <w:t>Executive</w:t>
            </w:r>
          </w:p>
        </w:tc>
        <w:tc>
          <w:tcPr>
            <w:tcW w:w="1320" w:type="dxa"/>
            <w:vAlign w:val="bottom"/>
          </w:tcPr>
          <w:p>
            <w:pPr>
              <w:jc w:val="right"/>
              <w:ind w:right="104"/>
              <w:spacing w:after="0"/>
              <w:rPr>
                <w:sz w:val="20"/>
                <w:szCs w:val="20"/>
                <w:color w:val="auto"/>
              </w:rPr>
            </w:pPr>
            <w:r>
              <w:rPr>
                <w:rFonts w:ascii="Arial" w:cs="Arial" w:eastAsia="Arial" w:hAnsi="Arial"/>
                <w:sz w:val="14"/>
                <w:szCs w:val="14"/>
                <w:b w:val="1"/>
                <w:bCs w:val="1"/>
                <w:color w:val="auto"/>
              </w:rPr>
              <w:t>Shareholder</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Shareholder</w:t>
            </w:r>
          </w:p>
        </w:tc>
        <w:tc>
          <w:tcPr>
            <w:tcW w:w="1420" w:type="dxa"/>
            <w:vAlign w:val="bottom"/>
          </w:tcPr>
          <w:p>
            <w:pPr>
              <w:jc w:val="right"/>
              <w:ind w:right="83"/>
              <w:spacing w:after="0"/>
              <w:rPr>
                <w:sz w:val="20"/>
                <w:szCs w:val="20"/>
                <w:color w:val="auto"/>
              </w:rPr>
            </w:pPr>
            <w:r>
              <w:rPr>
                <w:rFonts w:ascii="Arial" w:cs="Arial" w:eastAsia="Arial" w:hAnsi="Arial"/>
                <w:sz w:val="14"/>
                <w:szCs w:val="14"/>
                <w:b w:val="1"/>
                <w:bCs w:val="1"/>
                <w:color w:val="auto"/>
              </w:rPr>
              <w:t>Income (in</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78"/>
        </w:trPr>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1460" w:type="dxa"/>
            <w:vAlign w:val="bottom"/>
          </w:tcPr>
          <w:p>
            <w:pPr>
              <w:jc w:val="right"/>
              <w:ind w:right="124"/>
              <w:spacing w:after="0" w:line="178" w:lineRule="exact"/>
              <w:rPr>
                <w:sz w:val="20"/>
                <w:szCs w:val="20"/>
                <w:color w:val="auto"/>
              </w:rPr>
            </w:pPr>
            <w:r>
              <w:rPr>
                <w:rFonts w:ascii="Arial" w:cs="Arial" w:eastAsia="Arial" w:hAnsi="Arial"/>
                <w:sz w:val="14"/>
                <w:szCs w:val="14"/>
                <w:b w:val="1"/>
                <w:bCs w:val="1"/>
                <w:color w:val="auto"/>
              </w:rPr>
              <w:t>for PEO</w:t>
            </w:r>
            <w:r>
              <w:rPr>
                <w:rFonts w:ascii="Arial" w:cs="Arial" w:eastAsia="Arial" w:hAnsi="Arial"/>
                <w:sz w:val="18"/>
                <w:szCs w:val="18"/>
                <w:b w:val="1"/>
                <w:bCs w:val="1"/>
                <w:color w:val="auto"/>
                <w:vertAlign w:val="superscript"/>
              </w:rPr>
              <w:t>(1)</w:t>
            </w:r>
          </w:p>
        </w:tc>
        <w:tc>
          <w:tcPr>
            <w:tcW w:w="1400" w:type="dxa"/>
            <w:vAlign w:val="bottom"/>
          </w:tcPr>
          <w:p>
            <w:pPr>
              <w:jc w:val="right"/>
              <w:ind w:right="123"/>
              <w:spacing w:after="0" w:line="178" w:lineRule="exact"/>
              <w:rPr>
                <w:sz w:val="20"/>
                <w:szCs w:val="20"/>
                <w:color w:val="auto"/>
              </w:rPr>
            </w:pPr>
            <w:r>
              <w:rPr>
                <w:rFonts w:ascii="Arial" w:cs="Arial" w:eastAsia="Arial" w:hAnsi="Arial"/>
                <w:sz w:val="14"/>
                <w:szCs w:val="14"/>
                <w:b w:val="1"/>
                <w:bCs w:val="1"/>
                <w:color w:val="auto"/>
              </w:rPr>
              <w:t>to PEO</w:t>
            </w:r>
            <w:r>
              <w:rPr>
                <w:rFonts w:ascii="Arial" w:cs="Arial" w:eastAsia="Arial" w:hAnsi="Arial"/>
                <w:sz w:val="18"/>
                <w:szCs w:val="18"/>
                <w:b w:val="1"/>
                <w:bCs w:val="1"/>
                <w:color w:val="auto"/>
                <w:vertAlign w:val="superscript"/>
              </w:rPr>
              <w:t>(2)</w:t>
            </w:r>
          </w:p>
        </w:tc>
        <w:tc>
          <w:tcPr>
            <w:tcW w:w="1660" w:type="dxa"/>
            <w:vAlign w:val="bottom"/>
          </w:tcPr>
          <w:p>
            <w:pPr>
              <w:jc w:val="right"/>
              <w:ind w:right="124"/>
              <w:spacing w:after="0" w:line="178" w:lineRule="exact"/>
              <w:rPr>
                <w:sz w:val="20"/>
                <w:szCs w:val="20"/>
                <w:color w:val="auto"/>
              </w:rPr>
            </w:pPr>
            <w:r>
              <w:rPr>
                <w:rFonts w:ascii="Arial" w:cs="Arial" w:eastAsia="Arial" w:hAnsi="Arial"/>
                <w:sz w:val="14"/>
                <w:szCs w:val="14"/>
                <w:b w:val="1"/>
                <w:bCs w:val="1"/>
                <w:color w:val="auto"/>
              </w:rPr>
              <w:t>Officers</w:t>
            </w:r>
            <w:r>
              <w:rPr>
                <w:rFonts w:ascii="Arial" w:cs="Arial" w:eastAsia="Arial" w:hAnsi="Arial"/>
                <w:sz w:val="18"/>
                <w:szCs w:val="18"/>
                <w:b w:val="1"/>
                <w:bCs w:val="1"/>
                <w:color w:val="auto"/>
                <w:vertAlign w:val="superscript"/>
              </w:rPr>
              <w:t>(1)</w:t>
            </w:r>
          </w:p>
        </w:tc>
        <w:tc>
          <w:tcPr>
            <w:tcW w:w="1460" w:type="dxa"/>
            <w:vAlign w:val="bottom"/>
          </w:tcPr>
          <w:p>
            <w:pPr>
              <w:jc w:val="right"/>
              <w:ind w:right="24"/>
              <w:spacing w:after="0" w:line="178" w:lineRule="exact"/>
              <w:rPr>
                <w:sz w:val="20"/>
                <w:szCs w:val="20"/>
                <w:color w:val="auto"/>
              </w:rPr>
            </w:pPr>
            <w:r>
              <w:rPr>
                <w:rFonts w:ascii="Arial" w:cs="Arial" w:eastAsia="Arial" w:hAnsi="Arial"/>
                <w:sz w:val="14"/>
                <w:szCs w:val="14"/>
                <w:b w:val="1"/>
                <w:bCs w:val="1"/>
                <w:color w:val="auto"/>
              </w:rPr>
              <w:t>Officers</w:t>
            </w:r>
            <w:r>
              <w:rPr>
                <w:rFonts w:ascii="Arial" w:cs="Arial" w:eastAsia="Arial" w:hAnsi="Arial"/>
                <w:sz w:val="18"/>
                <w:szCs w:val="18"/>
                <w:b w:val="1"/>
                <w:bCs w:val="1"/>
                <w:color w:val="auto"/>
                <w:vertAlign w:val="superscript"/>
              </w:rPr>
              <w:t>(2)</w:t>
            </w:r>
          </w:p>
        </w:tc>
        <w:tc>
          <w:tcPr>
            <w:tcW w:w="1320" w:type="dxa"/>
            <w:vAlign w:val="bottom"/>
          </w:tcPr>
          <w:p>
            <w:pPr>
              <w:jc w:val="right"/>
              <w:ind w:right="104"/>
              <w:spacing w:after="0" w:line="178" w:lineRule="exact"/>
              <w:rPr>
                <w:sz w:val="20"/>
                <w:szCs w:val="20"/>
                <w:color w:val="auto"/>
              </w:rPr>
            </w:pPr>
            <w:r>
              <w:rPr>
                <w:rFonts w:ascii="Arial" w:cs="Arial" w:eastAsia="Arial" w:hAnsi="Arial"/>
                <w:sz w:val="14"/>
                <w:szCs w:val="14"/>
                <w:b w:val="1"/>
                <w:bCs w:val="1"/>
                <w:color w:val="auto"/>
              </w:rPr>
              <w:t>Return</w:t>
            </w:r>
            <w:r>
              <w:rPr>
                <w:rFonts w:ascii="Arial" w:cs="Arial" w:eastAsia="Arial" w:hAnsi="Arial"/>
                <w:sz w:val="18"/>
                <w:szCs w:val="18"/>
                <w:b w:val="1"/>
                <w:bCs w:val="1"/>
                <w:color w:val="auto"/>
                <w:vertAlign w:val="superscript"/>
              </w:rPr>
              <w:t>(3)</w:t>
            </w:r>
          </w:p>
        </w:tc>
        <w:tc>
          <w:tcPr>
            <w:tcW w:w="1060" w:type="dxa"/>
            <w:vAlign w:val="bottom"/>
          </w:tcPr>
          <w:p>
            <w:pPr>
              <w:jc w:val="right"/>
              <w:spacing w:after="0" w:line="178" w:lineRule="exact"/>
              <w:rPr>
                <w:sz w:val="20"/>
                <w:szCs w:val="20"/>
                <w:color w:val="auto"/>
              </w:rPr>
            </w:pPr>
            <w:r>
              <w:rPr>
                <w:rFonts w:ascii="Arial" w:cs="Arial" w:eastAsia="Arial" w:hAnsi="Arial"/>
                <w:sz w:val="14"/>
                <w:szCs w:val="14"/>
                <w:b w:val="1"/>
                <w:bCs w:val="1"/>
                <w:color w:val="auto"/>
              </w:rPr>
              <w:t>Return</w:t>
            </w:r>
            <w:r>
              <w:rPr>
                <w:rFonts w:ascii="Arial" w:cs="Arial" w:eastAsia="Arial" w:hAnsi="Arial"/>
                <w:sz w:val="18"/>
                <w:szCs w:val="18"/>
                <w:b w:val="1"/>
                <w:bCs w:val="1"/>
                <w:color w:val="auto"/>
                <w:vertAlign w:val="superscript"/>
              </w:rPr>
              <w:t>(3)</w:t>
            </w:r>
          </w:p>
        </w:tc>
        <w:tc>
          <w:tcPr>
            <w:tcW w:w="1420" w:type="dxa"/>
            <w:vAlign w:val="bottom"/>
          </w:tcPr>
          <w:p>
            <w:pPr>
              <w:jc w:val="right"/>
              <w:ind w:right="83"/>
              <w:spacing w:after="0" w:line="178" w:lineRule="exact"/>
              <w:rPr>
                <w:sz w:val="20"/>
                <w:szCs w:val="20"/>
                <w:color w:val="auto"/>
              </w:rPr>
            </w:pPr>
            <w:r>
              <w:rPr>
                <w:rFonts w:ascii="Arial" w:cs="Arial" w:eastAsia="Arial" w:hAnsi="Arial"/>
                <w:sz w:val="14"/>
                <w:szCs w:val="14"/>
                <w:b w:val="1"/>
                <w:bCs w:val="1"/>
                <w:color w:val="auto"/>
              </w:rPr>
              <w:t>Thousands)</w:t>
            </w:r>
            <w:r>
              <w:rPr>
                <w:rFonts w:ascii="Arial" w:cs="Arial" w:eastAsia="Arial" w:hAnsi="Arial"/>
                <w:sz w:val="18"/>
                <w:szCs w:val="18"/>
                <w:b w:val="1"/>
                <w:bCs w:val="1"/>
                <w:color w:val="auto"/>
                <w:vertAlign w:val="superscript"/>
              </w:rPr>
              <w:t>(4)</w:t>
            </w:r>
          </w:p>
        </w:tc>
        <w:tc>
          <w:tcPr>
            <w:tcW w:w="800" w:type="dxa"/>
            <w:vAlign w:val="bottom"/>
          </w:tcPr>
          <w:p>
            <w:pPr>
              <w:jc w:val="right"/>
              <w:spacing w:after="0" w:line="178" w:lineRule="exact"/>
              <w:rPr>
                <w:sz w:val="20"/>
                <w:szCs w:val="20"/>
                <w:color w:val="auto"/>
              </w:rPr>
            </w:pPr>
            <w:r>
              <w:rPr>
                <w:rFonts w:ascii="Arial" w:cs="Arial" w:eastAsia="Arial" w:hAnsi="Arial"/>
                <w:sz w:val="14"/>
                <w:szCs w:val="14"/>
                <w:b w:val="1"/>
                <w:bCs w:val="1"/>
                <w:color w:val="auto"/>
              </w:rPr>
              <w:t>EPS</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211"/>
        </w:trPr>
        <w:tc>
          <w:tcPr>
            <w:tcW w:w="66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(a)</w:t>
            </w:r>
          </w:p>
        </w:tc>
        <w:tc>
          <w:tcPr>
            <w:tcW w:w="1460" w:type="dxa"/>
            <w:vAlign w:val="bottom"/>
            <w:tcBorders>
              <w:bottom w:val="single" w:sz="8" w:color="1A3FD6"/>
            </w:tcBorders>
          </w:tcPr>
          <w:p>
            <w:pPr>
              <w:jc w:val="right"/>
              <w:ind w:right="124"/>
              <w:spacing w:after="0"/>
              <w:rPr>
                <w:sz w:val="20"/>
                <w:szCs w:val="20"/>
                <w:color w:val="auto"/>
              </w:rPr>
            </w:pPr>
            <w:r>
              <w:rPr>
                <w:rFonts w:ascii="Arial" w:cs="Arial" w:eastAsia="Arial" w:hAnsi="Arial"/>
                <w:sz w:val="14"/>
                <w:szCs w:val="14"/>
                <w:b w:val="1"/>
                <w:bCs w:val="1"/>
                <w:color w:val="auto"/>
              </w:rPr>
              <w:t>($) (b)</w:t>
            </w:r>
          </w:p>
        </w:tc>
        <w:tc>
          <w:tcPr>
            <w:tcW w:w="1400" w:type="dxa"/>
            <w:vAlign w:val="bottom"/>
            <w:tcBorders>
              <w:bottom w:val="single" w:sz="8" w:color="1A3FD6"/>
            </w:tcBorders>
          </w:tcPr>
          <w:p>
            <w:pPr>
              <w:jc w:val="right"/>
              <w:ind w:right="123"/>
              <w:spacing w:after="0"/>
              <w:rPr>
                <w:sz w:val="20"/>
                <w:szCs w:val="20"/>
                <w:color w:val="auto"/>
              </w:rPr>
            </w:pPr>
            <w:r>
              <w:rPr>
                <w:rFonts w:ascii="Arial" w:cs="Arial" w:eastAsia="Arial" w:hAnsi="Arial"/>
                <w:sz w:val="14"/>
                <w:szCs w:val="14"/>
                <w:b w:val="1"/>
                <w:bCs w:val="1"/>
                <w:color w:val="auto"/>
              </w:rPr>
              <w:t>($) (c)</w:t>
            </w:r>
          </w:p>
        </w:tc>
        <w:tc>
          <w:tcPr>
            <w:tcW w:w="1660" w:type="dxa"/>
            <w:vAlign w:val="bottom"/>
            <w:tcBorders>
              <w:bottom w:val="single" w:sz="8" w:color="1A3FD6"/>
            </w:tcBorders>
          </w:tcPr>
          <w:p>
            <w:pPr>
              <w:jc w:val="right"/>
              <w:ind w:right="124"/>
              <w:spacing w:after="0"/>
              <w:rPr>
                <w:sz w:val="20"/>
                <w:szCs w:val="20"/>
                <w:color w:val="auto"/>
              </w:rPr>
            </w:pPr>
            <w:r>
              <w:rPr>
                <w:rFonts w:ascii="Arial" w:cs="Arial" w:eastAsia="Arial" w:hAnsi="Arial"/>
                <w:sz w:val="14"/>
                <w:szCs w:val="14"/>
                <w:b w:val="1"/>
                <w:bCs w:val="1"/>
                <w:color w:val="auto"/>
              </w:rPr>
              <w:t>($) (d)</w:t>
            </w:r>
          </w:p>
        </w:tc>
        <w:tc>
          <w:tcPr>
            <w:tcW w:w="1460" w:type="dxa"/>
            <w:vAlign w:val="bottom"/>
            <w:tcBorders>
              <w:bottom w:val="single" w:sz="8" w:color="1A3FD6"/>
            </w:tcBorders>
          </w:tcPr>
          <w:p>
            <w:pPr>
              <w:jc w:val="right"/>
              <w:ind w:right="24"/>
              <w:spacing w:after="0"/>
              <w:rPr>
                <w:sz w:val="20"/>
                <w:szCs w:val="20"/>
                <w:color w:val="auto"/>
              </w:rPr>
            </w:pPr>
            <w:r>
              <w:rPr>
                <w:rFonts w:ascii="Arial" w:cs="Arial" w:eastAsia="Arial" w:hAnsi="Arial"/>
                <w:sz w:val="14"/>
                <w:szCs w:val="14"/>
                <w:b w:val="1"/>
                <w:bCs w:val="1"/>
                <w:color w:val="auto"/>
              </w:rPr>
              <w:t>($) (e)</w:t>
            </w:r>
          </w:p>
        </w:tc>
        <w:tc>
          <w:tcPr>
            <w:tcW w:w="1320" w:type="dxa"/>
            <w:vAlign w:val="bottom"/>
            <w:tcBorders>
              <w:bottom w:val="single" w:sz="8" w:color="1A3FD6"/>
            </w:tcBorders>
          </w:tcPr>
          <w:p>
            <w:pPr>
              <w:jc w:val="right"/>
              <w:ind w:right="104"/>
              <w:spacing w:after="0"/>
              <w:rPr>
                <w:sz w:val="20"/>
                <w:szCs w:val="20"/>
                <w:color w:val="auto"/>
              </w:rPr>
            </w:pPr>
            <w:r>
              <w:rPr>
                <w:rFonts w:ascii="Arial" w:cs="Arial" w:eastAsia="Arial" w:hAnsi="Arial"/>
                <w:sz w:val="14"/>
                <w:szCs w:val="14"/>
                <w:b w:val="1"/>
                <w:bCs w:val="1"/>
                <w:color w:val="auto"/>
              </w:rPr>
              <w:t>($) (f)</w:t>
            </w:r>
          </w:p>
        </w:tc>
        <w:tc>
          <w:tcPr>
            <w:tcW w:w="106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 (g)</w:t>
            </w:r>
          </w:p>
        </w:tc>
        <w:tc>
          <w:tcPr>
            <w:tcW w:w="1420" w:type="dxa"/>
            <w:vAlign w:val="bottom"/>
            <w:tcBorders>
              <w:bottom w:val="single" w:sz="8" w:color="1A3FD6"/>
            </w:tcBorders>
          </w:tcPr>
          <w:p>
            <w:pPr>
              <w:jc w:val="right"/>
              <w:ind w:right="83"/>
              <w:spacing w:after="0"/>
              <w:rPr>
                <w:sz w:val="20"/>
                <w:szCs w:val="20"/>
                <w:color w:val="auto"/>
              </w:rPr>
            </w:pPr>
            <w:r>
              <w:rPr>
                <w:rFonts w:ascii="Arial" w:cs="Arial" w:eastAsia="Arial" w:hAnsi="Arial"/>
                <w:sz w:val="14"/>
                <w:szCs w:val="14"/>
                <w:b w:val="1"/>
                <w:bCs w:val="1"/>
                <w:color w:val="auto"/>
              </w:rPr>
              <w:t>($) (h)</w:t>
            </w:r>
          </w:p>
        </w:tc>
        <w:tc>
          <w:tcPr>
            <w:tcW w:w="80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 (i)</w:t>
            </w:r>
          </w:p>
        </w:tc>
        <w:tc>
          <w:tcPr>
            <w:tcW w:w="0" w:type="dxa"/>
            <w:vAlign w:val="bottom"/>
          </w:tcPr>
          <w:p>
            <w:pPr>
              <w:spacing w:after="0"/>
              <w:rPr>
                <w:sz w:val="1"/>
                <w:szCs w:val="1"/>
                <w:color w:val="auto"/>
              </w:rPr>
            </w:pPr>
          </w:p>
        </w:tc>
      </w:tr>
      <w:tr>
        <w:trPr>
          <w:trHeight w:val="230"/>
        </w:trPr>
        <w:tc>
          <w:tcPr>
            <w:tcW w:w="660" w:type="dxa"/>
            <w:vAlign w:val="bottom"/>
          </w:tcPr>
          <w:p>
            <w:pPr>
              <w:ind w:left="20"/>
              <w:spacing w:after="0"/>
              <w:rPr>
                <w:sz w:val="20"/>
                <w:szCs w:val="20"/>
                <w:color w:val="auto"/>
              </w:rPr>
            </w:pPr>
            <w:r>
              <w:rPr>
                <w:rFonts w:ascii="Arial" w:cs="Arial" w:eastAsia="Arial" w:hAnsi="Arial"/>
                <w:sz w:val="16"/>
                <w:szCs w:val="16"/>
                <w:color w:val="auto"/>
              </w:rPr>
              <w:t>2024</w:t>
            </w:r>
          </w:p>
        </w:tc>
        <w:tc>
          <w:tcPr>
            <w:tcW w:w="1460" w:type="dxa"/>
            <w:vAlign w:val="bottom"/>
          </w:tcPr>
          <w:p>
            <w:pPr>
              <w:jc w:val="right"/>
              <w:ind w:right="184"/>
              <w:spacing w:after="0"/>
              <w:rPr>
                <w:sz w:val="20"/>
                <w:szCs w:val="20"/>
                <w:color w:val="auto"/>
              </w:rPr>
            </w:pPr>
            <w:r>
              <w:rPr>
                <w:rFonts w:ascii="Arial" w:cs="Arial" w:eastAsia="Arial" w:hAnsi="Arial"/>
                <w:sz w:val="16"/>
                <w:szCs w:val="16"/>
                <w:color w:val="auto"/>
              </w:rPr>
              <w:t>15,696,607</w:t>
            </w:r>
          </w:p>
        </w:tc>
        <w:tc>
          <w:tcPr>
            <w:tcW w:w="1400" w:type="dxa"/>
            <w:vAlign w:val="bottom"/>
          </w:tcPr>
          <w:p>
            <w:pPr>
              <w:jc w:val="center"/>
              <w:spacing w:after="0"/>
              <w:rPr>
                <w:sz w:val="20"/>
                <w:szCs w:val="20"/>
                <w:color w:val="auto"/>
              </w:rPr>
            </w:pPr>
            <w:r>
              <w:rPr>
                <w:rFonts w:ascii="Arial" w:cs="Arial" w:eastAsia="Arial" w:hAnsi="Arial"/>
                <w:sz w:val="16"/>
                <w:szCs w:val="16"/>
                <w:color w:val="auto"/>
              </w:rPr>
              <w:t>17,879,415</w:t>
            </w:r>
          </w:p>
        </w:tc>
        <w:tc>
          <w:tcPr>
            <w:tcW w:w="1660" w:type="dxa"/>
            <w:vAlign w:val="bottom"/>
          </w:tcPr>
          <w:p>
            <w:pPr>
              <w:jc w:val="right"/>
              <w:ind w:right="184"/>
              <w:spacing w:after="0"/>
              <w:rPr>
                <w:sz w:val="20"/>
                <w:szCs w:val="20"/>
                <w:color w:val="auto"/>
              </w:rPr>
            </w:pPr>
            <w:r>
              <w:rPr>
                <w:rFonts w:ascii="Arial" w:cs="Arial" w:eastAsia="Arial" w:hAnsi="Arial"/>
                <w:sz w:val="16"/>
                <w:szCs w:val="16"/>
                <w:color w:val="auto"/>
              </w:rPr>
              <w:t>4,765,696</w:t>
            </w:r>
          </w:p>
        </w:tc>
        <w:tc>
          <w:tcPr>
            <w:tcW w:w="1460" w:type="dxa"/>
            <w:vAlign w:val="bottom"/>
          </w:tcPr>
          <w:p>
            <w:pPr>
              <w:jc w:val="right"/>
              <w:ind w:right="84"/>
              <w:spacing w:after="0"/>
              <w:rPr>
                <w:sz w:val="20"/>
                <w:szCs w:val="20"/>
                <w:color w:val="auto"/>
              </w:rPr>
            </w:pPr>
            <w:r>
              <w:rPr>
                <w:rFonts w:ascii="Arial" w:cs="Arial" w:eastAsia="Arial" w:hAnsi="Arial"/>
                <w:sz w:val="16"/>
                <w:szCs w:val="16"/>
                <w:color w:val="auto"/>
              </w:rPr>
              <w:t>4,657,379</w:t>
            </w:r>
          </w:p>
        </w:tc>
        <w:tc>
          <w:tcPr>
            <w:tcW w:w="1320" w:type="dxa"/>
            <w:vAlign w:val="bottom"/>
          </w:tcPr>
          <w:p>
            <w:pPr>
              <w:jc w:val="right"/>
              <w:ind w:right="164"/>
              <w:spacing w:after="0"/>
              <w:rPr>
                <w:sz w:val="20"/>
                <w:szCs w:val="20"/>
                <w:color w:val="auto"/>
              </w:rPr>
            </w:pPr>
            <w:r>
              <w:rPr>
                <w:rFonts w:ascii="Arial" w:cs="Arial" w:eastAsia="Arial" w:hAnsi="Arial"/>
                <w:sz w:val="16"/>
                <w:szCs w:val="16"/>
                <w:color w:val="auto"/>
              </w:rPr>
              <w:t>243.6</w:t>
            </w: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176.4</w:t>
            </w:r>
          </w:p>
        </w:tc>
        <w:tc>
          <w:tcPr>
            <w:tcW w:w="1420" w:type="dxa"/>
            <w:vAlign w:val="bottom"/>
          </w:tcPr>
          <w:p>
            <w:pPr>
              <w:jc w:val="right"/>
              <w:ind w:right="143"/>
              <w:spacing w:after="0"/>
              <w:rPr>
                <w:sz w:val="20"/>
                <w:szCs w:val="20"/>
                <w:color w:val="auto"/>
              </w:rPr>
            </w:pPr>
            <w:r>
              <w:rPr>
                <w:rFonts w:ascii="Arial" w:cs="Arial" w:eastAsia="Arial" w:hAnsi="Arial"/>
                <w:sz w:val="16"/>
                <w:szCs w:val="16"/>
                <w:color w:val="auto"/>
              </w:rPr>
              <w:t>1,109,128</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15.20</w:t>
            </w:r>
          </w:p>
        </w:tc>
        <w:tc>
          <w:tcPr>
            <w:tcW w:w="0" w:type="dxa"/>
            <w:vAlign w:val="bottom"/>
          </w:tcPr>
          <w:p>
            <w:pPr>
              <w:spacing w:after="0"/>
              <w:rPr>
                <w:sz w:val="1"/>
                <w:szCs w:val="1"/>
                <w:color w:val="auto"/>
              </w:rPr>
            </w:pPr>
          </w:p>
        </w:tc>
      </w:tr>
      <w:tr>
        <w:trPr>
          <w:trHeight w:val="251"/>
        </w:trPr>
        <w:tc>
          <w:tcPr>
            <w:tcW w:w="660" w:type="dxa"/>
            <w:vAlign w:val="bottom"/>
            <w:shd w:val="clear" w:color="auto" w:fill="EDF0FC"/>
          </w:tcPr>
          <w:p>
            <w:pPr>
              <w:ind w:left="20"/>
              <w:spacing w:after="0"/>
              <w:rPr>
                <w:sz w:val="20"/>
                <w:szCs w:val="20"/>
                <w:color w:val="auto"/>
              </w:rPr>
            </w:pPr>
            <w:r>
              <w:rPr>
                <w:rFonts w:ascii="Arial" w:cs="Arial" w:eastAsia="Arial" w:hAnsi="Arial"/>
                <w:sz w:val="16"/>
                <w:szCs w:val="16"/>
                <w:color w:val="auto"/>
              </w:rPr>
              <w:t>2023</w:t>
            </w:r>
          </w:p>
        </w:tc>
        <w:tc>
          <w:tcPr>
            <w:tcW w:w="1460" w:type="dxa"/>
            <w:vAlign w:val="bottom"/>
            <w:shd w:val="clear" w:color="auto" w:fill="EDF0FC"/>
          </w:tcPr>
          <w:p>
            <w:pPr>
              <w:jc w:val="right"/>
              <w:ind w:right="184"/>
              <w:spacing w:after="0"/>
              <w:rPr>
                <w:sz w:val="20"/>
                <w:szCs w:val="20"/>
                <w:color w:val="auto"/>
              </w:rPr>
            </w:pPr>
            <w:r>
              <w:rPr>
                <w:rFonts w:ascii="Arial" w:cs="Arial" w:eastAsia="Arial" w:hAnsi="Arial"/>
                <w:sz w:val="16"/>
                <w:szCs w:val="16"/>
                <w:color w:val="auto"/>
              </w:rPr>
              <w:t>13,793,145</w:t>
            </w:r>
          </w:p>
        </w:tc>
        <w:tc>
          <w:tcPr>
            <w:tcW w:w="1400" w:type="dxa"/>
            <w:vAlign w:val="bottom"/>
            <w:shd w:val="clear" w:color="auto" w:fill="EDF0FC"/>
          </w:tcPr>
          <w:p>
            <w:pPr>
              <w:jc w:val="center"/>
              <w:spacing w:after="0"/>
              <w:rPr>
                <w:sz w:val="20"/>
                <w:szCs w:val="20"/>
                <w:color w:val="auto"/>
              </w:rPr>
            </w:pPr>
            <w:r>
              <w:rPr>
                <w:rFonts w:ascii="Arial" w:cs="Arial" w:eastAsia="Arial" w:hAnsi="Arial"/>
                <w:sz w:val="16"/>
                <w:szCs w:val="16"/>
                <w:color w:val="auto"/>
              </w:rPr>
              <w:t>42,412,804</w:t>
            </w:r>
          </w:p>
        </w:tc>
        <w:tc>
          <w:tcPr>
            <w:tcW w:w="1660" w:type="dxa"/>
            <w:vAlign w:val="bottom"/>
            <w:shd w:val="clear" w:color="auto" w:fill="EDF0FC"/>
          </w:tcPr>
          <w:p>
            <w:pPr>
              <w:jc w:val="right"/>
              <w:ind w:right="184"/>
              <w:spacing w:after="0"/>
              <w:rPr>
                <w:sz w:val="20"/>
                <w:szCs w:val="20"/>
                <w:color w:val="auto"/>
              </w:rPr>
            </w:pPr>
            <w:r>
              <w:rPr>
                <w:rFonts w:ascii="Arial" w:cs="Arial" w:eastAsia="Arial" w:hAnsi="Arial"/>
                <w:sz w:val="16"/>
                <w:szCs w:val="16"/>
                <w:color w:val="auto"/>
              </w:rPr>
              <w:t>4,424,283</w:t>
            </w:r>
          </w:p>
        </w:tc>
        <w:tc>
          <w:tcPr>
            <w:tcW w:w="1460" w:type="dxa"/>
            <w:vAlign w:val="bottom"/>
            <w:shd w:val="clear" w:color="auto" w:fill="EDF0FC"/>
          </w:tcPr>
          <w:p>
            <w:pPr>
              <w:jc w:val="right"/>
              <w:ind w:right="84"/>
              <w:spacing w:after="0"/>
              <w:rPr>
                <w:sz w:val="20"/>
                <w:szCs w:val="20"/>
                <w:color w:val="auto"/>
              </w:rPr>
            </w:pPr>
            <w:r>
              <w:rPr>
                <w:rFonts w:ascii="Arial" w:cs="Arial" w:eastAsia="Arial" w:hAnsi="Arial"/>
                <w:sz w:val="16"/>
                <w:szCs w:val="16"/>
                <w:color w:val="auto"/>
              </w:rPr>
              <w:t>8,653,705</w:t>
            </w:r>
          </w:p>
        </w:tc>
        <w:tc>
          <w:tcPr>
            <w:tcW w:w="1320" w:type="dxa"/>
            <w:vAlign w:val="bottom"/>
            <w:shd w:val="clear" w:color="auto" w:fill="EDF0FC"/>
          </w:tcPr>
          <w:p>
            <w:pPr>
              <w:jc w:val="right"/>
              <w:ind w:right="164"/>
              <w:spacing w:after="0"/>
              <w:rPr>
                <w:sz w:val="20"/>
                <w:szCs w:val="20"/>
                <w:color w:val="auto"/>
              </w:rPr>
            </w:pPr>
            <w:r>
              <w:rPr>
                <w:rFonts w:ascii="Arial" w:cs="Arial" w:eastAsia="Arial" w:hAnsi="Arial"/>
                <w:sz w:val="16"/>
                <w:szCs w:val="16"/>
                <w:color w:val="auto"/>
              </w:rPr>
              <w:t>227.0</w:t>
            </w:r>
          </w:p>
        </w:tc>
        <w:tc>
          <w:tcPr>
            <w:tcW w:w="1060" w:type="dxa"/>
            <w:vAlign w:val="bottom"/>
            <w:shd w:val="clear" w:color="auto" w:fill="EDF0FC"/>
          </w:tcPr>
          <w:p>
            <w:pPr>
              <w:jc w:val="right"/>
              <w:ind w:right="4"/>
              <w:spacing w:after="0"/>
              <w:rPr>
                <w:sz w:val="20"/>
                <w:szCs w:val="20"/>
                <w:color w:val="auto"/>
              </w:rPr>
            </w:pPr>
            <w:r>
              <w:rPr>
                <w:rFonts w:ascii="Arial" w:cs="Arial" w:eastAsia="Arial" w:hAnsi="Arial"/>
                <w:sz w:val="16"/>
                <w:szCs w:val="16"/>
                <w:color w:val="auto"/>
              </w:rPr>
              <w:t>134.0</w:t>
            </w:r>
          </w:p>
        </w:tc>
        <w:tc>
          <w:tcPr>
            <w:tcW w:w="1420" w:type="dxa"/>
            <w:vAlign w:val="bottom"/>
            <w:shd w:val="clear" w:color="auto" w:fill="EDF0FC"/>
          </w:tcPr>
          <w:p>
            <w:pPr>
              <w:jc w:val="right"/>
              <w:ind w:right="143"/>
              <w:spacing w:after="0"/>
              <w:rPr>
                <w:sz w:val="20"/>
                <w:szCs w:val="20"/>
                <w:color w:val="auto"/>
              </w:rPr>
            </w:pPr>
            <w:r>
              <w:rPr>
                <w:rFonts w:ascii="Arial" w:cs="Arial" w:eastAsia="Arial" w:hAnsi="Arial"/>
                <w:sz w:val="16"/>
                <w:szCs w:val="16"/>
                <w:color w:val="auto"/>
              </w:rPr>
              <w:t>1,148,592</w:t>
            </w:r>
          </w:p>
        </w:tc>
        <w:tc>
          <w:tcPr>
            <w:tcW w:w="800" w:type="dxa"/>
            <w:vAlign w:val="bottom"/>
            <w:shd w:val="clear" w:color="auto" w:fill="EDF0FC"/>
          </w:tcPr>
          <w:p>
            <w:pPr>
              <w:jc w:val="right"/>
              <w:ind w:right="2"/>
              <w:spacing w:after="0"/>
              <w:rPr>
                <w:sz w:val="20"/>
                <w:szCs w:val="20"/>
                <w:color w:val="auto"/>
              </w:rPr>
            </w:pPr>
            <w:r>
              <w:rPr>
                <w:rFonts w:ascii="Arial" w:cs="Arial" w:eastAsia="Arial" w:hAnsi="Arial"/>
                <w:sz w:val="16"/>
                <w:szCs w:val="16"/>
                <w:color w:val="auto"/>
              </w:rPr>
              <w:t>13.52</w:t>
            </w:r>
          </w:p>
        </w:tc>
        <w:tc>
          <w:tcPr>
            <w:tcW w:w="0" w:type="dxa"/>
            <w:vAlign w:val="bottom"/>
          </w:tcPr>
          <w:p>
            <w:pPr>
              <w:spacing w:after="0"/>
              <w:rPr>
                <w:sz w:val="1"/>
                <w:szCs w:val="1"/>
                <w:color w:val="auto"/>
              </w:rPr>
            </w:pPr>
          </w:p>
        </w:tc>
      </w:tr>
      <w:tr>
        <w:trPr>
          <w:trHeight w:val="235"/>
        </w:trPr>
        <w:tc>
          <w:tcPr>
            <w:tcW w:w="660" w:type="dxa"/>
            <w:vAlign w:val="bottom"/>
          </w:tcPr>
          <w:p>
            <w:pPr>
              <w:ind w:left="20"/>
              <w:spacing w:after="0"/>
              <w:rPr>
                <w:sz w:val="20"/>
                <w:szCs w:val="20"/>
                <w:color w:val="auto"/>
              </w:rPr>
            </w:pPr>
            <w:r>
              <w:rPr>
                <w:rFonts w:ascii="Arial" w:cs="Arial" w:eastAsia="Arial" w:hAnsi="Arial"/>
                <w:sz w:val="16"/>
                <w:szCs w:val="16"/>
                <w:color w:val="auto"/>
              </w:rPr>
              <w:t>2022</w:t>
            </w:r>
          </w:p>
        </w:tc>
        <w:tc>
          <w:tcPr>
            <w:tcW w:w="1460" w:type="dxa"/>
            <w:vAlign w:val="bottom"/>
          </w:tcPr>
          <w:p>
            <w:pPr>
              <w:jc w:val="right"/>
              <w:ind w:right="184"/>
              <w:spacing w:after="0"/>
              <w:rPr>
                <w:sz w:val="20"/>
                <w:szCs w:val="20"/>
                <w:color w:val="auto"/>
              </w:rPr>
            </w:pPr>
            <w:r>
              <w:rPr>
                <w:rFonts w:ascii="Arial" w:cs="Arial" w:eastAsia="Arial" w:hAnsi="Arial"/>
                <w:sz w:val="16"/>
                <w:szCs w:val="16"/>
                <w:color w:val="auto"/>
              </w:rPr>
              <w:t>12,998,816</w:t>
            </w:r>
          </w:p>
        </w:tc>
        <w:tc>
          <w:tcPr>
            <w:tcW w:w="1400" w:type="dxa"/>
            <w:vAlign w:val="bottom"/>
          </w:tcPr>
          <w:p>
            <w:pPr>
              <w:jc w:val="center"/>
              <w:spacing w:after="0"/>
              <w:rPr>
                <w:sz w:val="20"/>
                <w:szCs w:val="20"/>
                <w:color w:val="auto"/>
              </w:rPr>
            </w:pPr>
            <w:r>
              <w:rPr>
                <w:rFonts w:ascii="Arial" w:cs="Arial" w:eastAsia="Arial" w:hAnsi="Arial"/>
                <w:sz w:val="16"/>
                <w:szCs w:val="16"/>
                <w:color w:val="auto"/>
              </w:rPr>
              <w:t>(38,985,841)</w:t>
            </w:r>
          </w:p>
        </w:tc>
        <w:tc>
          <w:tcPr>
            <w:tcW w:w="1660" w:type="dxa"/>
            <w:vAlign w:val="bottom"/>
          </w:tcPr>
          <w:p>
            <w:pPr>
              <w:jc w:val="right"/>
              <w:ind w:right="184"/>
              <w:spacing w:after="0"/>
              <w:rPr>
                <w:sz w:val="20"/>
                <w:szCs w:val="20"/>
                <w:color w:val="auto"/>
              </w:rPr>
            </w:pPr>
            <w:r>
              <w:rPr>
                <w:rFonts w:ascii="Arial" w:cs="Arial" w:eastAsia="Arial" w:hAnsi="Arial"/>
                <w:sz w:val="16"/>
                <w:szCs w:val="16"/>
                <w:color w:val="auto"/>
              </w:rPr>
              <w:t>3,887,795</w:t>
            </w:r>
          </w:p>
        </w:tc>
        <w:tc>
          <w:tcPr>
            <w:tcW w:w="1460" w:type="dxa"/>
            <w:vAlign w:val="bottom"/>
          </w:tcPr>
          <w:p>
            <w:pPr>
              <w:jc w:val="right"/>
              <w:ind w:right="44"/>
              <w:spacing w:after="0"/>
              <w:rPr>
                <w:sz w:val="20"/>
                <w:szCs w:val="20"/>
                <w:color w:val="auto"/>
              </w:rPr>
            </w:pPr>
            <w:r>
              <w:rPr>
                <w:rFonts w:ascii="Arial" w:cs="Arial" w:eastAsia="Arial" w:hAnsi="Arial"/>
                <w:sz w:val="16"/>
                <w:szCs w:val="16"/>
                <w:color w:val="auto"/>
              </w:rPr>
              <w:t>(5,073,374)</w:t>
            </w:r>
          </w:p>
        </w:tc>
        <w:tc>
          <w:tcPr>
            <w:tcW w:w="1320" w:type="dxa"/>
            <w:vAlign w:val="bottom"/>
          </w:tcPr>
          <w:p>
            <w:pPr>
              <w:jc w:val="right"/>
              <w:ind w:right="164"/>
              <w:spacing w:after="0"/>
              <w:rPr>
                <w:sz w:val="20"/>
                <w:szCs w:val="20"/>
                <w:color w:val="auto"/>
              </w:rPr>
            </w:pPr>
            <w:r>
              <w:rPr>
                <w:rFonts w:ascii="Arial" w:cs="Arial" w:eastAsia="Arial" w:hAnsi="Arial"/>
                <w:sz w:val="16"/>
                <w:szCs w:val="16"/>
                <w:color w:val="auto"/>
              </w:rPr>
              <w:t>184.7</w:t>
            </w: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116.9</w:t>
            </w:r>
          </w:p>
        </w:tc>
        <w:tc>
          <w:tcPr>
            <w:tcW w:w="1420" w:type="dxa"/>
            <w:vAlign w:val="bottom"/>
          </w:tcPr>
          <w:p>
            <w:pPr>
              <w:jc w:val="right"/>
              <w:ind w:right="143"/>
              <w:spacing w:after="0"/>
              <w:rPr>
                <w:sz w:val="20"/>
                <w:szCs w:val="20"/>
                <w:color w:val="auto"/>
              </w:rPr>
            </w:pPr>
            <w:r>
              <w:rPr>
                <w:rFonts w:ascii="Arial" w:cs="Arial" w:eastAsia="Arial" w:hAnsi="Arial"/>
                <w:sz w:val="16"/>
                <w:szCs w:val="16"/>
                <w:color w:val="auto"/>
              </w:rPr>
              <w:t>870,573</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11.45</w:t>
            </w:r>
          </w:p>
        </w:tc>
        <w:tc>
          <w:tcPr>
            <w:tcW w:w="0" w:type="dxa"/>
            <w:vAlign w:val="bottom"/>
          </w:tcPr>
          <w:p>
            <w:pPr>
              <w:spacing w:after="0"/>
              <w:rPr>
                <w:sz w:val="1"/>
                <w:szCs w:val="1"/>
                <w:color w:val="auto"/>
              </w:rPr>
            </w:pPr>
          </w:p>
        </w:tc>
      </w:tr>
      <w:tr>
        <w:trPr>
          <w:trHeight w:val="251"/>
        </w:trPr>
        <w:tc>
          <w:tcPr>
            <w:tcW w:w="660" w:type="dxa"/>
            <w:vAlign w:val="bottom"/>
            <w:shd w:val="clear" w:color="auto" w:fill="EDF0FC"/>
          </w:tcPr>
          <w:p>
            <w:pPr>
              <w:ind w:left="20"/>
              <w:spacing w:after="0"/>
              <w:rPr>
                <w:sz w:val="20"/>
                <w:szCs w:val="20"/>
                <w:color w:val="auto"/>
              </w:rPr>
            </w:pPr>
            <w:r>
              <w:rPr>
                <w:rFonts w:ascii="Arial" w:cs="Arial" w:eastAsia="Arial" w:hAnsi="Arial"/>
                <w:sz w:val="16"/>
                <w:szCs w:val="16"/>
                <w:color w:val="auto"/>
              </w:rPr>
              <w:t>2021</w:t>
            </w:r>
          </w:p>
        </w:tc>
        <w:tc>
          <w:tcPr>
            <w:tcW w:w="1460" w:type="dxa"/>
            <w:vAlign w:val="bottom"/>
            <w:shd w:val="clear" w:color="auto" w:fill="EDF0FC"/>
          </w:tcPr>
          <w:p>
            <w:pPr>
              <w:jc w:val="right"/>
              <w:ind w:right="184"/>
              <w:spacing w:after="0"/>
              <w:rPr>
                <w:sz w:val="20"/>
                <w:szCs w:val="20"/>
                <w:color w:val="auto"/>
              </w:rPr>
            </w:pPr>
            <w:r>
              <w:rPr>
                <w:rFonts w:ascii="Arial" w:cs="Arial" w:eastAsia="Arial" w:hAnsi="Arial"/>
                <w:sz w:val="16"/>
                <w:szCs w:val="16"/>
                <w:color w:val="auto"/>
              </w:rPr>
              <w:t>10,338,312</w:t>
            </w:r>
          </w:p>
        </w:tc>
        <w:tc>
          <w:tcPr>
            <w:tcW w:w="1400" w:type="dxa"/>
            <w:vAlign w:val="bottom"/>
            <w:shd w:val="clear" w:color="auto" w:fill="EDF0FC"/>
          </w:tcPr>
          <w:p>
            <w:pPr>
              <w:jc w:val="center"/>
              <w:spacing w:after="0"/>
              <w:rPr>
                <w:sz w:val="20"/>
                <w:szCs w:val="20"/>
                <w:color w:val="auto"/>
              </w:rPr>
            </w:pPr>
            <w:r>
              <w:rPr>
                <w:rFonts w:ascii="Arial" w:cs="Arial" w:eastAsia="Arial" w:hAnsi="Arial"/>
                <w:sz w:val="16"/>
                <w:szCs w:val="16"/>
                <w:color w:val="auto"/>
              </w:rPr>
              <w:t>81,171,520</w:t>
            </w:r>
          </w:p>
        </w:tc>
        <w:tc>
          <w:tcPr>
            <w:tcW w:w="1660" w:type="dxa"/>
            <w:vAlign w:val="bottom"/>
            <w:shd w:val="clear" w:color="auto" w:fill="EDF0FC"/>
          </w:tcPr>
          <w:p>
            <w:pPr>
              <w:jc w:val="right"/>
              <w:ind w:right="184"/>
              <w:spacing w:after="0"/>
              <w:rPr>
                <w:sz w:val="20"/>
                <w:szCs w:val="20"/>
                <w:color w:val="auto"/>
              </w:rPr>
            </w:pPr>
            <w:r>
              <w:rPr>
                <w:rFonts w:ascii="Arial" w:cs="Arial" w:eastAsia="Arial" w:hAnsi="Arial"/>
                <w:sz w:val="16"/>
                <w:szCs w:val="16"/>
                <w:color w:val="auto"/>
              </w:rPr>
              <w:t>3,496,361</w:t>
            </w:r>
          </w:p>
        </w:tc>
        <w:tc>
          <w:tcPr>
            <w:tcW w:w="1460" w:type="dxa"/>
            <w:vAlign w:val="bottom"/>
            <w:shd w:val="clear" w:color="auto" w:fill="EDF0FC"/>
          </w:tcPr>
          <w:p>
            <w:pPr>
              <w:jc w:val="right"/>
              <w:ind w:right="84"/>
              <w:spacing w:after="0"/>
              <w:rPr>
                <w:sz w:val="20"/>
                <w:szCs w:val="20"/>
                <w:color w:val="auto"/>
              </w:rPr>
            </w:pPr>
            <w:r>
              <w:rPr>
                <w:rFonts w:ascii="Arial" w:cs="Arial" w:eastAsia="Arial" w:hAnsi="Arial"/>
                <w:sz w:val="16"/>
                <w:szCs w:val="16"/>
                <w:color w:val="auto"/>
              </w:rPr>
              <w:t>15,271,690</w:t>
            </w:r>
          </w:p>
        </w:tc>
        <w:tc>
          <w:tcPr>
            <w:tcW w:w="1320" w:type="dxa"/>
            <w:vAlign w:val="bottom"/>
            <w:shd w:val="clear" w:color="auto" w:fill="EDF0FC"/>
          </w:tcPr>
          <w:p>
            <w:pPr>
              <w:jc w:val="right"/>
              <w:ind w:right="164"/>
              <w:spacing w:after="0"/>
              <w:rPr>
                <w:sz w:val="20"/>
                <w:szCs w:val="20"/>
                <w:color w:val="auto"/>
              </w:rPr>
            </w:pPr>
            <w:r>
              <w:rPr>
                <w:rFonts w:ascii="Arial" w:cs="Arial" w:eastAsia="Arial" w:hAnsi="Arial"/>
                <w:sz w:val="16"/>
                <w:szCs w:val="16"/>
                <w:color w:val="auto"/>
              </w:rPr>
              <w:t>240.9</w:t>
            </w:r>
          </w:p>
        </w:tc>
        <w:tc>
          <w:tcPr>
            <w:tcW w:w="1060" w:type="dxa"/>
            <w:vAlign w:val="bottom"/>
            <w:shd w:val="clear" w:color="auto" w:fill="EDF0FC"/>
          </w:tcPr>
          <w:p>
            <w:pPr>
              <w:jc w:val="right"/>
              <w:ind w:right="4"/>
              <w:spacing w:after="0"/>
              <w:rPr>
                <w:sz w:val="20"/>
                <w:szCs w:val="20"/>
                <w:color w:val="auto"/>
              </w:rPr>
            </w:pPr>
            <w:r>
              <w:rPr>
                <w:rFonts w:ascii="Arial" w:cs="Arial" w:eastAsia="Arial" w:hAnsi="Arial"/>
                <w:sz w:val="16"/>
                <w:szCs w:val="16"/>
                <w:color w:val="auto"/>
              </w:rPr>
              <w:t>133.0</w:t>
            </w:r>
          </w:p>
        </w:tc>
        <w:tc>
          <w:tcPr>
            <w:tcW w:w="1420" w:type="dxa"/>
            <w:vAlign w:val="bottom"/>
            <w:shd w:val="clear" w:color="auto" w:fill="EDF0FC"/>
          </w:tcPr>
          <w:p>
            <w:pPr>
              <w:jc w:val="right"/>
              <w:ind w:right="143"/>
              <w:spacing w:after="0"/>
              <w:rPr>
                <w:sz w:val="20"/>
                <w:szCs w:val="20"/>
                <w:color w:val="auto"/>
              </w:rPr>
            </w:pPr>
            <w:r>
              <w:rPr>
                <w:rFonts w:ascii="Arial" w:cs="Arial" w:eastAsia="Arial" w:hAnsi="Arial"/>
                <w:sz w:val="16"/>
                <w:szCs w:val="16"/>
                <w:color w:val="auto"/>
              </w:rPr>
              <w:t>725,983</w:t>
            </w:r>
          </w:p>
        </w:tc>
        <w:tc>
          <w:tcPr>
            <w:tcW w:w="800" w:type="dxa"/>
            <w:vAlign w:val="bottom"/>
            <w:shd w:val="clear" w:color="auto" w:fill="EDF0FC"/>
          </w:tcPr>
          <w:p>
            <w:pPr>
              <w:jc w:val="right"/>
              <w:ind w:right="2"/>
              <w:spacing w:after="0"/>
              <w:rPr>
                <w:sz w:val="20"/>
                <w:szCs w:val="20"/>
                <w:color w:val="auto"/>
              </w:rPr>
            </w:pPr>
            <w:r>
              <w:rPr>
                <w:rFonts w:ascii="Arial" w:cs="Arial" w:eastAsia="Arial" w:hAnsi="Arial"/>
                <w:sz w:val="16"/>
                <w:szCs w:val="16"/>
                <w:color w:val="auto"/>
              </w:rPr>
              <w:t>9.95</w:t>
            </w:r>
          </w:p>
        </w:tc>
        <w:tc>
          <w:tcPr>
            <w:tcW w:w="0" w:type="dxa"/>
            <w:vAlign w:val="bottom"/>
          </w:tcPr>
          <w:p>
            <w:pPr>
              <w:spacing w:after="0"/>
              <w:rPr>
                <w:sz w:val="1"/>
                <w:szCs w:val="1"/>
                <w:color w:val="auto"/>
              </w:rPr>
            </w:pPr>
          </w:p>
        </w:tc>
      </w:tr>
      <w:tr>
        <w:trPr>
          <w:trHeight w:val="237"/>
        </w:trPr>
        <w:tc>
          <w:tcPr>
            <w:tcW w:w="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2020</w:t>
            </w:r>
          </w:p>
        </w:tc>
        <w:tc>
          <w:tcPr>
            <w:tcW w:w="146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color w:val="auto"/>
              </w:rPr>
              <w:t>9,924,139</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71,235,260</w:t>
            </w:r>
          </w:p>
        </w:tc>
        <w:tc>
          <w:tcPr>
            <w:tcW w:w="166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color w:val="auto"/>
              </w:rPr>
              <w:t>3,332,994</w:t>
            </w:r>
          </w:p>
        </w:tc>
        <w:tc>
          <w:tcPr>
            <w:tcW w:w="146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12,060,436</w:t>
            </w:r>
          </w:p>
        </w:tc>
        <w:tc>
          <w:tcPr>
            <w:tcW w:w="1320" w:type="dxa"/>
            <w:vAlign w:val="bottom"/>
            <w:tcBorders>
              <w:bottom w:val="single" w:sz="8" w:color="auto"/>
            </w:tcBorders>
          </w:tcPr>
          <w:p>
            <w:pPr>
              <w:jc w:val="right"/>
              <w:ind w:right="164"/>
              <w:spacing w:after="0"/>
              <w:rPr>
                <w:sz w:val="20"/>
                <w:szCs w:val="20"/>
                <w:color w:val="auto"/>
              </w:rPr>
            </w:pPr>
            <w:r>
              <w:rPr>
                <w:rFonts w:ascii="Arial" w:cs="Arial" w:eastAsia="Arial" w:hAnsi="Arial"/>
                <w:sz w:val="16"/>
                <w:szCs w:val="16"/>
                <w:color w:val="auto"/>
              </w:rPr>
              <w:t>174.4</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98.0</w:t>
            </w:r>
          </w:p>
        </w:tc>
        <w:tc>
          <w:tcPr>
            <w:tcW w:w="1420" w:type="dxa"/>
            <w:vAlign w:val="bottom"/>
            <w:tcBorders>
              <w:bottom w:val="single" w:sz="8" w:color="auto"/>
            </w:tcBorders>
          </w:tcPr>
          <w:p>
            <w:pPr>
              <w:jc w:val="right"/>
              <w:ind w:right="143"/>
              <w:spacing w:after="0"/>
              <w:rPr>
                <w:sz w:val="20"/>
                <w:szCs w:val="20"/>
                <w:color w:val="auto"/>
              </w:rPr>
            </w:pPr>
            <w:r>
              <w:rPr>
                <w:rFonts w:ascii="Arial" w:cs="Arial" w:eastAsia="Arial" w:hAnsi="Arial"/>
                <w:sz w:val="16"/>
                <w:szCs w:val="16"/>
                <w:color w:val="auto"/>
              </w:rPr>
              <w:t>601,822</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0" w:right="100" w:hanging="192"/>
        <w:spacing w:after="0" w:line="257" w:lineRule="auto"/>
        <w:tabs>
          <w:tab w:leader="none" w:pos="187" w:val="left"/>
        </w:tabs>
        <w:numPr>
          <w:ilvl w:val="0"/>
          <w:numId w:val="105"/>
        </w:numPr>
        <w:rPr>
          <w:rFonts w:ascii="Arial" w:cs="Arial" w:eastAsia="Arial" w:hAnsi="Arial"/>
          <w:sz w:val="19"/>
          <w:szCs w:val="19"/>
          <w:color w:val="auto"/>
          <w:vertAlign w:val="superscript"/>
        </w:rPr>
      </w:pPr>
      <w:r>
        <w:rPr>
          <w:rFonts w:ascii="Arial" w:cs="Arial" w:eastAsia="Arial" w:hAnsi="Arial"/>
          <w:sz w:val="14"/>
          <w:szCs w:val="14"/>
          <w:color w:val="auto"/>
        </w:rPr>
        <w:t>Compensation for our principal executive officer (“PEO”), Henry A. Fernandez, reflects the amounts reported in the “Summary Compensation Table” for the respective years. Average compensation for non-PEOs includes the following NEOs: (i) in each of 2024, 2023, 2022 and 2021, Scott A. Crum, Robert J. Gutowski, C.D. Baer Pettit and Andrew C. Wiechmann and (ii) in 2020, Scott A. Crum, Robert J. Gutowski, Linda S. Huber, C.D. Baer Pettit and Andrew C. Wiechmann.</w:t>
      </w:r>
    </w:p>
    <w:p>
      <w:pPr>
        <w:spacing w:after="0" w:line="28" w:lineRule="exact"/>
        <w:rPr>
          <w:rFonts w:ascii="Arial" w:cs="Arial" w:eastAsia="Arial" w:hAnsi="Arial"/>
          <w:sz w:val="19"/>
          <w:szCs w:val="19"/>
          <w:color w:val="auto"/>
          <w:vertAlign w:val="superscript"/>
        </w:rPr>
      </w:pPr>
    </w:p>
    <w:p>
      <w:pPr>
        <w:ind w:left="200" w:right="40" w:hanging="192"/>
        <w:spacing w:after="0" w:line="292" w:lineRule="auto"/>
        <w:tabs>
          <w:tab w:leader="none" w:pos="187" w:val="left"/>
        </w:tabs>
        <w:numPr>
          <w:ilvl w:val="0"/>
          <w:numId w:val="105"/>
        </w:numPr>
        <w:rPr>
          <w:rFonts w:ascii="Arial" w:cs="Arial" w:eastAsia="Arial" w:hAnsi="Arial"/>
          <w:sz w:val="9"/>
          <w:szCs w:val="9"/>
          <w:color w:val="auto"/>
        </w:rPr>
      </w:pPr>
      <w:r>
        <w:rPr>
          <w:rFonts w:ascii="Arial" w:cs="Arial" w:eastAsia="Arial" w:hAnsi="Arial"/>
          <w:sz w:val="14"/>
          <w:szCs w:val="14"/>
          <w:color w:val="auto"/>
        </w:rPr>
        <w:t>Compensation “actually paid” for the PEO and average compensation “actually paid” for our non-PEO NEOs in 2024, 2023, 2022, 2021 and 2020 reflects the respective amounts set forth in columns (c) and (e), adjusted as follows in the table below. However, the reconciliation of these amounts, as required under SEC rules, is presented only for 2024 in the table below. These dollar amounts do not reflect the actual amount of compensation earned by or paid to the PEO and our other NEOs during the applicable year. For information regarding the decisions made by our Compensation Committee with respect to the PEO’s and our other NEOs’ compensation for fiscal year 2024, see “Compensation Discussion and Analysis” beginning on page 58 of this Proxy Statement.</w:t>
      </w:r>
    </w:p>
    <w:p>
      <w:pPr>
        <w:spacing w:after="0" w:line="128" w:lineRule="exact"/>
        <w:rPr>
          <w:sz w:val="20"/>
          <w:szCs w:val="20"/>
          <w:color w:val="auto"/>
        </w:rPr>
      </w:pPr>
    </w:p>
    <w:tbl>
      <w:tblPr>
        <w:tblLayout w:type="fixed"/>
        <w:tblInd w:w="200" w:type="dxa"/>
        <w:tblCellMar>
          <w:top w:w="0" w:type="dxa"/>
          <w:left w:w="0" w:type="dxa"/>
          <w:bottom w:w="0" w:type="dxa"/>
          <w:right w:w="0" w:type="dxa"/>
        </w:tblCellMar>
      </w:tblPr>
      <w:tr>
        <w:trPr>
          <w:trHeight w:val="205"/>
        </w:trPr>
        <w:tc>
          <w:tcPr>
            <w:tcW w:w="6980" w:type="dxa"/>
            <w:vAlign w:val="bottom"/>
            <w:tcBorders>
              <w:bottom w:val="single" w:sz="8" w:color="1A3FD6"/>
            </w:tcBorders>
          </w:tcPr>
          <w:p>
            <w:pPr>
              <w:spacing w:after="0"/>
              <w:rPr>
                <w:sz w:val="17"/>
                <w:szCs w:val="17"/>
                <w:color w:val="auto"/>
              </w:rPr>
            </w:pPr>
          </w:p>
        </w:tc>
        <w:tc>
          <w:tcPr>
            <w:tcW w:w="2360" w:type="dxa"/>
            <w:vAlign w:val="bottom"/>
            <w:tcBorders>
              <w:bottom w:val="single" w:sz="8" w:color="1A3FD6"/>
            </w:tcBorders>
          </w:tcPr>
          <w:p>
            <w:pPr>
              <w:jc w:val="right"/>
              <w:ind w:right="268"/>
              <w:spacing w:after="0"/>
              <w:rPr>
                <w:sz w:val="20"/>
                <w:szCs w:val="20"/>
                <w:color w:val="auto"/>
              </w:rPr>
            </w:pPr>
            <w:r>
              <w:rPr>
                <w:rFonts w:ascii="Arial" w:cs="Arial" w:eastAsia="Arial" w:hAnsi="Arial"/>
                <w:sz w:val="14"/>
                <w:szCs w:val="14"/>
                <w:b w:val="1"/>
                <w:bCs w:val="1"/>
                <w:color w:val="auto"/>
              </w:rPr>
              <w:t>PEO 2024</w:t>
            </w:r>
          </w:p>
        </w:tc>
        <w:tc>
          <w:tcPr>
            <w:tcW w:w="142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Non-PEOs 2024</w:t>
            </w:r>
          </w:p>
        </w:tc>
      </w:tr>
      <w:tr>
        <w:trPr>
          <w:trHeight w:val="222"/>
        </w:trPr>
        <w:tc>
          <w:tcPr>
            <w:tcW w:w="6980" w:type="dxa"/>
            <w:vAlign w:val="bottom"/>
          </w:tcPr>
          <w:p>
            <w:pPr>
              <w:ind w:left="20"/>
              <w:spacing w:after="0"/>
              <w:rPr>
                <w:sz w:val="20"/>
                <w:szCs w:val="20"/>
                <w:color w:val="auto"/>
              </w:rPr>
            </w:pPr>
            <w:r>
              <w:rPr>
                <w:rFonts w:ascii="Arial" w:cs="Arial" w:eastAsia="Arial" w:hAnsi="Arial"/>
                <w:sz w:val="14"/>
                <w:szCs w:val="14"/>
                <w:b w:val="1"/>
                <w:bCs w:val="1"/>
                <w:color w:val="auto"/>
              </w:rPr>
              <w:t>Summary Compensation Table Total</w:t>
            </w:r>
          </w:p>
        </w:tc>
        <w:tc>
          <w:tcPr>
            <w:tcW w:w="2360" w:type="dxa"/>
            <w:vAlign w:val="bottom"/>
          </w:tcPr>
          <w:p>
            <w:pPr>
              <w:jc w:val="right"/>
              <w:ind w:right="308"/>
              <w:spacing w:after="0"/>
              <w:rPr>
                <w:sz w:val="20"/>
                <w:szCs w:val="20"/>
                <w:color w:val="auto"/>
              </w:rPr>
            </w:pPr>
            <w:r>
              <w:rPr>
                <w:rFonts w:ascii="Arial" w:cs="Arial" w:eastAsia="Arial" w:hAnsi="Arial"/>
                <w:sz w:val="14"/>
                <w:szCs w:val="14"/>
                <w:color w:val="auto"/>
              </w:rPr>
              <w:t>15,696,607</w:t>
            </w:r>
          </w:p>
        </w:tc>
        <w:tc>
          <w:tcPr>
            <w:tcW w:w="1420" w:type="dxa"/>
            <w:vAlign w:val="bottom"/>
          </w:tcPr>
          <w:p>
            <w:pPr>
              <w:jc w:val="right"/>
              <w:spacing w:after="0"/>
              <w:rPr>
                <w:sz w:val="20"/>
                <w:szCs w:val="20"/>
                <w:color w:val="auto"/>
              </w:rPr>
            </w:pPr>
            <w:r>
              <w:rPr>
                <w:rFonts w:ascii="Arial" w:cs="Arial" w:eastAsia="Arial" w:hAnsi="Arial"/>
                <w:sz w:val="14"/>
                <w:szCs w:val="14"/>
                <w:color w:val="auto"/>
              </w:rPr>
              <w:t>4,765,696</w:t>
            </w:r>
          </w:p>
        </w:tc>
      </w:tr>
      <w:tr>
        <w:trPr>
          <w:trHeight w:val="217"/>
        </w:trPr>
        <w:tc>
          <w:tcPr>
            <w:tcW w:w="6980" w:type="dxa"/>
            <w:vAlign w:val="bottom"/>
            <w:tcBorders>
              <w:bottom w:val="single" w:sz="8" w:color="EDF0FC"/>
            </w:tcBorders>
            <w:shd w:val="clear" w:color="auto" w:fill="EDF0FC"/>
          </w:tcPr>
          <w:p>
            <w:pPr>
              <w:ind w:left="20"/>
              <w:spacing w:after="0"/>
              <w:rPr>
                <w:sz w:val="20"/>
                <w:szCs w:val="20"/>
                <w:color w:val="auto"/>
              </w:rPr>
            </w:pPr>
            <w:r>
              <w:rPr>
                <w:rFonts w:ascii="Arial" w:cs="Arial" w:eastAsia="Arial" w:hAnsi="Arial"/>
                <w:sz w:val="14"/>
                <w:szCs w:val="14"/>
                <w:i w:val="1"/>
                <w:iCs w:val="1"/>
                <w:color w:val="auto"/>
              </w:rPr>
              <w:t xml:space="preserve">Less </w:t>
            </w:r>
            <w:r>
              <w:rPr>
                <w:rFonts w:ascii="Arial" w:cs="Arial" w:eastAsia="Arial" w:hAnsi="Arial"/>
                <w:sz w:val="14"/>
                <w:szCs w:val="14"/>
                <w:color w:val="auto"/>
              </w:rPr>
              <w:t>Stock Award Value Reported in Summary Compensation Table for the Covered Year</w:t>
            </w:r>
          </w:p>
        </w:tc>
        <w:tc>
          <w:tcPr>
            <w:tcW w:w="2360" w:type="dxa"/>
            <w:vAlign w:val="bottom"/>
            <w:tcBorders>
              <w:bottom w:val="single" w:sz="8" w:color="EDF0FC"/>
            </w:tcBorders>
            <w:shd w:val="clear" w:color="auto" w:fill="EDF0FC"/>
          </w:tcPr>
          <w:p>
            <w:pPr>
              <w:jc w:val="right"/>
              <w:ind w:right="268"/>
              <w:spacing w:after="0"/>
              <w:rPr>
                <w:sz w:val="20"/>
                <w:szCs w:val="20"/>
                <w:color w:val="auto"/>
              </w:rPr>
            </w:pPr>
            <w:r>
              <w:rPr>
                <w:rFonts w:ascii="Arial" w:cs="Arial" w:eastAsia="Arial" w:hAnsi="Arial"/>
                <w:sz w:val="14"/>
                <w:szCs w:val="14"/>
                <w:color w:val="auto"/>
              </w:rPr>
              <w:t>(11,600,161)</w:t>
            </w:r>
          </w:p>
        </w:tc>
        <w:tc>
          <w:tcPr>
            <w:tcW w:w="1420" w:type="dxa"/>
            <w:vAlign w:val="bottom"/>
            <w:tcBorders>
              <w:bottom w:val="single" w:sz="8" w:color="EDF0FC"/>
            </w:tcBorders>
            <w:shd w:val="clear" w:color="auto" w:fill="EDF0FC"/>
          </w:tcPr>
          <w:p>
            <w:pPr>
              <w:jc w:val="right"/>
              <w:spacing w:after="0"/>
              <w:rPr>
                <w:sz w:val="20"/>
                <w:szCs w:val="20"/>
                <w:color w:val="auto"/>
              </w:rPr>
            </w:pPr>
            <w:r>
              <w:rPr>
                <w:rFonts w:ascii="Arial" w:cs="Arial" w:eastAsia="Arial" w:hAnsi="Arial"/>
                <w:sz w:val="14"/>
                <w:szCs w:val="14"/>
                <w:color w:val="auto"/>
              </w:rPr>
              <w:t>(3,150,559)</w:t>
            </w:r>
          </w:p>
        </w:tc>
      </w:tr>
      <w:tr>
        <w:trPr>
          <w:trHeight w:val="208"/>
        </w:trPr>
        <w:tc>
          <w:tcPr>
            <w:tcW w:w="6980" w:type="dxa"/>
            <w:vAlign w:val="bottom"/>
          </w:tcPr>
          <w:p>
            <w:pPr>
              <w:ind w:left="20"/>
              <w:spacing w:after="0"/>
              <w:rPr>
                <w:sz w:val="20"/>
                <w:szCs w:val="20"/>
                <w:color w:val="auto"/>
              </w:rPr>
            </w:pPr>
            <w:r>
              <w:rPr>
                <w:rFonts w:ascii="Arial" w:cs="Arial" w:eastAsia="Arial" w:hAnsi="Arial"/>
                <w:sz w:val="14"/>
                <w:szCs w:val="14"/>
                <w:i w:val="1"/>
                <w:iCs w:val="1"/>
                <w:color w:val="auto"/>
              </w:rPr>
              <w:t xml:space="preserve">Plus </w:t>
            </w:r>
            <w:r>
              <w:rPr>
                <w:rFonts w:ascii="Arial" w:cs="Arial" w:eastAsia="Arial" w:hAnsi="Arial"/>
                <w:sz w:val="14"/>
                <w:szCs w:val="14"/>
                <w:color w:val="auto"/>
              </w:rPr>
              <w:t>Fair Value of Outstanding Unvested Awards Granted in the Covered Year</w:t>
            </w:r>
          </w:p>
        </w:tc>
        <w:tc>
          <w:tcPr>
            <w:tcW w:w="2360" w:type="dxa"/>
            <w:vAlign w:val="bottom"/>
          </w:tcPr>
          <w:p>
            <w:pPr>
              <w:jc w:val="right"/>
              <w:ind w:right="308"/>
              <w:spacing w:after="0"/>
              <w:rPr>
                <w:sz w:val="20"/>
                <w:szCs w:val="20"/>
                <w:color w:val="auto"/>
              </w:rPr>
            </w:pPr>
            <w:r>
              <w:rPr>
                <w:rFonts w:ascii="Arial" w:cs="Arial" w:eastAsia="Arial" w:hAnsi="Arial"/>
                <w:sz w:val="14"/>
                <w:szCs w:val="14"/>
                <w:color w:val="auto"/>
              </w:rPr>
              <w:t>10,493,149</w:t>
            </w:r>
          </w:p>
        </w:tc>
        <w:tc>
          <w:tcPr>
            <w:tcW w:w="1420" w:type="dxa"/>
            <w:vAlign w:val="bottom"/>
          </w:tcPr>
          <w:p>
            <w:pPr>
              <w:jc w:val="right"/>
              <w:spacing w:after="0"/>
              <w:rPr>
                <w:sz w:val="20"/>
                <w:szCs w:val="20"/>
                <w:color w:val="auto"/>
              </w:rPr>
            </w:pPr>
            <w:r>
              <w:rPr>
                <w:rFonts w:ascii="Arial" w:cs="Arial" w:eastAsia="Arial" w:hAnsi="Arial"/>
                <w:sz w:val="14"/>
                <w:szCs w:val="14"/>
                <w:color w:val="auto"/>
              </w:rPr>
              <w:t>2,869,023</w:t>
            </w:r>
          </w:p>
        </w:tc>
      </w:tr>
      <w:tr>
        <w:trPr>
          <w:trHeight w:val="22"/>
        </w:trPr>
        <w:tc>
          <w:tcPr>
            <w:tcW w:w="69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0"/>
        </w:trPr>
        <w:tc>
          <w:tcPr>
            <w:tcW w:w="6980" w:type="dxa"/>
            <w:vAlign w:val="bottom"/>
            <w:tcBorders>
              <w:bottom w:val="single" w:sz="8" w:color="EDF0FC"/>
            </w:tcBorders>
            <w:shd w:val="clear" w:color="auto" w:fill="EDF0FC"/>
          </w:tcPr>
          <w:p>
            <w:pPr>
              <w:ind w:left="20"/>
              <w:spacing w:after="0"/>
              <w:rPr>
                <w:sz w:val="20"/>
                <w:szCs w:val="20"/>
                <w:color w:val="auto"/>
              </w:rPr>
            </w:pPr>
            <w:r>
              <w:rPr>
                <w:rFonts w:ascii="Arial" w:cs="Arial" w:eastAsia="Arial" w:hAnsi="Arial"/>
                <w:sz w:val="14"/>
                <w:szCs w:val="14"/>
                <w:i w:val="1"/>
                <w:iCs w:val="1"/>
                <w:color w:val="auto"/>
              </w:rPr>
              <w:t xml:space="preserve">Change </w:t>
            </w:r>
            <w:r>
              <w:rPr>
                <w:rFonts w:ascii="Arial" w:cs="Arial" w:eastAsia="Arial" w:hAnsi="Arial"/>
                <w:sz w:val="14"/>
                <w:szCs w:val="14"/>
                <w:color w:val="auto"/>
              </w:rPr>
              <w:t>in Fair Value of Outstanding Unvested Awards from Prior Years</w:t>
            </w:r>
          </w:p>
        </w:tc>
        <w:tc>
          <w:tcPr>
            <w:tcW w:w="2360" w:type="dxa"/>
            <w:vAlign w:val="bottom"/>
            <w:tcBorders>
              <w:bottom w:val="single" w:sz="8" w:color="EDF0FC"/>
            </w:tcBorders>
            <w:shd w:val="clear" w:color="auto" w:fill="EDF0FC"/>
          </w:tcPr>
          <w:p>
            <w:pPr>
              <w:jc w:val="right"/>
              <w:ind w:right="308"/>
              <w:spacing w:after="0"/>
              <w:rPr>
                <w:sz w:val="20"/>
                <w:szCs w:val="20"/>
                <w:color w:val="auto"/>
              </w:rPr>
            </w:pPr>
            <w:r>
              <w:rPr>
                <w:rFonts w:ascii="Arial" w:cs="Arial" w:eastAsia="Arial" w:hAnsi="Arial"/>
                <w:sz w:val="14"/>
                <w:szCs w:val="14"/>
                <w:color w:val="auto"/>
              </w:rPr>
              <w:t>1,347,551</w:t>
            </w:r>
          </w:p>
        </w:tc>
        <w:tc>
          <w:tcPr>
            <w:tcW w:w="1420" w:type="dxa"/>
            <w:vAlign w:val="bottom"/>
            <w:tcBorders>
              <w:bottom w:val="single" w:sz="8" w:color="EDF0FC"/>
            </w:tcBorders>
            <w:shd w:val="clear" w:color="auto" w:fill="EDF0FC"/>
          </w:tcPr>
          <w:p>
            <w:pPr>
              <w:jc w:val="right"/>
              <w:spacing w:after="0"/>
              <w:rPr>
                <w:sz w:val="20"/>
                <w:szCs w:val="20"/>
                <w:color w:val="auto"/>
              </w:rPr>
            </w:pPr>
            <w:r>
              <w:rPr>
                <w:rFonts w:ascii="Arial" w:cs="Arial" w:eastAsia="Arial" w:hAnsi="Arial"/>
                <w:sz w:val="14"/>
                <w:szCs w:val="14"/>
                <w:color w:val="auto"/>
              </w:rPr>
              <w:t>(73,118)</w:t>
            </w:r>
          </w:p>
        </w:tc>
      </w:tr>
      <w:tr>
        <w:trPr>
          <w:trHeight w:val="208"/>
        </w:trPr>
        <w:tc>
          <w:tcPr>
            <w:tcW w:w="6980" w:type="dxa"/>
            <w:vAlign w:val="bottom"/>
          </w:tcPr>
          <w:p>
            <w:pPr>
              <w:ind w:left="20"/>
              <w:spacing w:after="0"/>
              <w:rPr>
                <w:sz w:val="20"/>
                <w:szCs w:val="20"/>
                <w:color w:val="auto"/>
              </w:rPr>
            </w:pPr>
            <w:r>
              <w:rPr>
                <w:rFonts w:ascii="Arial" w:cs="Arial" w:eastAsia="Arial" w:hAnsi="Arial"/>
                <w:sz w:val="14"/>
                <w:szCs w:val="14"/>
                <w:i w:val="1"/>
                <w:iCs w:val="1"/>
                <w:color w:val="auto"/>
              </w:rPr>
              <w:t xml:space="preserve">Change </w:t>
            </w:r>
            <w:r>
              <w:rPr>
                <w:rFonts w:ascii="Arial" w:cs="Arial" w:eastAsia="Arial" w:hAnsi="Arial"/>
                <w:sz w:val="14"/>
                <w:szCs w:val="14"/>
                <w:color w:val="auto"/>
              </w:rPr>
              <w:t>in Fair Value of Awards from Prior Years that Vested in the Covered Year</w:t>
            </w:r>
          </w:p>
        </w:tc>
        <w:tc>
          <w:tcPr>
            <w:tcW w:w="2360" w:type="dxa"/>
            <w:vAlign w:val="bottom"/>
          </w:tcPr>
          <w:p>
            <w:pPr>
              <w:jc w:val="right"/>
              <w:ind w:right="308"/>
              <w:spacing w:after="0"/>
              <w:rPr>
                <w:sz w:val="20"/>
                <w:szCs w:val="20"/>
                <w:color w:val="auto"/>
              </w:rPr>
            </w:pPr>
            <w:r>
              <w:rPr>
                <w:rFonts w:ascii="Arial" w:cs="Arial" w:eastAsia="Arial" w:hAnsi="Arial"/>
                <w:sz w:val="14"/>
                <w:szCs w:val="14"/>
                <w:color w:val="auto"/>
              </w:rPr>
              <w:t>1,942,269</w:t>
            </w:r>
          </w:p>
        </w:tc>
        <w:tc>
          <w:tcPr>
            <w:tcW w:w="1420" w:type="dxa"/>
            <w:vAlign w:val="bottom"/>
          </w:tcPr>
          <w:p>
            <w:pPr>
              <w:jc w:val="right"/>
              <w:spacing w:after="0"/>
              <w:rPr>
                <w:sz w:val="20"/>
                <w:szCs w:val="20"/>
                <w:color w:val="auto"/>
              </w:rPr>
            </w:pPr>
            <w:r>
              <w:rPr>
                <w:rFonts w:ascii="Arial" w:cs="Arial" w:eastAsia="Arial" w:hAnsi="Arial"/>
                <w:sz w:val="14"/>
                <w:szCs w:val="14"/>
                <w:color w:val="auto"/>
              </w:rPr>
              <w:t>246,337</w:t>
            </w:r>
          </w:p>
        </w:tc>
      </w:tr>
      <w:tr>
        <w:trPr>
          <w:trHeight w:val="22"/>
        </w:trPr>
        <w:tc>
          <w:tcPr>
            <w:tcW w:w="69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0"/>
        </w:trPr>
        <w:tc>
          <w:tcPr>
            <w:tcW w:w="6980" w:type="dxa"/>
            <w:vAlign w:val="bottom"/>
            <w:tcBorders>
              <w:bottom w:val="single" w:sz="8" w:color="EDF0FC"/>
            </w:tcBorders>
            <w:shd w:val="clear" w:color="auto" w:fill="EDF0FC"/>
          </w:tcPr>
          <w:p>
            <w:pPr>
              <w:ind w:left="20"/>
              <w:spacing w:after="0"/>
              <w:rPr>
                <w:sz w:val="20"/>
                <w:szCs w:val="20"/>
                <w:color w:val="auto"/>
              </w:rPr>
            </w:pPr>
            <w:r>
              <w:rPr>
                <w:rFonts w:ascii="Arial" w:cs="Arial" w:eastAsia="Arial" w:hAnsi="Arial"/>
                <w:sz w:val="14"/>
                <w:szCs w:val="14"/>
                <w:i w:val="1"/>
                <w:iCs w:val="1"/>
                <w:color w:val="auto"/>
              </w:rPr>
              <w:t xml:space="preserve">Less </w:t>
            </w:r>
            <w:r>
              <w:rPr>
                <w:rFonts w:ascii="Arial" w:cs="Arial" w:eastAsia="Arial" w:hAnsi="Arial"/>
                <w:sz w:val="14"/>
                <w:szCs w:val="14"/>
                <w:color w:val="auto"/>
              </w:rPr>
              <w:t>Fair Value (as of end of prior fiscal year) of Awards Forfeited during the Covered Year</w:t>
            </w:r>
          </w:p>
        </w:tc>
        <w:tc>
          <w:tcPr>
            <w:tcW w:w="2360" w:type="dxa"/>
            <w:vAlign w:val="bottom"/>
            <w:tcBorders>
              <w:bottom w:val="single" w:sz="8" w:color="EDF0FC"/>
            </w:tcBorders>
            <w:shd w:val="clear" w:color="auto" w:fill="EDF0FC"/>
          </w:tcPr>
          <w:p>
            <w:pPr>
              <w:jc w:val="right"/>
              <w:ind w:right="30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EDF0FC"/>
            </w:tcBorders>
            <w:shd w:val="clear" w:color="auto" w:fill="EDF0FC"/>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6980" w:type="dxa"/>
            <w:vAlign w:val="bottom"/>
          </w:tcPr>
          <w:p>
            <w:pPr>
              <w:ind w:left="20"/>
              <w:spacing w:after="0"/>
              <w:rPr>
                <w:sz w:val="20"/>
                <w:szCs w:val="20"/>
                <w:color w:val="auto"/>
              </w:rPr>
            </w:pPr>
            <w:r>
              <w:rPr>
                <w:rFonts w:ascii="Arial" w:cs="Arial" w:eastAsia="Arial" w:hAnsi="Arial"/>
                <w:sz w:val="14"/>
                <w:szCs w:val="14"/>
                <w:i w:val="1"/>
                <w:iCs w:val="1"/>
                <w:color w:val="auto"/>
              </w:rPr>
              <w:t xml:space="preserve">Plus </w:t>
            </w:r>
            <w:r>
              <w:rPr>
                <w:rFonts w:ascii="Arial" w:cs="Arial" w:eastAsia="Arial" w:hAnsi="Arial"/>
                <w:sz w:val="14"/>
                <w:szCs w:val="14"/>
                <w:color w:val="auto"/>
              </w:rPr>
              <w:t>Fair Value of Incremental Dividends or Earnings Paid on Stock Awards</w:t>
            </w:r>
          </w:p>
        </w:tc>
        <w:tc>
          <w:tcPr>
            <w:tcW w:w="23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9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3"/>
        </w:trPr>
        <w:tc>
          <w:tcPr>
            <w:tcW w:w="6980" w:type="dxa"/>
            <w:vAlign w:val="bottom"/>
            <w:tcBorders>
              <w:bottom w:val="single" w:sz="8" w:color="auto"/>
            </w:tcBorders>
            <w:shd w:val="clear" w:color="auto" w:fill="EDF0FC"/>
          </w:tcPr>
          <w:p>
            <w:pPr>
              <w:ind w:left="20"/>
              <w:spacing w:after="0"/>
              <w:rPr>
                <w:sz w:val="20"/>
                <w:szCs w:val="20"/>
                <w:color w:val="auto"/>
              </w:rPr>
            </w:pPr>
            <w:r>
              <w:rPr>
                <w:rFonts w:ascii="Arial" w:cs="Arial" w:eastAsia="Arial" w:hAnsi="Arial"/>
                <w:sz w:val="14"/>
                <w:szCs w:val="14"/>
                <w:b w:val="1"/>
                <w:bCs w:val="1"/>
                <w:color w:val="auto"/>
              </w:rPr>
              <w:t>Compensation Actually Paid</w:t>
            </w:r>
          </w:p>
        </w:tc>
        <w:tc>
          <w:tcPr>
            <w:tcW w:w="2360" w:type="dxa"/>
            <w:vAlign w:val="bottom"/>
            <w:tcBorders>
              <w:bottom w:val="single" w:sz="8" w:color="auto"/>
            </w:tcBorders>
            <w:shd w:val="clear" w:color="auto" w:fill="EDF0FC"/>
          </w:tcPr>
          <w:p>
            <w:pPr>
              <w:jc w:val="right"/>
              <w:ind w:right="308"/>
              <w:spacing w:after="0"/>
              <w:rPr>
                <w:sz w:val="20"/>
                <w:szCs w:val="20"/>
                <w:color w:val="auto"/>
              </w:rPr>
            </w:pPr>
            <w:r>
              <w:rPr>
                <w:rFonts w:ascii="Arial" w:cs="Arial" w:eastAsia="Arial" w:hAnsi="Arial"/>
                <w:sz w:val="14"/>
                <w:szCs w:val="14"/>
                <w:color w:val="auto"/>
              </w:rPr>
              <w:t>17,879,415</w:t>
            </w:r>
          </w:p>
        </w:tc>
        <w:tc>
          <w:tcPr>
            <w:tcW w:w="1420" w:type="dxa"/>
            <w:vAlign w:val="bottom"/>
            <w:tcBorders>
              <w:bottom w:val="single" w:sz="8" w:color="auto"/>
            </w:tcBorders>
            <w:shd w:val="clear" w:color="auto" w:fill="EDF0FC"/>
          </w:tcPr>
          <w:p>
            <w:pPr>
              <w:jc w:val="right"/>
              <w:spacing w:after="0"/>
              <w:rPr>
                <w:sz w:val="20"/>
                <w:szCs w:val="20"/>
                <w:color w:val="auto"/>
              </w:rPr>
            </w:pPr>
            <w:r>
              <w:rPr>
                <w:rFonts w:ascii="Arial" w:cs="Arial" w:eastAsia="Arial" w:hAnsi="Arial"/>
                <w:sz w:val="14"/>
                <w:szCs w:val="14"/>
                <w:color w:val="auto"/>
              </w:rPr>
              <w:t>4,657,379</w:t>
            </w:r>
          </w:p>
        </w:tc>
      </w:tr>
    </w:tbl>
    <w:p>
      <w:pPr>
        <w:spacing w:after="0" w:line="180" w:lineRule="exact"/>
        <w:rPr>
          <w:sz w:val="20"/>
          <w:szCs w:val="20"/>
          <w:color w:val="auto"/>
        </w:rPr>
      </w:pPr>
    </w:p>
    <w:p>
      <w:pPr>
        <w:ind w:left="200" w:right="60"/>
        <w:spacing w:after="0" w:line="284" w:lineRule="auto"/>
        <w:rPr>
          <w:sz w:val="20"/>
          <w:szCs w:val="20"/>
          <w:color w:val="auto"/>
        </w:rPr>
      </w:pPr>
      <w:r>
        <w:rPr>
          <w:rFonts w:ascii="Arial" w:cs="Arial" w:eastAsia="Arial" w:hAnsi="Arial"/>
          <w:sz w:val="14"/>
          <w:szCs w:val="14"/>
          <w:color w:val="auto"/>
        </w:rPr>
        <w:t>Fair values set forth in the table above are computed in accordance with ASC 718 as of the end of the respective fiscal year, other than fair values of awards that vest in the covered year, which are valued as of the applicable vesting date, or the fair values of awards forfeited in the covered year, which are valued as of the end of the prior fiscal year. The assumptions used for purposes of calculating fair values of awards as of the vest date or fiscal year-end date are the same as the assumptions used for purposes of calculating the grant date fair value of awards, except that, in the case of PSOs, the fair values at the time of grant were determined using the Black-Scholes option pricing model and the fair values as of the fiscal year-end date were determined using the Hull-White lattice model. The Hull-White lattice model requires consistent judgmental assumptions as the Black-Scholes pricing model, except that the expected life as a direct input for the Black-Scholes pricing model was estimated using the simplified method provided for by the SEC, while the expected life for the Hull-White lattice model was an implied output and estimated to be 4.4 years for the PSOs granted in 2022, 5.1 years for the PSOs granted in 2023, and 6.3 years for the PSOs granted in 2024. In addition, for PSOs, the fair value is adjusted for any changes in the probability of achievement of the (i) a cumulative revenue performance goal and (ii) a cumulative adjusted EPS performance goal (each weighted equally under the terms of the PSOs).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695960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8420"/>
              <w:spacing w:after="0"/>
              <w:rPr>
                <w:sz w:val="20"/>
                <w:szCs w:val="20"/>
                <w:color w:val="auto"/>
              </w:rPr>
            </w:pPr>
            <w:r>
              <w:rPr>
                <w:rFonts w:ascii="Arial" w:cs="Arial" w:eastAsia="Arial" w:hAnsi="Arial"/>
                <w:sz w:val="14"/>
                <w:szCs w:val="14"/>
                <w:b w:val="1"/>
                <w:bCs w:val="1"/>
                <w:color w:val="1A3FD6"/>
              </w:rPr>
              <w:t>Compensation Matters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95</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left="200" w:right="240" w:hanging="192"/>
        <w:spacing w:after="0" w:line="257" w:lineRule="auto"/>
        <w:tabs>
          <w:tab w:leader="none" w:pos="187" w:val="left"/>
        </w:tabs>
        <w:numPr>
          <w:ilvl w:val="0"/>
          <w:numId w:val="106"/>
        </w:numPr>
        <w:rPr>
          <w:rFonts w:ascii="Arial" w:cs="Arial" w:eastAsia="Arial" w:hAnsi="Arial"/>
          <w:sz w:val="19"/>
          <w:szCs w:val="19"/>
          <w:color w:val="auto"/>
          <w:vertAlign w:val="superscript"/>
        </w:rPr>
      </w:pPr>
      <w:r>
        <w:rPr>
          <w:rFonts w:ascii="Arial" w:cs="Arial" w:eastAsia="Arial" w:hAnsi="Arial"/>
          <w:sz w:val="14"/>
          <w:szCs w:val="14"/>
          <w:color w:val="auto"/>
        </w:rPr>
        <w:t>TSR is cumulative for the measurement periods beginning on December 31, 2019 and ending on December 31 of each of 2024, 2023, 2022, 2021 and 2020, respectively, calculated in accordance with Item 201(e) of Regulation S-K. The peer group for purposes of this table reflects the Company’s industry sector and is the same as our peer group set forth above under “Proxy Summary—Total Shareholder Return” for purposes of Item 201(e) of Regulation S-K.</w:t>
      </w:r>
    </w:p>
    <w:p>
      <w:pPr>
        <w:spacing w:after="0" w:line="42" w:lineRule="exact"/>
        <w:rPr>
          <w:rFonts w:ascii="Arial" w:cs="Arial" w:eastAsia="Arial" w:hAnsi="Arial"/>
          <w:sz w:val="19"/>
          <w:szCs w:val="19"/>
          <w:color w:val="auto"/>
          <w:vertAlign w:val="superscript"/>
        </w:rPr>
      </w:pPr>
    </w:p>
    <w:p>
      <w:pPr>
        <w:ind w:left="200" w:right="20" w:hanging="192"/>
        <w:spacing w:after="0" w:line="231" w:lineRule="auto"/>
        <w:tabs>
          <w:tab w:leader="none" w:pos="187" w:val="left"/>
        </w:tabs>
        <w:numPr>
          <w:ilvl w:val="0"/>
          <w:numId w:val="106"/>
        </w:numPr>
        <w:rPr>
          <w:rFonts w:ascii="Arial" w:cs="Arial" w:eastAsia="Arial" w:hAnsi="Arial"/>
          <w:sz w:val="19"/>
          <w:szCs w:val="19"/>
          <w:color w:val="auto"/>
          <w:vertAlign w:val="superscript"/>
        </w:rPr>
      </w:pPr>
      <w:r>
        <w:rPr>
          <w:rFonts w:ascii="Arial" w:cs="Arial" w:eastAsia="Arial" w:hAnsi="Arial"/>
          <w:sz w:val="14"/>
          <w:szCs w:val="14"/>
          <w:color w:val="auto"/>
        </w:rPr>
        <w:t>Reflects “Net Income” in the Company’s Consolidated Statements of Income included in the Company’s Annual Reports on Form 10-K for each of the years ended December 31, 2024, 2023, 2022, 2021, and 2020.</w:t>
      </w:r>
    </w:p>
    <w:p>
      <w:pPr>
        <w:spacing w:after="0" w:line="53"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106"/>
        </w:numPr>
        <w:rPr>
          <w:rFonts w:ascii="Arial" w:cs="Arial" w:eastAsia="Arial" w:hAnsi="Arial"/>
          <w:sz w:val="9"/>
          <w:szCs w:val="9"/>
          <w:color w:val="auto"/>
        </w:rPr>
      </w:pPr>
      <w:r>
        <w:rPr>
          <w:rFonts w:ascii="Arial" w:cs="Arial" w:eastAsia="Arial" w:hAnsi="Arial"/>
          <w:sz w:val="14"/>
          <w:szCs w:val="14"/>
          <w:color w:val="auto"/>
        </w:rPr>
        <w:t>Adjusted EPS is a non-GAAP financial measure. See Annex B for definitions and reconciliations of all non-GAAP financial measures referenced herein.</w:t>
      </w:r>
    </w:p>
    <w:p>
      <w:pPr>
        <w:spacing w:after="0" w:line="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Disclosure of Relationships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20"/>
          <w:szCs w:val="20"/>
          <w:color w:val="1A3FD6"/>
        </w:rPr>
        <w:t>Compensation Actually Paid, MSCI Cumulative TSR and Peer Group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7000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540" w:type="dxa"/>
        <w:tblCellMar>
          <w:top w:w="0" w:type="dxa"/>
          <w:left w:w="0" w:type="dxa"/>
          <w:bottom w:w="0" w:type="dxa"/>
          <w:right w:w="0" w:type="dxa"/>
        </w:tblCellMar>
      </w:tblPr>
      <w:tr>
        <w:trPr>
          <w:trHeight w:val="189"/>
        </w:trPr>
        <w:tc>
          <w:tcPr>
            <w:tcW w:w="220" w:type="dxa"/>
            <w:vAlign w:val="bottom"/>
            <w:vMerge w:val="restart"/>
          </w:tcPr>
          <w:p>
            <w:pPr>
              <w:jc w:val="right"/>
              <w:ind w:right="48"/>
              <w:spacing w:after="0"/>
              <w:rPr>
                <w:sz w:val="20"/>
                <w:szCs w:val="20"/>
                <w:color w:val="auto"/>
              </w:rPr>
            </w:pPr>
            <w:r>
              <w:rPr>
                <w:rFonts w:ascii="Arial" w:cs="Arial" w:eastAsia="Arial" w:hAnsi="Arial"/>
                <w:sz w:val="10"/>
                <w:szCs w:val="10"/>
                <w:b w:val="1"/>
                <w:bCs w:val="1"/>
                <w:color w:val="1A3FD6"/>
              </w:rPr>
              <w:t>¢</w:t>
            </w:r>
          </w:p>
        </w:tc>
        <w:tc>
          <w:tcPr>
            <w:tcW w:w="2160" w:type="dxa"/>
            <w:vAlign w:val="bottom"/>
          </w:tcPr>
          <w:p>
            <w:pPr>
              <w:ind w:left="80"/>
              <w:spacing w:after="0"/>
              <w:rPr>
                <w:sz w:val="20"/>
                <w:szCs w:val="20"/>
                <w:color w:val="auto"/>
              </w:rPr>
            </w:pPr>
            <w:r>
              <w:rPr>
                <w:rFonts w:ascii="Arial" w:cs="Arial" w:eastAsia="Arial" w:hAnsi="Arial"/>
                <w:sz w:val="14"/>
                <w:szCs w:val="14"/>
                <w:color w:val="auto"/>
              </w:rPr>
              <w:t>Compensation Actually Paid to</w:t>
            </w:r>
          </w:p>
        </w:tc>
        <w:tc>
          <w:tcPr>
            <w:tcW w:w="340" w:type="dxa"/>
            <w:vAlign w:val="bottom"/>
            <w:vMerge w:val="restart"/>
          </w:tcPr>
          <w:p>
            <w:pPr>
              <w:jc w:val="right"/>
              <w:ind w:right="48"/>
              <w:spacing w:after="0"/>
              <w:rPr>
                <w:sz w:val="20"/>
                <w:szCs w:val="20"/>
                <w:color w:val="auto"/>
              </w:rPr>
            </w:pPr>
            <w:r>
              <w:rPr>
                <w:rFonts w:ascii="Arial" w:cs="Arial" w:eastAsia="Arial" w:hAnsi="Arial"/>
                <w:sz w:val="10"/>
                <w:szCs w:val="10"/>
                <w:b w:val="1"/>
                <w:bCs w:val="1"/>
                <w:color w:val="7188EF"/>
              </w:rPr>
              <w:t>¢</w:t>
            </w:r>
          </w:p>
        </w:tc>
        <w:tc>
          <w:tcPr>
            <w:tcW w:w="3020" w:type="dxa"/>
            <w:vAlign w:val="bottom"/>
          </w:tcPr>
          <w:p>
            <w:pPr>
              <w:ind w:left="100"/>
              <w:spacing w:after="0"/>
              <w:rPr>
                <w:sz w:val="20"/>
                <w:szCs w:val="20"/>
                <w:color w:val="auto"/>
              </w:rPr>
            </w:pPr>
            <w:r>
              <w:rPr>
                <w:rFonts w:ascii="Arial" w:cs="Arial" w:eastAsia="Arial" w:hAnsi="Arial"/>
                <w:sz w:val="14"/>
                <w:szCs w:val="14"/>
                <w:color w:val="auto"/>
              </w:rPr>
              <w:t>Average Compensation Actually Paid to</w:t>
            </w:r>
          </w:p>
        </w:tc>
        <w:tc>
          <w:tcPr>
            <w:tcW w:w="2360" w:type="dxa"/>
            <w:vAlign w:val="bottom"/>
            <w:vMerge w:val="restart"/>
          </w:tcPr>
          <w:p>
            <w:pPr>
              <w:ind w:left="400"/>
              <w:spacing w:after="0"/>
              <w:rPr>
                <w:sz w:val="20"/>
                <w:szCs w:val="20"/>
                <w:color w:val="auto"/>
              </w:rPr>
            </w:pPr>
            <w:r>
              <w:rPr>
                <w:rFonts w:ascii="Arial" w:cs="Arial" w:eastAsia="Arial" w:hAnsi="Arial"/>
                <w:sz w:val="14"/>
                <w:szCs w:val="14"/>
                <w:color w:val="auto"/>
              </w:rPr>
              <w:t>Total Shareholder Return</w:t>
            </w:r>
            <w:r>
              <w:rPr>
                <w:rFonts w:ascii="Arial" w:cs="Arial" w:eastAsia="Arial" w:hAnsi="Arial"/>
                <w:sz w:val="18"/>
                <w:szCs w:val="18"/>
                <w:color w:val="auto"/>
                <w:vertAlign w:val="superscript"/>
              </w:rPr>
              <w:t>(1)</w:t>
            </w:r>
          </w:p>
        </w:tc>
        <w:tc>
          <w:tcPr>
            <w:tcW w:w="1640" w:type="dxa"/>
            <w:vAlign w:val="bottom"/>
            <w:vMerge w:val="restart"/>
          </w:tcPr>
          <w:p>
            <w:pPr>
              <w:ind w:left="260"/>
              <w:spacing w:after="0"/>
              <w:rPr>
                <w:sz w:val="20"/>
                <w:szCs w:val="20"/>
                <w:color w:val="auto"/>
              </w:rPr>
            </w:pPr>
            <w:r>
              <w:rPr>
                <w:rFonts w:ascii="Arial" w:cs="Arial" w:eastAsia="Arial" w:hAnsi="Arial"/>
                <w:sz w:val="14"/>
                <w:szCs w:val="14"/>
                <w:color w:val="auto"/>
              </w:rPr>
              <w:t>Peer Group Total</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160" w:type="dxa"/>
            <w:vAlign w:val="bottom"/>
            <w:vMerge w:val="restart"/>
          </w:tcPr>
          <w:p>
            <w:pPr>
              <w:ind w:left="80"/>
              <w:spacing w:after="0"/>
              <w:rPr>
                <w:sz w:val="20"/>
                <w:szCs w:val="20"/>
                <w:color w:val="auto"/>
              </w:rPr>
            </w:pPr>
            <w:r>
              <w:rPr>
                <w:rFonts w:ascii="Arial" w:cs="Arial" w:eastAsia="Arial" w:hAnsi="Arial"/>
                <w:sz w:val="14"/>
                <w:szCs w:val="14"/>
                <w:color w:val="auto"/>
              </w:rPr>
              <w:t>PEO</w:t>
            </w:r>
          </w:p>
        </w:tc>
        <w:tc>
          <w:tcPr>
            <w:tcW w:w="340" w:type="dxa"/>
            <w:vAlign w:val="bottom"/>
            <w:vMerge w:val="continue"/>
          </w:tcPr>
          <w:p>
            <w:pPr>
              <w:spacing w:after="0"/>
              <w:rPr>
                <w:sz w:val="9"/>
                <w:szCs w:val="9"/>
                <w:color w:val="auto"/>
              </w:rPr>
            </w:pPr>
          </w:p>
        </w:tc>
        <w:tc>
          <w:tcPr>
            <w:tcW w:w="3020" w:type="dxa"/>
            <w:vAlign w:val="bottom"/>
            <w:vMerge w:val="restart"/>
          </w:tcPr>
          <w:p>
            <w:pPr>
              <w:ind w:left="100"/>
              <w:spacing w:after="0"/>
              <w:rPr>
                <w:sz w:val="20"/>
                <w:szCs w:val="20"/>
                <w:color w:val="auto"/>
              </w:rPr>
            </w:pPr>
            <w:r>
              <w:rPr>
                <w:rFonts w:ascii="Arial" w:cs="Arial" w:eastAsia="Arial" w:hAnsi="Arial"/>
                <w:sz w:val="14"/>
                <w:szCs w:val="14"/>
                <w:color w:val="auto"/>
              </w:rPr>
              <w:t>Non-PEO NEOs</w:t>
            </w:r>
          </w:p>
        </w:tc>
        <w:tc>
          <w:tcPr>
            <w:tcW w:w="236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20" w:type="dxa"/>
            <w:vAlign w:val="bottom"/>
          </w:tcPr>
          <w:p>
            <w:pPr>
              <w:spacing w:after="0"/>
              <w:rPr>
                <w:sz w:val="7"/>
                <w:szCs w:val="7"/>
                <w:color w:val="auto"/>
              </w:rPr>
            </w:pPr>
          </w:p>
        </w:tc>
        <w:tc>
          <w:tcPr>
            <w:tcW w:w="21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2360" w:type="dxa"/>
            <w:vAlign w:val="bottom"/>
          </w:tcPr>
          <w:p>
            <w:pPr>
              <w:spacing w:after="0"/>
              <w:rPr>
                <w:sz w:val="7"/>
                <w:szCs w:val="7"/>
                <w:color w:val="auto"/>
              </w:rPr>
            </w:pPr>
          </w:p>
        </w:tc>
        <w:tc>
          <w:tcPr>
            <w:tcW w:w="1640" w:type="dxa"/>
            <w:vAlign w:val="bottom"/>
            <w:vMerge w:val="restart"/>
          </w:tcPr>
          <w:p>
            <w:pPr>
              <w:ind w:left="260"/>
              <w:spacing w:after="0"/>
              <w:rPr>
                <w:sz w:val="20"/>
                <w:szCs w:val="20"/>
                <w:color w:val="auto"/>
              </w:rPr>
            </w:pPr>
            <w:r>
              <w:rPr>
                <w:rFonts w:ascii="Arial" w:cs="Arial" w:eastAsia="Arial" w:hAnsi="Arial"/>
                <w:sz w:val="14"/>
                <w:szCs w:val="14"/>
                <w:color w:val="auto"/>
                <w:w w:val="99"/>
              </w:rPr>
              <w:t>Shareholder Return</w:t>
            </w:r>
            <w:r>
              <w:rPr>
                <w:rFonts w:ascii="Arial" w:cs="Arial" w:eastAsia="Arial" w:hAnsi="Arial"/>
                <w:sz w:val="18"/>
                <w:szCs w:val="18"/>
                <w:color w:val="auto"/>
                <w:w w:val="99"/>
                <w:vertAlign w:val="superscript"/>
              </w:rPr>
              <w:t>(1)</w:t>
            </w: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-227965</wp:posOffset>
            </wp:positionV>
            <wp:extent cx="137160" cy="514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37160" cy="5143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-227965</wp:posOffset>
            </wp:positionV>
            <wp:extent cx="154305" cy="514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54305" cy="51435"/>
                    </a:xfrm>
                    <a:prstGeom prst="rect">
                      <a:avLst/>
                    </a:prstGeom>
                    <a:noFill/>
                  </pic:spPr>
                </pic:pic>
              </a:graphicData>
            </a:graphic>
          </wp:anchor>
        </w:drawing>
      </w:r>
    </w:p>
    <w:p>
      <w:pPr>
        <w:spacing w:after="0" w:line="286" w:lineRule="exact"/>
        <w:rPr>
          <w:sz w:val="20"/>
          <w:szCs w:val="20"/>
          <w:color w:val="auto"/>
        </w:rPr>
      </w:pPr>
    </w:p>
    <w:p>
      <w:pPr>
        <w:ind w:left="200" w:right="180" w:hanging="192"/>
        <w:spacing w:after="0" w:line="303" w:lineRule="auto"/>
        <w:tabs>
          <w:tab w:leader="none" w:pos="187" w:val="left"/>
        </w:tabs>
        <w:numPr>
          <w:ilvl w:val="0"/>
          <w:numId w:val="107"/>
        </w:numPr>
        <w:rPr>
          <w:rFonts w:ascii="Arial" w:cs="Arial" w:eastAsia="Arial" w:hAnsi="Arial"/>
          <w:sz w:val="9"/>
          <w:szCs w:val="9"/>
          <w:color w:val="auto"/>
        </w:rPr>
      </w:pPr>
      <w:r>
        <w:rPr>
          <w:rFonts w:ascii="Arial" w:cs="Arial" w:eastAsia="Arial" w:hAnsi="Arial"/>
          <w:sz w:val="14"/>
          <w:szCs w:val="14"/>
          <w:color w:val="auto"/>
        </w:rPr>
        <w:t>TSR is cumulative for the measurement periods beginning on December 31, 2019 and ending on December 31 of each of 2024, 2023, 2022, 2021 and 2020, respectively, calculated in accordance with Item 201(e) of Regulation S-K. The peer group for purposes of this graph reflects the Company’s industry sector and is the same as our peer group set forth above in “Proxy Summary—Total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97" w:name="page98"/>
    <w:bookmarkEnd w:id="97"/>
    <w:p>
      <w:pPr>
        <w:ind w:left="92"/>
        <w:spacing w:after="0"/>
        <w:tabs>
          <w:tab w:leader="none" w:pos="772"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96</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
        <w:spacing w:after="0"/>
        <w:rPr>
          <w:sz w:val="20"/>
          <w:szCs w:val="20"/>
          <w:color w:val="auto"/>
        </w:rPr>
      </w:pPr>
      <w:r>
        <w:rPr>
          <w:rFonts w:ascii="Arial" w:cs="Arial" w:eastAsia="Arial" w:hAnsi="Arial"/>
          <w:sz w:val="20"/>
          <w:szCs w:val="20"/>
          <w:color w:val="1A3FD6"/>
        </w:rPr>
        <w:t>Compensation Actually Paid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32320" cy="27000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992" w:type="dxa"/>
        <w:tblCellMar>
          <w:top w:w="0" w:type="dxa"/>
          <w:left w:w="0" w:type="dxa"/>
          <w:bottom w:w="0" w:type="dxa"/>
          <w:right w:w="0" w:type="dxa"/>
        </w:tblCellMar>
      </w:tblPr>
      <w:tr>
        <w:trPr>
          <w:trHeight w:val="326"/>
        </w:trPr>
        <w:tc>
          <w:tcPr>
            <w:tcW w:w="2380" w:type="dxa"/>
            <w:vAlign w:val="bottom"/>
          </w:tcPr>
          <w:p>
            <w:pPr>
              <w:spacing w:after="0"/>
              <w:rPr>
                <w:sz w:val="20"/>
                <w:szCs w:val="20"/>
                <w:color w:val="auto"/>
              </w:rPr>
            </w:pPr>
            <w:r>
              <w:rPr>
                <w:rFonts w:ascii="Arial" w:cs="Arial" w:eastAsia="Arial" w:hAnsi="Arial"/>
                <w:sz w:val="20"/>
                <w:szCs w:val="20"/>
                <w:b w:val="1"/>
                <w:bCs w:val="1"/>
                <w:color w:val="1A3FD6"/>
                <w:vertAlign w:val="subscript"/>
              </w:rPr>
              <w:t>¢</w:t>
            </w:r>
            <w:r>
              <w:rPr>
                <w:rFonts w:ascii="Arial" w:cs="Arial" w:eastAsia="Arial" w:hAnsi="Arial"/>
                <w:sz w:val="14"/>
                <w:szCs w:val="14"/>
                <w:color w:val="auto"/>
              </w:rPr>
              <w:t xml:space="preserve">  Compensation Actually Paid to</w:t>
            </w:r>
          </w:p>
        </w:tc>
        <w:tc>
          <w:tcPr>
            <w:tcW w:w="3360" w:type="dxa"/>
            <w:vAlign w:val="bottom"/>
          </w:tcPr>
          <w:p>
            <w:pPr>
              <w:ind w:left="140"/>
              <w:spacing w:after="0"/>
              <w:rPr>
                <w:sz w:val="20"/>
                <w:szCs w:val="20"/>
                <w:color w:val="auto"/>
              </w:rPr>
            </w:pPr>
            <w:r>
              <w:rPr>
                <w:rFonts w:ascii="Arial" w:cs="Arial" w:eastAsia="Arial" w:hAnsi="Arial"/>
                <w:sz w:val="20"/>
                <w:szCs w:val="20"/>
                <w:b w:val="1"/>
                <w:bCs w:val="1"/>
                <w:color w:val="7188EF"/>
                <w:vertAlign w:val="subscript"/>
              </w:rPr>
              <w:t>¢</w:t>
            </w:r>
            <w:r>
              <w:rPr>
                <w:rFonts w:ascii="Arial" w:cs="Arial" w:eastAsia="Arial" w:hAnsi="Arial"/>
                <w:sz w:val="14"/>
                <w:szCs w:val="14"/>
                <w:color w:val="auto"/>
              </w:rPr>
              <w:t xml:space="preserve">  Average Compensation Actually Paid to</w:t>
            </w:r>
          </w:p>
        </w:tc>
        <w:tc>
          <w:tcPr>
            <w:tcW w:w="1140" w:type="dxa"/>
            <w:vAlign w:val="bottom"/>
          </w:tcPr>
          <w:p>
            <w:pPr>
              <w:ind w:left="400"/>
              <w:spacing w:after="0"/>
              <w:rPr>
                <w:sz w:val="20"/>
                <w:szCs w:val="20"/>
                <w:color w:val="auto"/>
              </w:rPr>
            </w:pPr>
            <w:r>
              <w:rPr>
                <w:rFonts w:ascii="Arial" w:cs="Arial" w:eastAsia="Arial" w:hAnsi="Arial"/>
                <w:sz w:val="14"/>
                <w:szCs w:val="14"/>
                <w:color w:val="auto"/>
              </w:rPr>
              <w:t>Net Income</w:t>
            </w:r>
          </w:p>
        </w:tc>
      </w:tr>
      <w:tr>
        <w:trPr>
          <w:trHeight w:val="190"/>
        </w:trPr>
        <w:tc>
          <w:tcPr>
            <w:tcW w:w="2380" w:type="dxa"/>
            <w:vAlign w:val="bottom"/>
          </w:tcPr>
          <w:p>
            <w:pPr>
              <w:ind w:left="280"/>
              <w:spacing w:after="0"/>
              <w:rPr>
                <w:sz w:val="20"/>
                <w:szCs w:val="20"/>
                <w:color w:val="auto"/>
              </w:rPr>
            </w:pPr>
            <w:r>
              <w:rPr>
                <w:rFonts w:ascii="Arial" w:cs="Arial" w:eastAsia="Arial" w:hAnsi="Arial"/>
                <w:sz w:val="14"/>
                <w:szCs w:val="14"/>
                <w:color w:val="auto"/>
              </w:rPr>
              <w:t>PEO</w:t>
            </w:r>
          </w:p>
        </w:tc>
        <w:tc>
          <w:tcPr>
            <w:tcW w:w="3360" w:type="dxa"/>
            <w:vAlign w:val="bottom"/>
          </w:tcPr>
          <w:p>
            <w:pPr>
              <w:ind w:left="440"/>
              <w:spacing w:after="0"/>
              <w:rPr>
                <w:sz w:val="20"/>
                <w:szCs w:val="20"/>
                <w:color w:val="auto"/>
              </w:rPr>
            </w:pPr>
            <w:r>
              <w:rPr>
                <w:rFonts w:ascii="Arial" w:cs="Arial" w:eastAsia="Arial" w:hAnsi="Arial"/>
                <w:sz w:val="14"/>
                <w:szCs w:val="14"/>
                <w:color w:val="auto"/>
              </w:rPr>
              <w:t>Non-PEO NEOs</w:t>
            </w:r>
          </w:p>
        </w:tc>
        <w:tc>
          <w:tcPr>
            <w:tcW w:w="11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4903470</wp:posOffset>
            </wp:positionH>
            <wp:positionV relativeFrom="paragraph">
              <wp:posOffset>-137160</wp:posOffset>
            </wp:positionV>
            <wp:extent cx="137160" cy="514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37160" cy="5143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2"/>
        <w:spacing w:after="0"/>
        <w:rPr>
          <w:sz w:val="20"/>
          <w:szCs w:val="20"/>
          <w:color w:val="auto"/>
        </w:rPr>
      </w:pPr>
      <w:r>
        <w:rPr>
          <w:rFonts w:ascii="Arial" w:cs="Arial" w:eastAsia="Arial" w:hAnsi="Arial"/>
          <w:sz w:val="20"/>
          <w:szCs w:val="20"/>
          <w:color w:val="1A3FD6"/>
        </w:rPr>
        <w:t>Compensation Actually Paid and Adjusted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32320" cy="270891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1812" w:type="dxa"/>
        <w:tblCellMar>
          <w:top w:w="0" w:type="dxa"/>
          <w:left w:w="0" w:type="dxa"/>
          <w:bottom w:w="0" w:type="dxa"/>
          <w:right w:w="0" w:type="dxa"/>
        </w:tblCellMar>
      </w:tblPr>
      <w:tr>
        <w:trPr>
          <w:trHeight w:val="251"/>
        </w:trPr>
        <w:tc>
          <w:tcPr>
            <w:tcW w:w="2360" w:type="dxa"/>
            <w:vAlign w:val="bottom"/>
          </w:tcPr>
          <w:p>
            <w:pPr>
              <w:spacing w:after="0"/>
              <w:rPr>
                <w:sz w:val="20"/>
                <w:szCs w:val="20"/>
                <w:color w:val="auto"/>
              </w:rPr>
            </w:pPr>
            <w:r>
              <w:rPr>
                <w:rFonts w:ascii="Arial" w:cs="Arial" w:eastAsia="Arial" w:hAnsi="Arial"/>
                <w:sz w:val="20"/>
                <w:szCs w:val="20"/>
                <w:b w:val="1"/>
                <w:bCs w:val="1"/>
                <w:color w:val="1A3FD6"/>
                <w:vertAlign w:val="subscript"/>
              </w:rPr>
              <w:t>¢</w:t>
            </w:r>
            <w:r>
              <w:rPr>
                <w:rFonts w:ascii="Arial" w:cs="Arial" w:eastAsia="Arial" w:hAnsi="Arial"/>
                <w:sz w:val="14"/>
                <w:szCs w:val="14"/>
                <w:color w:val="auto"/>
              </w:rPr>
              <w:t xml:space="preserve">  Compensation Actually Paid to</w:t>
            </w:r>
          </w:p>
        </w:tc>
        <w:tc>
          <w:tcPr>
            <w:tcW w:w="3540" w:type="dxa"/>
            <w:vAlign w:val="bottom"/>
          </w:tcPr>
          <w:p>
            <w:pPr>
              <w:ind w:left="140"/>
              <w:spacing w:after="0"/>
              <w:rPr>
                <w:sz w:val="20"/>
                <w:szCs w:val="20"/>
                <w:color w:val="auto"/>
              </w:rPr>
            </w:pPr>
            <w:r>
              <w:rPr>
                <w:rFonts w:ascii="Arial" w:cs="Arial" w:eastAsia="Arial" w:hAnsi="Arial"/>
                <w:sz w:val="20"/>
                <w:szCs w:val="20"/>
                <w:b w:val="1"/>
                <w:bCs w:val="1"/>
                <w:color w:val="7188EF"/>
                <w:vertAlign w:val="subscript"/>
              </w:rPr>
              <w:t>¢</w:t>
            </w:r>
            <w:r>
              <w:rPr>
                <w:rFonts w:ascii="Arial" w:cs="Arial" w:eastAsia="Arial" w:hAnsi="Arial"/>
                <w:sz w:val="14"/>
                <w:szCs w:val="14"/>
                <w:color w:val="auto"/>
              </w:rPr>
              <w:t xml:space="preserve">  Average Compensation Actually Paid to Non-</w:t>
            </w:r>
          </w:p>
        </w:tc>
        <w:tc>
          <w:tcPr>
            <w:tcW w:w="1240" w:type="dxa"/>
            <w:vAlign w:val="bottom"/>
            <w:vMerge w:val="restart"/>
          </w:tcPr>
          <w:p>
            <w:pPr>
              <w:ind w:left="240"/>
              <w:spacing w:after="0"/>
              <w:rPr>
                <w:sz w:val="20"/>
                <w:szCs w:val="20"/>
                <w:color w:val="auto"/>
              </w:rPr>
            </w:pPr>
            <w:r>
              <w:rPr>
                <w:rFonts w:ascii="Arial" w:cs="Arial" w:eastAsia="Arial" w:hAnsi="Arial"/>
                <w:sz w:val="14"/>
                <w:szCs w:val="14"/>
                <w:color w:val="auto"/>
              </w:rPr>
              <w:t>Adjusted EPS</w:t>
            </w: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190"/>
        </w:trPr>
        <w:tc>
          <w:tcPr>
            <w:tcW w:w="2360" w:type="dxa"/>
            <w:vAlign w:val="bottom"/>
          </w:tcPr>
          <w:p>
            <w:pPr>
              <w:ind w:left="280"/>
              <w:spacing w:after="0"/>
              <w:rPr>
                <w:sz w:val="20"/>
                <w:szCs w:val="20"/>
                <w:color w:val="auto"/>
              </w:rPr>
            </w:pPr>
            <w:r>
              <w:rPr>
                <w:rFonts w:ascii="Arial" w:cs="Arial" w:eastAsia="Arial" w:hAnsi="Arial"/>
                <w:sz w:val="14"/>
                <w:szCs w:val="14"/>
                <w:color w:val="auto"/>
              </w:rPr>
              <w:t>PEO</w:t>
            </w:r>
          </w:p>
        </w:tc>
        <w:tc>
          <w:tcPr>
            <w:tcW w:w="3540" w:type="dxa"/>
            <w:vAlign w:val="bottom"/>
          </w:tcPr>
          <w:p>
            <w:pPr>
              <w:ind w:left="420"/>
              <w:spacing w:after="0"/>
              <w:rPr>
                <w:sz w:val="20"/>
                <w:szCs w:val="20"/>
                <w:color w:val="auto"/>
              </w:rPr>
            </w:pPr>
            <w:r>
              <w:rPr>
                <w:rFonts w:ascii="Arial" w:cs="Arial" w:eastAsia="Arial" w:hAnsi="Arial"/>
                <w:sz w:val="14"/>
                <w:szCs w:val="14"/>
                <w:color w:val="auto"/>
              </w:rPr>
              <w:t>PEO NEOs</w:t>
            </w: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4783455</wp:posOffset>
            </wp:positionH>
            <wp:positionV relativeFrom="paragraph">
              <wp:posOffset>-131445</wp:posOffset>
            </wp:positionV>
            <wp:extent cx="137160" cy="514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37160" cy="51435"/>
                    </a:xfrm>
                    <a:prstGeom prst="rect">
                      <a:avLst/>
                    </a:prstGeom>
                    <a:noFill/>
                  </pic:spPr>
                </pic:pic>
              </a:graphicData>
            </a:graphic>
          </wp:anchor>
        </w:drawing>
      </w:r>
    </w:p>
    <w:p>
      <w:pPr>
        <w:spacing w:after="0" w:line="194" w:lineRule="exact"/>
        <w:rPr>
          <w:sz w:val="20"/>
          <w:szCs w:val="20"/>
          <w:color w:val="auto"/>
        </w:rPr>
      </w:pPr>
    </w:p>
    <w:p>
      <w:pPr>
        <w:ind w:left="172" w:hanging="172"/>
        <w:spacing w:after="0"/>
        <w:tabs>
          <w:tab w:leader="none" w:pos="172" w:val="left"/>
        </w:tabs>
        <w:numPr>
          <w:ilvl w:val="0"/>
          <w:numId w:val="108"/>
        </w:numPr>
        <w:rPr>
          <w:rFonts w:ascii="Arial" w:cs="Arial" w:eastAsia="Arial" w:hAnsi="Arial"/>
          <w:sz w:val="19"/>
          <w:szCs w:val="19"/>
          <w:color w:val="auto"/>
          <w:vertAlign w:val="superscript"/>
        </w:rPr>
      </w:pPr>
      <w:r>
        <w:rPr>
          <w:rFonts w:ascii="Arial" w:cs="Arial" w:eastAsia="Arial" w:hAnsi="Arial"/>
          <w:sz w:val="14"/>
          <w:szCs w:val="14"/>
          <w:color w:val="auto"/>
        </w:rPr>
        <w:t>Adjusted EPS is a non-GAAP financial measure. See Annex B for definitions and reconciliations of all non-GAAP financial measures referenced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703580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1"/>
          </w:cols>
          <w:pgMar w:left="328" w:top="292" w:right="1440"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8420"/>
              <w:spacing w:after="0"/>
              <w:rPr>
                <w:sz w:val="20"/>
                <w:szCs w:val="20"/>
                <w:color w:val="auto"/>
              </w:rPr>
            </w:pPr>
            <w:r>
              <w:rPr>
                <w:rFonts w:ascii="Arial" w:cs="Arial" w:eastAsia="Arial" w:hAnsi="Arial"/>
                <w:sz w:val="14"/>
                <w:szCs w:val="14"/>
                <w:b w:val="1"/>
                <w:bCs w:val="1"/>
                <w:color w:val="1A3FD6"/>
              </w:rPr>
              <w:t>Compensation Matters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97</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3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Measures</w:t>
      </w:r>
    </w:p>
    <w:p>
      <w:pPr>
        <w:spacing w:after="0" w:line="10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As described in more detail in the Compensation Discussion and Analysis beginning on page 58 of this Proxy Statement, our executive compensation program is designed to facilitate an "owner-operator" mindset amongst our senior executives. In connection with our pay-for-performance philosophy, we utilize multiple, complementary performance measures under our AIP and LTIP that measure and reward for performance against core financial, operational and strategic milestones that drive shareholder value creation.</w:t>
      </w:r>
    </w:p>
    <w:p>
      <w:pPr>
        <w:spacing w:after="0" w:line="72"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Adjusted EPS and operating revenues are utilized as performance measures for our AIP. Other performance measures applicable to our NEOs under our AIP include total net sales and free cash flow, and further information regarding these performance measures can be found under Compensation Discussion and Analysis.</w:t>
      </w:r>
    </w:p>
    <w:p>
      <w:pPr>
        <w:spacing w:after="0" w:line="71" w:lineRule="exact"/>
        <w:rPr>
          <w:sz w:val="20"/>
          <w:szCs w:val="20"/>
          <w:color w:val="auto"/>
        </w:rPr>
      </w:pPr>
    </w:p>
    <w:p>
      <w:pPr>
        <w:ind w:right="460"/>
        <w:spacing w:after="0" w:line="283" w:lineRule="auto"/>
        <w:rPr>
          <w:sz w:val="20"/>
          <w:szCs w:val="20"/>
          <w:color w:val="auto"/>
        </w:rPr>
      </w:pPr>
      <w:r>
        <w:rPr>
          <w:rFonts w:ascii="Arial" w:cs="Arial" w:eastAsia="Arial" w:hAnsi="Arial"/>
          <w:sz w:val="16"/>
          <w:szCs w:val="16"/>
          <w:color w:val="auto"/>
        </w:rPr>
        <w:t>Under our LTIP, beginning in 2022, we granted PSOs that are eligible to vest based on the combined level of achievement of (i) a cumulative operating revenue performance goal and (ii) a cumulative adjusted EPS performance goal (each weighted equally) and measured over a cumulative three-year performance period. We also granted PSUs that are eligible to vest based on the achievement of an absolute TSR CAGR measured over a cumulative three-year performance period.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an unranked list of the “most important” performance measures we used to link pay with performance for 2024.</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Adjusted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Revenues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Free Cash Flow</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3-Year Absolute TSR CAGR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do not consider any one of the above performance measures to be the single most important financial measure for our company or executive compensation design. However, adjusted EPS is a performance measure that is utilized under both our AIP and our LTIP and is a key metric used by our management and our investors in evaluating our performance, and therefore, for purposes of the 2024 Pay versus Performance Table, we disclose adjusted EPS to be the “most important” financial performance measure utilized in our executive compensation program for 2024 for linking pay with performance and as our “company-selected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652145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99" w:name="page100"/>
    <w:bookmarkEnd w:id="99"/>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98</w:t>
      </w:r>
      <w:r>
        <w:rPr>
          <w:sz w:val="20"/>
          <w:szCs w:val="20"/>
          <w:color w:val="auto"/>
        </w:rPr>
        <w:tab/>
      </w:r>
      <w:r>
        <w:rPr>
          <w:rFonts w:ascii="Arial" w:cs="Arial" w:eastAsia="Arial" w:hAnsi="Arial"/>
          <w:sz w:val="14"/>
          <w:szCs w:val="14"/>
          <w:b w:val="1"/>
          <w:bCs w:val="1"/>
          <w:color w:val="1A3FD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10369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PROPOSAL NO. 3</w:t>
      </w:r>
    </w:p>
    <w:p>
      <w:pPr>
        <w:spacing w:after="0" w:line="103" w:lineRule="exact"/>
        <w:rPr>
          <w:sz w:val="20"/>
          <w:szCs w:val="20"/>
          <w:color w:val="auto"/>
        </w:rPr>
      </w:pPr>
    </w:p>
    <w:p>
      <w:pPr>
        <w:ind w:left="1180" w:right="3020"/>
        <w:spacing w:after="0" w:line="321" w:lineRule="auto"/>
        <w:rPr>
          <w:sz w:val="20"/>
          <w:szCs w:val="20"/>
          <w:color w:val="auto"/>
        </w:rPr>
      </w:pPr>
      <w:r>
        <w:rPr>
          <w:rFonts w:ascii="Arial" w:cs="Arial" w:eastAsia="Arial" w:hAnsi="Arial"/>
          <w:sz w:val="36"/>
          <w:szCs w:val="36"/>
          <w:b w:val="1"/>
          <w:bCs w:val="1"/>
          <w:color w:val="1A3FD6"/>
        </w:rPr>
        <w:t>Approval of the MSCI Inc. 2025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43688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spacing w:after="0" w:line="3" w:lineRule="exact"/>
        <w:rPr>
          <w:sz w:val="20"/>
          <w:szCs w:val="20"/>
          <w:color w:val="auto"/>
        </w:rPr>
      </w:pPr>
    </w:p>
    <w:p>
      <w:pPr>
        <w:ind w:left="1760"/>
        <w:spacing w:after="0"/>
        <w:rPr>
          <w:sz w:val="20"/>
          <w:szCs w:val="20"/>
          <w:color w:val="auto"/>
        </w:rPr>
      </w:pPr>
      <w:r>
        <w:rPr>
          <w:rFonts w:ascii="Arial" w:cs="Arial" w:eastAsia="Arial" w:hAnsi="Arial"/>
          <w:sz w:val="16"/>
          <w:szCs w:val="16"/>
          <w:color w:val="FFFFFF"/>
        </w:rPr>
        <w:t xml:space="preserve">Our Board of Directors recommends a vote </w:t>
      </w:r>
      <w:r>
        <w:rPr>
          <w:rFonts w:ascii="Arial" w:cs="Arial" w:eastAsia="Arial" w:hAnsi="Arial"/>
          <w:sz w:val="16"/>
          <w:szCs w:val="16"/>
          <w:b w:val="1"/>
          <w:bCs w:val="1"/>
          <w:color w:val="FFFFFF"/>
        </w:rPr>
        <w:t>“FOR”</w:t>
      </w:r>
      <w:r>
        <w:rPr>
          <w:rFonts w:ascii="Arial" w:cs="Arial" w:eastAsia="Arial" w:hAnsi="Arial"/>
          <w:sz w:val="16"/>
          <w:szCs w:val="16"/>
          <w:color w:val="FFFFFF"/>
        </w:rPr>
        <w:t xml:space="preserve"> the approval of the 2025 Omnibus Incentive Plan.</w:t>
      </w:r>
    </w:p>
    <w:p>
      <w:pPr>
        <w:spacing w:after="0" w:line="140" w:lineRule="exact"/>
        <w:rPr>
          <w:sz w:val="20"/>
          <w:szCs w:val="20"/>
          <w:color w:val="auto"/>
        </w:rPr>
      </w:pPr>
    </w:p>
    <w:p>
      <w:pPr>
        <w:ind w:left="1760"/>
        <w:spacing w:after="0"/>
        <w:rPr>
          <w:sz w:val="20"/>
          <w:szCs w:val="20"/>
          <w:color w:val="auto"/>
        </w:rPr>
      </w:pPr>
      <w:r>
        <w:rPr>
          <w:rFonts w:ascii="Arial" w:cs="Arial" w:eastAsia="Arial" w:hAnsi="Arial"/>
          <w:sz w:val="16"/>
          <w:szCs w:val="16"/>
          <w:color w:val="FFFFFF"/>
        </w:rPr>
        <w:t xml:space="preserve">Proxies solicited by the Board will be voted </w:t>
      </w:r>
      <w:r>
        <w:rPr>
          <w:rFonts w:ascii="Arial" w:cs="Arial" w:eastAsia="Arial" w:hAnsi="Arial"/>
          <w:sz w:val="16"/>
          <w:szCs w:val="16"/>
          <w:b w:val="1"/>
          <w:bCs w:val="1"/>
          <w:color w:val="FFFFFF"/>
        </w:rPr>
        <w:t>“FOR”</w:t>
      </w:r>
      <w:r>
        <w:rPr>
          <w:rFonts w:ascii="Arial" w:cs="Arial" w:eastAsia="Arial" w:hAnsi="Arial"/>
          <w:sz w:val="16"/>
          <w:szCs w:val="16"/>
          <w:color w:val="FFFFFF"/>
        </w:rPr>
        <w:t xml:space="preserve"> this approval unless otherwise instructed.</w:t>
      </w:r>
    </w:p>
    <w:p>
      <w:pPr>
        <w:spacing w:after="0" w:line="200" w:lineRule="exact"/>
        <w:rPr>
          <w:sz w:val="20"/>
          <w:szCs w:val="20"/>
          <w:color w:val="auto"/>
        </w:rPr>
      </w:pPr>
    </w:p>
    <w:p>
      <w:pPr>
        <w:spacing w:after="0" w:line="210"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On March 6, 2025, upon the recommendation of the Compensation Committee, the Board approved the MSCI Inc. 2025 Omnibus Incentive Plan (the “2025 Plan”), subject to and effective upon shareholder approval at the 2025 Annual Meeting. The 2025 Plan allows us to grant the equity and cash incentive awards that are the key elements of our executive compensation philosophy and practices.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VOTE REQUIRED AND RECOMMENDATION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affirmative vote of a majority of the votes cast at our 2025 Annual Meeting, at which a quorum is present, is required to approve Proposal No. 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Abstentions and broker non-votes shall not be treated as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762635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92" w:right="459" w:bottom="1440" w:gutter="0" w:footer="0" w:header="0"/>
        </w:sectPr>
      </w:pPr>
    </w:p>
    <w:bookmarkStart w:id="100" w:name="page101"/>
    <w:bookmarkEnd w:id="100"/>
    <w:p>
      <w:pPr>
        <w:ind w:left="5100"/>
        <w:spacing w:after="0"/>
        <w:tabs>
          <w:tab w:leader="none" w:pos="109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Proposal No. 3: Approval of the MSCI Inc. 2025 Omnibus Incentive Plan | MSCI</w:t>
      </w:r>
      <w:r>
        <w:rPr>
          <w:sz w:val="20"/>
          <w:szCs w:val="20"/>
          <w:color w:val="auto"/>
        </w:rPr>
        <w:tab/>
      </w:r>
      <w:r>
        <w:rPr>
          <w:rFonts w:ascii="Arial" w:cs="Arial" w:eastAsia="Arial" w:hAnsi="Arial"/>
          <w:sz w:val="14"/>
          <w:szCs w:val="14"/>
          <w:b w:val="1"/>
          <w:bCs w:val="1"/>
          <w:color w:val="1A3FD6"/>
        </w:rPr>
        <w:t>99</w:t>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Background</w:t>
      </w:r>
    </w:p>
    <w:p>
      <w:pPr>
        <w:spacing w:after="0" w:line="181"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On March 6, 2025, upon the recommendation of the Compensation Committee, our Board adopted the 2025 Plan, subject to approval by our shareholders at the 2025 Annual Meeting. The 2025 Plan is intended to replace the Company’s existing equity compensation plans—the MSCI Inc. 2016 Omnibus Incentive Plan (as amended, the “2016 Omnibus Plan”) and the MSCI Inc. 2016 Non-Employee Directors Compensation Plan (the “2016 Directors Plan” and, together with the 2016 Omnibus Plan, the “2016 Plans”)—which were approved by our shareholders at our 2016 annual meeting of shareholders.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As described in more detail below, the maximum number of shares of our common stock requested for shareholder approval under the 2025 Plan consists of</w:t>
      </w:r>
    </w:p>
    <w:p>
      <w:pPr>
        <w:spacing w:after="0" w:line="31" w:lineRule="exact"/>
        <w:rPr>
          <w:sz w:val="20"/>
          <w:szCs w:val="20"/>
          <w:color w:val="auto"/>
        </w:rPr>
      </w:pPr>
    </w:p>
    <w:p>
      <w:pPr>
        <w:ind w:right="40" w:firstLine="8"/>
        <w:spacing w:after="0" w:line="285" w:lineRule="auto"/>
        <w:tabs>
          <w:tab w:leader="none" w:pos="189" w:val="left"/>
        </w:tabs>
        <w:numPr>
          <w:ilvl w:val="0"/>
          <w:numId w:val="109"/>
        </w:numPr>
        <w:rPr>
          <w:rFonts w:ascii="Arial" w:cs="Arial" w:eastAsia="Arial" w:hAnsi="Arial"/>
          <w:sz w:val="16"/>
          <w:szCs w:val="16"/>
          <w:color w:val="auto"/>
        </w:rPr>
      </w:pPr>
      <w:r>
        <w:rPr>
          <w:rFonts w:ascii="Arial" w:cs="Arial" w:eastAsia="Arial" w:hAnsi="Arial"/>
          <w:sz w:val="16"/>
          <w:szCs w:val="16"/>
          <w:color w:val="auto"/>
        </w:rPr>
        <w:t>3,621,064 plus (ii) the number of shares remaining available for future issuance under the 2016 Plans as of the date of shareholder approval of the 2025 Plan (subject to adjustment for certain corporate events, as described below). The shares remaining available for future issuance under the 2016 Plans as of the date of shareholder approval of the 2025 Plan will roll over into the 2025 Plan and will no longer be available for issuance under the 2016 Plans.</w:t>
      </w:r>
    </w:p>
    <w:p>
      <w:pPr>
        <w:spacing w:after="0" w:line="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of February 14, 2025, the total number of shares remaining available for future issuance under the 2016 Plans was 2,998,936 shares (which, when added to the requested incremental 3,621,064 shares, would result in a total share pool under the 2025 Plan of 6,620,000 shares). The actual number of shares to be rolled over into the 2025 Plan will be equal to the number of shares remaining available for issuance under the 2016 Plans as of the effective date of the 2025 Plan, after accounting for any grants and forfeitures made under the 2016 Plans before that date.</w:t>
      </w:r>
    </w:p>
    <w:p>
      <w:pPr>
        <w:spacing w:after="0" w:line="59"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If approved by the Company’s shareholders, the 2025 Plan will become effective as of the date of such shareholder approval and will replace the 2016 Plans for any new grants made after the date of such shareholder approval. Accordingly, upon approval of the 2025 Plan by our shareholders, (i) no further awards will be granted under the 2016 Plans, (ii) any shares remaining available under the 2016 Plans as of the date of shareholder approval of the 2025 Plan will roll over to the 2025 Plan, and (iii) any awards granted under the 2016 Plans prior to the date the 2025 Plan is approved by our shareholders will remain outstanding under such plans and will continue to vest and/or become exercisable in accordance with their original terms and conditions. Awards under the 2025 Plan and 2016 Plans that are forfeited or cancelled after shareholder approval of the 2025 Plan will become available for issuance under the 2025 Plan.</w:t>
      </w:r>
    </w:p>
    <w:p>
      <w:pPr>
        <w:spacing w:after="0" w:line="278"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If the 2025 Plan is not approved by our shareholders, the 2016 Plans will remain in effect in their current form, and we will continue to grant equity awards under the 2016 Plans until the expiration of the 2016 Plans on April 28, 2026. Following the expiration of the 2016 Plans, we will be unable to maintain our current equity grant practices, and therefore we will be at a significant competitive disadvantage in attracting, retaining and motivating talented individuals who contribute to our success. We will also be compelled to replace equity incentive awards with cash awards, which may not align the interests of our executives and employees with those of our shareholders as effectively as equity incentive awards.</w:t>
      </w:r>
    </w:p>
    <w:p>
      <w:pPr>
        <w:spacing w:after="0" w:line="41"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Key Enhancements in the 2025 Plan</w:t>
      </w:r>
    </w:p>
    <w:p>
      <w:pPr>
        <w:spacing w:after="0" w:line="200"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We are asking our shareholders to approve the 2025 Plan, which will consolidate and replace the 2016 Plans. The 2025 Plan is designed to align with evolving governance standards, address shareholder feedback, and support the Company’s long-term business strategy. Key updates in the 2025 Plan from those contained in the 2016 Plans are summarized below:</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Revise Limits on Non-Employee Director Compensation</w:t>
      </w:r>
    </w:p>
    <w:p>
      <w:pPr>
        <w:spacing w:after="0" w:line="127" w:lineRule="exact"/>
        <w:rPr>
          <w:sz w:val="20"/>
          <w:szCs w:val="20"/>
          <w:color w:val="auto"/>
        </w:rPr>
      </w:pPr>
    </w:p>
    <w:p>
      <w:pPr>
        <w:ind w:left="200" w:right="160" w:hanging="192"/>
        <w:spacing w:after="0" w:line="321" w:lineRule="auto"/>
        <w:tabs>
          <w:tab w:leader="none" w:pos="197" w:val="left"/>
        </w:tabs>
        <w:numPr>
          <w:ilvl w:val="0"/>
          <w:numId w:val="110"/>
        </w:numPr>
        <w:rPr>
          <w:rFonts w:ascii="Arial" w:cs="Arial" w:eastAsia="Arial" w:hAnsi="Arial"/>
          <w:sz w:val="16"/>
          <w:szCs w:val="16"/>
          <w:color w:val="1A3FD6"/>
        </w:rPr>
      </w:pPr>
      <w:r>
        <w:rPr>
          <w:rFonts w:ascii="Arial" w:cs="Arial" w:eastAsia="Arial" w:hAnsi="Arial"/>
          <w:sz w:val="16"/>
          <w:szCs w:val="16"/>
          <w:color w:val="auto"/>
        </w:rPr>
        <w:t>Revises the annual cap on total compensation for non-employee directors, limiting the value of equity awards and cash compensation to $1,000,000 per director (from $2,000,000), aligning with market practices and shareholder expectations.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Plan Term</w:t>
      </w:r>
    </w:p>
    <w:p>
      <w:pPr>
        <w:spacing w:after="0" w:line="127" w:lineRule="exact"/>
        <w:rPr>
          <w:sz w:val="20"/>
          <w:szCs w:val="20"/>
          <w:color w:val="auto"/>
        </w:rPr>
      </w:pPr>
    </w:p>
    <w:p>
      <w:pPr>
        <w:ind w:left="200" w:right="140" w:hanging="192"/>
        <w:spacing w:after="0" w:line="321" w:lineRule="auto"/>
        <w:tabs>
          <w:tab w:leader="none" w:pos="197" w:val="left"/>
        </w:tabs>
        <w:numPr>
          <w:ilvl w:val="0"/>
          <w:numId w:val="111"/>
        </w:numPr>
        <w:rPr>
          <w:rFonts w:ascii="Arial" w:cs="Arial" w:eastAsia="Arial" w:hAnsi="Arial"/>
          <w:sz w:val="16"/>
          <w:szCs w:val="16"/>
          <w:color w:val="1A3FD6"/>
        </w:rPr>
      </w:pPr>
      <w:r>
        <w:rPr>
          <w:rFonts w:ascii="Arial" w:cs="Arial" w:eastAsia="Arial" w:hAnsi="Arial"/>
          <w:sz w:val="16"/>
          <w:szCs w:val="16"/>
          <w:color w:val="auto"/>
        </w:rPr>
        <w:t>Extends the horizon over which we may grant equity compensation awards to ten years following shareholder approval, providing a stable framework for the Company’s equity compensation strategy.</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Update Plan Governance Provisions</w:t>
      </w:r>
    </w:p>
    <w:p>
      <w:pPr>
        <w:spacing w:after="0" w:line="140" w:lineRule="exact"/>
        <w:rPr>
          <w:sz w:val="20"/>
          <w:szCs w:val="20"/>
          <w:color w:val="auto"/>
        </w:rPr>
      </w:pPr>
    </w:p>
    <w:p>
      <w:pPr>
        <w:ind w:left="200" w:hanging="192"/>
        <w:spacing w:after="0"/>
        <w:tabs>
          <w:tab w:leader="none" w:pos="200" w:val="left"/>
        </w:tabs>
        <w:numPr>
          <w:ilvl w:val="0"/>
          <w:numId w:val="112"/>
        </w:numPr>
        <w:rPr>
          <w:rFonts w:ascii="Arial" w:cs="Arial" w:eastAsia="Arial" w:hAnsi="Arial"/>
          <w:sz w:val="16"/>
          <w:szCs w:val="16"/>
          <w:color w:val="1A3FD6"/>
        </w:rPr>
      </w:pPr>
      <w:r>
        <w:rPr>
          <w:rFonts w:ascii="Arial" w:cs="Arial" w:eastAsia="Arial" w:hAnsi="Arial"/>
          <w:sz w:val="16"/>
          <w:szCs w:val="16"/>
          <w:color w:val="auto"/>
        </w:rPr>
        <w:t>Incorporates updated governance best practices, including requiring a minimum one-year vesting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101" w:name="page102"/>
    <w:bookmarkEnd w:id="101"/>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100</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Consolidation of Existing Plans</w:t>
      </w:r>
    </w:p>
    <w:p>
      <w:pPr>
        <w:spacing w:after="0" w:line="140" w:lineRule="exact"/>
        <w:rPr>
          <w:sz w:val="20"/>
          <w:szCs w:val="20"/>
          <w:color w:val="auto"/>
        </w:rPr>
      </w:pPr>
    </w:p>
    <w:p>
      <w:pPr>
        <w:ind w:left="200" w:right="460" w:hanging="192"/>
        <w:spacing w:after="0" w:line="304" w:lineRule="auto"/>
        <w:tabs>
          <w:tab w:leader="none" w:pos="197" w:val="left"/>
        </w:tabs>
        <w:numPr>
          <w:ilvl w:val="0"/>
          <w:numId w:val="113"/>
        </w:numPr>
        <w:rPr>
          <w:rFonts w:ascii="Arial" w:cs="Arial" w:eastAsia="Arial" w:hAnsi="Arial"/>
          <w:sz w:val="16"/>
          <w:szCs w:val="16"/>
          <w:color w:val="1A3FD6"/>
        </w:rPr>
      </w:pPr>
      <w:r>
        <w:rPr>
          <w:rFonts w:ascii="Arial" w:cs="Arial" w:eastAsia="Arial" w:hAnsi="Arial"/>
          <w:sz w:val="16"/>
          <w:szCs w:val="16"/>
          <w:color w:val="auto"/>
        </w:rPr>
        <w:t>Combines the 2016 Directors Plan and the 2016 Omnibus Plan into a single, unified plan to simplify administration and improve flexibility in granting awards.</w:t>
      </w:r>
    </w:p>
    <w:p>
      <w:pPr>
        <w:spacing w:after="0" w:line="60"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These updates are designed to enhance alignment with shareholder interests, ensure regulatory compliance, and enable the Company to attract and retain top talent.</w:t>
      </w:r>
    </w:p>
    <w:p>
      <w:pPr>
        <w:spacing w:after="0" w:line="40"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Governance and Market Alignment in the 2025 Plan</w:t>
      </w:r>
    </w:p>
    <w:p>
      <w:pPr>
        <w:spacing w:after="0" w:line="200" w:lineRule="exact"/>
        <w:rPr>
          <w:sz w:val="20"/>
          <w:szCs w:val="20"/>
          <w:color w:val="auto"/>
        </w:rPr>
      </w:pPr>
    </w:p>
    <w:p>
      <w:pPr>
        <w:jc w:val="both"/>
        <w:ind w:right="500"/>
        <w:spacing w:after="0" w:line="292" w:lineRule="auto"/>
        <w:rPr>
          <w:sz w:val="20"/>
          <w:szCs w:val="20"/>
          <w:color w:val="auto"/>
        </w:rPr>
      </w:pPr>
      <w:r>
        <w:rPr>
          <w:rFonts w:ascii="Arial" w:cs="Arial" w:eastAsia="Arial" w:hAnsi="Arial"/>
          <w:sz w:val="16"/>
          <w:szCs w:val="16"/>
          <w:color w:val="auto"/>
        </w:rPr>
        <w:t>The 2025 Plan reflects market and corporate governance best practices, based on a review conducted with the help of outside advisors, including the Compensation Committee’s independent compensation consultant, Semler Brossy. Set forth below are key features of the 2025 Plan. A more detailed summary is included under “Summary of the 2025 Plan” beginning on page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3887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138874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sectPr>
      </w:pPr>
    </w:p>
    <w:p>
      <w:pPr>
        <w:spacing w:after="0" w:line="273"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WHAT WE DO</w:t>
      </w:r>
    </w:p>
    <w:p>
      <w:pPr>
        <w:spacing w:after="0" w:line="3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Double-trigger vesting upon a change in control.</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Minimum vesting requirements for most awards</w:t>
      </w:r>
    </w:p>
    <w:p>
      <w:pPr>
        <w:spacing w:after="0" w:line="86" w:lineRule="exact"/>
        <w:rPr>
          <w:sz w:val="20"/>
          <w:szCs w:val="20"/>
          <w:color w:val="auto"/>
        </w:rPr>
      </w:pPr>
    </w:p>
    <w:p>
      <w:pPr>
        <w:ind w:left="360"/>
        <w:spacing w:after="0" w:line="268" w:lineRule="auto"/>
        <w:rPr>
          <w:sz w:val="20"/>
          <w:szCs w:val="20"/>
          <w:color w:val="auto"/>
        </w:rPr>
      </w:pPr>
      <w:r>
        <w:rPr>
          <w:rFonts w:ascii="Arial" w:cs="Arial" w:eastAsia="Arial" w:hAnsi="Arial"/>
          <w:sz w:val="16"/>
          <w:szCs w:val="16"/>
          <w:color w:val="auto"/>
        </w:rPr>
        <w:t>Include a limit on the aggregate cash and equity compensation that may be paid to any individual non-employee director in a year</w:t>
      </w:r>
    </w:p>
    <w:p>
      <w:pPr>
        <w:spacing w:after="0" w:line="35" w:lineRule="exact"/>
        <w:rPr>
          <w:sz w:val="20"/>
          <w:szCs w:val="20"/>
          <w:color w:val="auto"/>
        </w:rPr>
      </w:pPr>
    </w:p>
    <w:p>
      <w:pPr>
        <w:ind w:left="360" w:right="780"/>
        <w:spacing w:after="0" w:line="268" w:lineRule="auto"/>
        <w:rPr>
          <w:sz w:val="20"/>
          <w:szCs w:val="20"/>
          <w:color w:val="auto"/>
        </w:rPr>
      </w:pPr>
      <w:r>
        <w:rPr>
          <w:rFonts w:ascii="Arial" w:cs="Arial" w:eastAsia="Arial" w:hAnsi="Arial"/>
          <w:sz w:val="16"/>
          <w:szCs w:val="16"/>
          <w:color w:val="auto"/>
        </w:rPr>
        <w:t>Provide for forfeiture/clawback of incentive awards under certain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10629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10629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260"/>
        <w:spacing w:after="0" w:line="352" w:lineRule="auto"/>
        <w:rPr>
          <w:sz w:val="20"/>
          <w:szCs w:val="20"/>
          <w:color w:val="auto"/>
        </w:rPr>
      </w:pPr>
      <w:r>
        <w:rPr>
          <w:rFonts w:ascii="Arial" w:cs="Arial" w:eastAsia="Arial" w:hAnsi="Arial"/>
          <w:sz w:val="16"/>
          <w:szCs w:val="16"/>
          <w:color w:val="auto"/>
        </w:rPr>
        <w:t>Restricted dividend equivalents on performance vesting awards Minimum share ownership requirements for Executive Committee Provide for administration by an independent Board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-521335</wp:posOffset>
            </wp:positionV>
            <wp:extent cx="93980" cy="768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clrChange>
                        <a:clrFrom>
                          <a:srgbClr val="000000"/>
                        </a:clrFrom>
                        <a:clrTo>
                          <a:srgbClr val="000000">
                            <a:alpha val="0"/>
                          </a:srgbClr>
                        </a:clrTo>
                      </a:clrChange>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-521335</wp:posOffset>
            </wp:positionV>
            <wp:extent cx="93980" cy="768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clrChange>
                        <a:clrFrom>
                          <a:srgbClr val="FFFFFF"/>
                        </a:clrFrom>
                        <a:clrTo>
                          <a:srgbClr val="FFFFFF">
                            <a:alpha val="0"/>
                          </a:srgbClr>
                        </a:clrTo>
                      </a:clrChange>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-349885</wp:posOffset>
            </wp:positionV>
            <wp:extent cx="93980" cy="768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clrChange>
                        <a:clrFrom>
                          <a:srgbClr val="000000"/>
                        </a:clrFrom>
                        <a:clrTo>
                          <a:srgbClr val="000000">
                            <a:alpha val="0"/>
                          </a:srgbClr>
                        </a:clrTo>
                      </a:clrChange>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-349885</wp:posOffset>
            </wp:positionV>
            <wp:extent cx="93980" cy="768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clrChange>
                        <a:clrFrom>
                          <a:srgbClr val="FFFFFF"/>
                        </a:clrFrom>
                        <a:clrTo>
                          <a:srgbClr val="FFFFFF">
                            <a:alpha val="0"/>
                          </a:srgbClr>
                        </a:clrTo>
                      </a:clrChange>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-178435</wp:posOffset>
            </wp:positionV>
            <wp:extent cx="93980" cy="768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clrChange>
                        <a:clrFrom>
                          <a:srgbClr val="000000"/>
                        </a:clrFrom>
                        <a:clrTo>
                          <a:srgbClr val="000000">
                            <a:alpha val="0"/>
                          </a:srgbClr>
                        </a:clrTo>
                      </a:clrChange>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-178435</wp:posOffset>
            </wp:positionV>
            <wp:extent cx="93980" cy="768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clrChange>
                        <a:clrFrom>
                          <a:srgbClr val="FFFFFF"/>
                        </a:clrFrom>
                        <a:clrTo>
                          <a:srgbClr val="FFFFFF">
                            <a:alpha val="0"/>
                          </a:srgbClr>
                        </a:clrTo>
                      </a:clrChange>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-6985</wp:posOffset>
            </wp:positionV>
            <wp:extent cx="93980" cy="768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clrChange>
                        <a:clrFrom>
                          <a:srgbClr val="000000"/>
                        </a:clrFrom>
                        <a:clrTo>
                          <a:srgbClr val="000000">
                            <a:alpha val="0"/>
                          </a:srgbClr>
                        </a:clrTo>
                      </a:clrChange>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-6985</wp:posOffset>
            </wp:positionV>
            <wp:extent cx="93980" cy="768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clrChange>
                        <a:clrFrom>
                          <a:srgbClr val="FFFFFF"/>
                        </a:clrFrom>
                        <a:clrTo>
                          <a:srgbClr val="FFFFFF">
                            <a:alpha val="0"/>
                          </a:srgbClr>
                        </a:clrTo>
                      </a:clrChange>
                      <a:extLst>
                        <a:ext uri="{28A0092B-C50C-407E-A947-70E740481C1C}"/>
                      </a:extLst>
                    </a:blip>
                    <a:srcRect/>
                    <a:stretch>
                      <a:fillRect/>
                    </a:stretch>
                  </pic:blipFill>
                  <pic:spPr bwMode="auto">
                    <a:xfrm>
                      <a:off x="0" y="0"/>
                      <a:ext cx="93980" cy="76835"/>
                    </a:xfrm>
                    <a:prstGeom prst="rect">
                      <a:avLst/>
                    </a:prstGeom>
                    <a:noFill/>
                  </pic:spPr>
                </pic:pic>
              </a:graphicData>
            </a:graphic>
          </wp:anchor>
        </w:drawing>
      </w:r>
    </w:p>
    <w:p>
      <w:pPr>
        <w:ind w:right="20" w:firstLine="16"/>
        <w:spacing w:after="0" w:line="268" w:lineRule="auto"/>
        <w:rPr>
          <w:sz w:val="20"/>
          <w:szCs w:val="20"/>
          <w:color w:val="auto"/>
        </w:rPr>
      </w:pPr>
      <w:r>
        <w:rPr>
          <w:rFonts w:ascii="Arial" w:cs="Arial" w:eastAsia="Arial" w:hAnsi="Arial"/>
          <w:sz w:val="16"/>
          <w:szCs w:val="16"/>
          <w:color w:val="auto"/>
        </w:rPr>
        <w:t>Annual Director compensation capped for non-employee directors at $1,000,000</w:t>
      </w:r>
    </w:p>
    <w:p>
      <w:pPr>
        <w:spacing w:after="0" w:line="375" w:lineRule="exact"/>
        <w:rPr>
          <w:sz w:val="20"/>
          <w:szCs w:val="20"/>
          <w:color w:val="auto"/>
        </w:rPr>
      </w:pPr>
    </w:p>
    <w:p>
      <w:pPr>
        <w:sectPr>
          <w:pgSz w:w="11900" w:h="16838" w:orient="portrait"/>
          <w:cols w:equalWidth="0" w:num="2">
            <w:col w:w="5740" w:space="540"/>
            <w:col w:w="4940"/>
          </w:cols>
          <w:pgMar w:left="320" w:top="292" w:right="359" w:bottom="1440" w:gutter="0" w:footer="0" w:header="0"/>
          <w:type w:val="continuous"/>
        </w:sectPr>
      </w:pPr>
    </w:p>
    <w:p>
      <w:pPr>
        <w:spacing w:after="0" w:line="118"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226695</wp:posOffset>
            </wp:positionV>
            <wp:extent cx="94615" cy="946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clrChange>
                        <a:clrFrom>
                          <a:srgbClr val="000000"/>
                        </a:clrFrom>
                        <a:clrTo>
                          <a:srgbClr val="000000">
                            <a:alpha val="0"/>
                          </a:srgbClr>
                        </a:clrTo>
                      </a:clrChange>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226695</wp:posOffset>
            </wp:positionV>
            <wp:extent cx="94615" cy="946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clrChange>
                        <a:clrFrom>
                          <a:srgbClr val="FFFFFF"/>
                        </a:clrFrom>
                        <a:clrTo>
                          <a:srgbClr val="FFFFFF">
                            <a:alpha val="0"/>
                          </a:srgbClr>
                        </a:clrTo>
                      </a:clrChange>
                      <a:extLst>
                        <a:ext uri="{28A0092B-C50C-407E-A947-70E740481C1C}"/>
                      </a:extLst>
                    </a:blip>
                    <a:srcRect/>
                    <a:stretch>
                      <a:fillRect/>
                    </a:stretch>
                  </pic:blipFill>
                  <pic:spPr bwMode="auto">
                    <a:xfrm>
                      <a:off x="0" y="0"/>
                      <a:ext cx="94615" cy="9461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type w:val="continuous"/>
        </w:sectPr>
      </w:pPr>
    </w:p>
    <w:p>
      <w:pPr>
        <w:spacing w:after="0" w:line="3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Do not provide gross-ups to cover excise taxes</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Permit single-trigger vesting on a change in control</w:t>
      </w:r>
    </w:p>
    <w:p>
      <w:pPr>
        <w:spacing w:after="0" w:line="11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Permit liberal share recycling</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360"/>
        <w:spacing w:after="0" w:line="268" w:lineRule="auto"/>
        <w:rPr>
          <w:sz w:val="20"/>
          <w:szCs w:val="20"/>
          <w:color w:val="auto"/>
        </w:rPr>
      </w:pPr>
      <w:r>
        <w:rPr>
          <w:rFonts w:ascii="Arial" w:cs="Arial" w:eastAsia="Arial" w:hAnsi="Arial"/>
          <w:sz w:val="16"/>
          <w:szCs w:val="16"/>
          <w:color w:val="auto"/>
        </w:rPr>
        <w:t>Permit direct or indirect repricing of underwater options or SARs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13970</wp:posOffset>
            </wp:positionV>
            <wp:extent cx="94615" cy="9398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clrChange>
                        <a:clrFrom>
                          <a:srgbClr val="000000"/>
                        </a:clrFrom>
                        <a:clrTo>
                          <a:srgbClr val="000000">
                            <a:alpha val="0"/>
                          </a:srgbClr>
                        </a:clrTo>
                      </a:clrChange>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-167640</wp:posOffset>
            </wp:positionH>
            <wp:positionV relativeFrom="paragraph">
              <wp:posOffset>13970</wp:posOffset>
            </wp:positionV>
            <wp:extent cx="94615" cy="9398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clrChange>
                        <a:clrFrom>
                          <a:srgbClr val="FFFFFF"/>
                        </a:clrFrom>
                        <a:clrTo>
                          <a:srgbClr val="FFFFFF">
                            <a:alpha val="0"/>
                          </a:srgbClr>
                        </a:clrTo>
                      </a:clrChange>
                      <a:extLst>
                        <a:ext uri="{28A0092B-C50C-407E-A947-70E740481C1C}"/>
                      </a:extLst>
                    </a:blip>
                    <a:srcRect/>
                    <a:stretch>
                      <a:fillRect/>
                    </a:stretch>
                  </pic:blipFill>
                  <pic:spPr bwMode="auto">
                    <a:xfrm>
                      <a:off x="0" y="0"/>
                      <a:ext cx="94615" cy="9398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No evergreen provision</w:t>
      </w:r>
    </w:p>
    <w:p>
      <w:pPr>
        <w:spacing w:after="0" w:line="321" w:lineRule="exact"/>
        <w:rPr>
          <w:sz w:val="20"/>
          <w:szCs w:val="20"/>
          <w:color w:val="auto"/>
        </w:rPr>
      </w:pPr>
    </w:p>
    <w:p>
      <w:pPr>
        <w:sectPr>
          <w:pgSz w:w="11900" w:h="16838" w:orient="portrait"/>
          <w:cols w:equalWidth="0" w:num="2">
            <w:col w:w="5560" w:space="720"/>
            <w:col w:w="4940"/>
          </w:cols>
          <w:pgMar w:left="320" w:top="292" w:right="359"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Share Usage</w:t>
      </w:r>
    </w:p>
    <w:p>
      <w:pPr>
        <w:spacing w:after="0" w:line="200"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Our Board believes that the 2016 Plans have contributed significantly to our success by enabling us to attract and retain the services of top-level talent. In connection with the design and adoption of the 2025 Plan, our Board and Compensation Committee carefully considered our anticipated future equity needs, our historical equity compensation practices (including our historical “burn rate” under the 2016 Plans) and the advice of the Compensation Committee’s independent compensation consultant. The Compensation Committee also took into consideration the increasingly competitive labor market in which we compete for talent. Our Board believes that the proposed share pool request represents a reasonable amount of potential equity dilution to accommodate our long-term strategic and growth priorities. See also Annex C.</w:t>
      </w:r>
    </w:p>
    <w:p>
      <w:pPr>
        <w:spacing w:after="0" w:line="66" w:lineRule="exact"/>
        <w:rPr>
          <w:sz w:val="20"/>
          <w:szCs w:val="20"/>
          <w:color w:val="auto"/>
        </w:rPr>
      </w:pPr>
    </w:p>
    <w:p>
      <w:pPr>
        <w:ind w:right="20"/>
        <w:spacing w:after="0" w:line="321" w:lineRule="auto"/>
        <w:rPr>
          <w:sz w:val="20"/>
          <w:szCs w:val="20"/>
          <w:color w:val="auto"/>
        </w:rPr>
      </w:pPr>
      <w:r>
        <w:rPr>
          <w:rFonts w:ascii="Arial" w:cs="Arial" w:eastAsia="Arial" w:hAnsi="Arial"/>
          <w:sz w:val="16"/>
          <w:szCs w:val="16"/>
          <w:color w:val="auto"/>
        </w:rPr>
        <w:t>The following share usage information assumes that all performance-based awards will be earned at the target performance level. Actual shares issued may vary based on final performance outcomes.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14, 2025, under all of our equity compensation plans:</w:t>
      </w:r>
    </w:p>
    <w:p>
      <w:pPr>
        <w:spacing w:after="0" w:line="140" w:lineRule="exact"/>
        <w:rPr>
          <w:sz w:val="20"/>
          <w:szCs w:val="20"/>
          <w:color w:val="auto"/>
        </w:rPr>
      </w:pPr>
    </w:p>
    <w:p>
      <w:pPr>
        <w:ind w:left="200" w:right="100" w:hanging="192"/>
        <w:spacing w:after="0" w:line="308" w:lineRule="auto"/>
        <w:tabs>
          <w:tab w:leader="none" w:pos="197" w:val="left"/>
        </w:tabs>
        <w:numPr>
          <w:ilvl w:val="0"/>
          <w:numId w:val="114"/>
        </w:numPr>
        <w:rPr>
          <w:rFonts w:ascii="Arial" w:cs="Arial" w:eastAsia="Arial" w:hAnsi="Arial"/>
          <w:sz w:val="16"/>
          <w:szCs w:val="16"/>
          <w:color w:val="1A3FD6"/>
        </w:rPr>
      </w:pPr>
      <w:r>
        <w:rPr>
          <w:rFonts w:ascii="Arial" w:cs="Arial" w:eastAsia="Arial" w:hAnsi="Arial"/>
          <w:sz w:val="16"/>
          <w:szCs w:val="16"/>
          <w:color w:val="auto"/>
        </w:rPr>
        <w:t>Stock options covering 651,519 shares of our common stock, with a weighted average exercise price of $676.11 and a weighted average remaining term of 8.88 years, were outstanding;</w:t>
      </w:r>
    </w:p>
    <w:p>
      <w:pPr>
        <w:ind w:left="200" w:hanging="192"/>
        <w:spacing w:after="0"/>
        <w:tabs>
          <w:tab w:leader="none" w:pos="200" w:val="left"/>
        </w:tabs>
        <w:numPr>
          <w:ilvl w:val="0"/>
          <w:numId w:val="114"/>
        </w:numPr>
        <w:rPr>
          <w:rFonts w:ascii="Arial" w:cs="Arial" w:eastAsia="Arial" w:hAnsi="Arial"/>
          <w:sz w:val="16"/>
          <w:szCs w:val="16"/>
          <w:color w:val="1A3FD6"/>
        </w:rPr>
      </w:pPr>
      <w:r>
        <w:rPr>
          <w:rFonts w:ascii="Arial" w:cs="Arial" w:eastAsia="Arial" w:hAnsi="Arial"/>
          <w:sz w:val="16"/>
          <w:szCs w:val="16"/>
          <w:color w:val="auto"/>
        </w:rPr>
        <w:t>RSUs covering 257,352 shares of our common stock were outstanding;</w:t>
      </w:r>
    </w:p>
    <w:p>
      <w:pPr>
        <w:spacing w:after="0" w:line="86" w:lineRule="exact"/>
        <w:rPr>
          <w:rFonts w:ascii="Arial" w:cs="Arial" w:eastAsia="Arial" w:hAnsi="Arial"/>
          <w:sz w:val="16"/>
          <w:szCs w:val="16"/>
          <w:color w:val="1A3FD6"/>
        </w:rPr>
      </w:pPr>
    </w:p>
    <w:p>
      <w:pPr>
        <w:ind w:left="200" w:hanging="192"/>
        <w:spacing w:after="0"/>
        <w:tabs>
          <w:tab w:leader="none" w:pos="200" w:val="left"/>
        </w:tabs>
        <w:numPr>
          <w:ilvl w:val="0"/>
          <w:numId w:val="114"/>
        </w:numPr>
        <w:rPr>
          <w:rFonts w:ascii="Arial" w:cs="Arial" w:eastAsia="Arial" w:hAnsi="Arial"/>
          <w:sz w:val="16"/>
          <w:szCs w:val="16"/>
          <w:color w:val="1A3FD6"/>
        </w:rPr>
      </w:pPr>
      <w:r>
        <w:rPr>
          <w:rFonts w:ascii="Arial" w:cs="Arial" w:eastAsia="Arial" w:hAnsi="Arial"/>
          <w:sz w:val="16"/>
          <w:szCs w:val="16"/>
          <w:color w:val="auto"/>
        </w:rPr>
        <w:t>PSUs covering 176,834 shares of our common stock, assuming payout at target performance level, were outstanding; and</w:t>
      </w:r>
    </w:p>
    <w:p>
      <w:pPr>
        <w:spacing w:after="0" w:line="72" w:lineRule="exact"/>
        <w:rPr>
          <w:rFonts w:ascii="Arial" w:cs="Arial" w:eastAsia="Arial" w:hAnsi="Arial"/>
          <w:sz w:val="16"/>
          <w:szCs w:val="16"/>
          <w:color w:val="1A3FD6"/>
        </w:rPr>
      </w:pPr>
    </w:p>
    <w:p>
      <w:pPr>
        <w:ind w:left="200" w:right="60" w:hanging="192"/>
        <w:spacing w:after="0" w:line="289" w:lineRule="auto"/>
        <w:tabs>
          <w:tab w:leader="none" w:pos="197" w:val="left"/>
        </w:tabs>
        <w:numPr>
          <w:ilvl w:val="0"/>
          <w:numId w:val="114"/>
        </w:numPr>
        <w:rPr>
          <w:rFonts w:ascii="Arial" w:cs="Arial" w:eastAsia="Arial" w:hAnsi="Arial"/>
          <w:sz w:val="16"/>
          <w:szCs w:val="16"/>
          <w:color w:val="1A3FD6"/>
        </w:rPr>
      </w:pPr>
      <w:r>
        <w:rPr>
          <w:rFonts w:ascii="Arial" w:cs="Arial" w:eastAsia="Arial" w:hAnsi="Arial"/>
          <w:sz w:val="16"/>
          <w:szCs w:val="16"/>
          <w:color w:val="auto"/>
        </w:rPr>
        <w:t>A total of 2,998,936 shares were available for grant under the 2016 Omnibus Plan and the 2016 Directors Plan, which are the sole equity compensation plans under which the company grants equity awards (or 2,259,587 shares, assuming all outstanding performance-based awards vest at maximum levels). Of this total amount, the number of shares remaining available for future grant under the 2016 Omnibus Plan was 2,736,083 shares and the 2016 Directors Plan was 262,853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5100"/>
              <w:spacing w:after="0"/>
              <w:rPr>
                <w:sz w:val="20"/>
                <w:szCs w:val="20"/>
                <w:color w:val="auto"/>
              </w:rPr>
            </w:pPr>
            <w:r>
              <w:rPr>
                <w:rFonts w:ascii="Arial" w:cs="Arial" w:eastAsia="Arial" w:hAnsi="Arial"/>
                <w:sz w:val="14"/>
                <w:szCs w:val="14"/>
                <w:b w:val="1"/>
                <w:bCs w:val="1"/>
                <w:color w:val="1A3FD6"/>
              </w:rPr>
              <w:t>Proposal No. 3: Approval of the MSCI Inc. 2025 Omnibus Incentive Plan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101</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1A3FD6"/>
        </w:rPr>
        <w:t>Burn Rate</w:t>
      </w:r>
    </w:p>
    <w:p>
      <w:pPr>
        <w:spacing w:after="0" w:line="85"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Our three-year average burn rate of 0.32% demonstrates our sound approach to the grant of equity incentive compensation and our commitment to aligning our equity compensation program with the interests of our shareholders. We are committed to effectively monitoring our equity compensation share reserve, including our share usage rate, to ensure that we maximize shareholder value by granting the appropriate number of equity awards necessary to attract, reward and retain employees. The following table sets forth information regarding equity awards granted over each of the last three fiscal years (numbers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3-Year</w:t>
            </w:r>
          </w:p>
        </w:tc>
      </w:tr>
      <w:tr>
        <w:trPr>
          <w:trHeight w:val="205"/>
        </w:trPr>
        <w:tc>
          <w:tcPr>
            <w:tcW w:w="5260" w:type="dxa"/>
            <w:vAlign w:val="bottom"/>
            <w:tcBorders>
              <w:bottom w:val="single" w:sz="8" w:color="1A3FD6"/>
            </w:tcBorders>
          </w:tcPr>
          <w:p>
            <w:pPr>
              <w:spacing w:after="0"/>
              <w:rPr>
                <w:sz w:val="17"/>
                <w:szCs w:val="17"/>
                <w:color w:val="auto"/>
              </w:rPr>
            </w:pPr>
          </w:p>
        </w:tc>
        <w:tc>
          <w:tcPr>
            <w:tcW w:w="2240" w:type="dxa"/>
            <w:vAlign w:val="bottom"/>
            <w:tcBorders>
              <w:bottom w:val="single" w:sz="8" w:color="1A3FD6"/>
            </w:tcBorders>
          </w:tcPr>
          <w:p>
            <w:pPr>
              <w:jc w:val="right"/>
              <w:ind w:right="361"/>
              <w:spacing w:after="0"/>
              <w:rPr>
                <w:sz w:val="20"/>
                <w:szCs w:val="20"/>
                <w:color w:val="auto"/>
              </w:rPr>
            </w:pPr>
            <w:r>
              <w:rPr>
                <w:rFonts w:ascii="Arial" w:cs="Arial" w:eastAsia="Arial" w:hAnsi="Arial"/>
                <w:sz w:val="14"/>
                <w:szCs w:val="14"/>
                <w:b w:val="1"/>
                <w:bCs w:val="1"/>
                <w:color w:val="auto"/>
              </w:rPr>
              <w:t>2024</w:t>
            </w:r>
          </w:p>
        </w:tc>
        <w:tc>
          <w:tcPr>
            <w:tcW w:w="1380" w:type="dxa"/>
            <w:vAlign w:val="bottom"/>
            <w:tcBorders>
              <w:bottom w:val="single" w:sz="8" w:color="1A3FD6"/>
            </w:tcBorders>
          </w:tcPr>
          <w:p>
            <w:pPr>
              <w:jc w:val="right"/>
              <w:ind w:right="361"/>
              <w:spacing w:after="0"/>
              <w:rPr>
                <w:sz w:val="20"/>
                <w:szCs w:val="20"/>
                <w:color w:val="auto"/>
              </w:rPr>
            </w:pPr>
            <w:r>
              <w:rPr>
                <w:rFonts w:ascii="Arial" w:cs="Arial" w:eastAsia="Arial" w:hAnsi="Arial"/>
                <w:sz w:val="14"/>
                <w:szCs w:val="14"/>
                <w:b w:val="1"/>
                <w:bCs w:val="1"/>
                <w:color w:val="auto"/>
              </w:rPr>
              <w:t>2023</w:t>
            </w:r>
          </w:p>
        </w:tc>
        <w:tc>
          <w:tcPr>
            <w:tcW w:w="1360" w:type="dxa"/>
            <w:vAlign w:val="bottom"/>
            <w:tcBorders>
              <w:bottom w:val="single" w:sz="8" w:color="1A3FD6"/>
            </w:tcBorders>
          </w:tcPr>
          <w:p>
            <w:pPr>
              <w:jc w:val="right"/>
              <w:ind w:right="321"/>
              <w:spacing w:after="0"/>
              <w:rPr>
                <w:sz w:val="20"/>
                <w:szCs w:val="20"/>
                <w:color w:val="auto"/>
              </w:rPr>
            </w:pPr>
            <w:r>
              <w:rPr>
                <w:rFonts w:ascii="Arial" w:cs="Arial" w:eastAsia="Arial" w:hAnsi="Arial"/>
                <w:sz w:val="14"/>
                <w:szCs w:val="14"/>
                <w:b w:val="1"/>
                <w:bCs w:val="1"/>
                <w:color w:val="auto"/>
              </w:rPr>
              <w:t>2022</w:t>
            </w:r>
          </w:p>
        </w:tc>
        <w:tc>
          <w:tcPr>
            <w:tcW w:w="100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Average</w:t>
            </w:r>
          </w:p>
        </w:tc>
      </w:tr>
      <w:tr>
        <w:trPr>
          <w:trHeight w:val="243"/>
        </w:trPr>
        <w:tc>
          <w:tcPr>
            <w:tcW w:w="5260" w:type="dxa"/>
            <w:vAlign w:val="bottom"/>
          </w:tcPr>
          <w:p>
            <w:pPr>
              <w:ind w:left="20"/>
              <w:spacing w:after="0"/>
              <w:rPr>
                <w:sz w:val="20"/>
                <w:szCs w:val="20"/>
                <w:color w:val="auto"/>
              </w:rPr>
            </w:pPr>
            <w:r>
              <w:rPr>
                <w:rFonts w:ascii="Arial" w:cs="Arial" w:eastAsia="Arial" w:hAnsi="Arial"/>
                <w:sz w:val="16"/>
                <w:szCs w:val="16"/>
                <w:color w:val="auto"/>
              </w:rPr>
              <w:t>RSUs Granted</w:t>
            </w:r>
            <w:r>
              <w:rPr>
                <w:rFonts w:ascii="Arial" w:cs="Arial" w:eastAsia="Arial" w:hAnsi="Arial"/>
                <w:sz w:val="21"/>
                <w:szCs w:val="21"/>
                <w:color w:val="auto"/>
                <w:vertAlign w:val="superscript"/>
              </w:rPr>
              <w:t>(1)</w:t>
            </w:r>
          </w:p>
        </w:tc>
        <w:tc>
          <w:tcPr>
            <w:tcW w:w="2240" w:type="dxa"/>
            <w:vAlign w:val="bottom"/>
          </w:tcPr>
          <w:p>
            <w:pPr>
              <w:jc w:val="right"/>
              <w:ind w:right="421"/>
              <w:spacing w:after="0"/>
              <w:rPr>
                <w:sz w:val="20"/>
                <w:szCs w:val="20"/>
                <w:color w:val="auto"/>
              </w:rPr>
            </w:pPr>
            <w:r>
              <w:rPr>
                <w:rFonts w:ascii="Arial" w:cs="Arial" w:eastAsia="Arial" w:hAnsi="Arial"/>
                <w:sz w:val="16"/>
                <w:szCs w:val="16"/>
                <w:color w:val="auto"/>
              </w:rPr>
              <w:t>92</w:t>
            </w:r>
          </w:p>
        </w:tc>
        <w:tc>
          <w:tcPr>
            <w:tcW w:w="1380" w:type="dxa"/>
            <w:vAlign w:val="bottom"/>
          </w:tcPr>
          <w:p>
            <w:pPr>
              <w:jc w:val="right"/>
              <w:ind w:right="421"/>
              <w:spacing w:after="0"/>
              <w:rPr>
                <w:sz w:val="20"/>
                <w:szCs w:val="20"/>
                <w:color w:val="auto"/>
              </w:rPr>
            </w:pPr>
            <w:r>
              <w:rPr>
                <w:rFonts w:ascii="Arial" w:cs="Arial" w:eastAsia="Arial" w:hAnsi="Arial"/>
                <w:sz w:val="16"/>
                <w:szCs w:val="16"/>
                <w:color w:val="auto"/>
              </w:rPr>
              <w:t>83</w:t>
            </w:r>
          </w:p>
        </w:tc>
        <w:tc>
          <w:tcPr>
            <w:tcW w:w="1360" w:type="dxa"/>
            <w:vAlign w:val="bottom"/>
          </w:tcPr>
          <w:p>
            <w:pPr>
              <w:jc w:val="right"/>
              <w:ind w:right="381"/>
              <w:spacing w:after="0"/>
              <w:rPr>
                <w:sz w:val="20"/>
                <w:szCs w:val="20"/>
                <w:color w:val="auto"/>
              </w:rPr>
            </w:pPr>
            <w:r>
              <w:rPr>
                <w:rFonts w:ascii="Arial" w:cs="Arial" w:eastAsia="Arial" w:hAnsi="Arial"/>
                <w:sz w:val="16"/>
                <w:szCs w:val="16"/>
                <w:color w:val="auto"/>
              </w:rPr>
              <w:t>79</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85</w:t>
            </w:r>
          </w:p>
        </w:tc>
      </w:tr>
      <w:tr>
        <w:trPr>
          <w:trHeight w:val="243"/>
        </w:trPr>
        <w:tc>
          <w:tcPr>
            <w:tcW w:w="5260" w:type="dxa"/>
            <w:vAlign w:val="bottom"/>
            <w:shd w:val="clear" w:color="auto" w:fill="EDF0FC"/>
          </w:tcPr>
          <w:p>
            <w:pPr>
              <w:ind w:left="20"/>
              <w:spacing w:after="0"/>
              <w:rPr>
                <w:sz w:val="20"/>
                <w:szCs w:val="20"/>
                <w:color w:val="auto"/>
              </w:rPr>
            </w:pPr>
            <w:r>
              <w:rPr>
                <w:rFonts w:ascii="Arial" w:cs="Arial" w:eastAsia="Arial" w:hAnsi="Arial"/>
                <w:sz w:val="16"/>
                <w:szCs w:val="16"/>
                <w:color w:val="auto"/>
              </w:rPr>
              <w:t>PSUs Granted</w:t>
            </w:r>
            <w:r>
              <w:rPr>
                <w:rFonts w:ascii="Arial" w:cs="Arial" w:eastAsia="Arial" w:hAnsi="Arial"/>
                <w:sz w:val="21"/>
                <w:szCs w:val="21"/>
                <w:color w:val="auto"/>
                <w:vertAlign w:val="superscript"/>
              </w:rPr>
              <w:t>(1)</w:t>
            </w:r>
          </w:p>
        </w:tc>
        <w:tc>
          <w:tcPr>
            <w:tcW w:w="2240" w:type="dxa"/>
            <w:vAlign w:val="bottom"/>
            <w:shd w:val="clear" w:color="auto" w:fill="EDF0FC"/>
          </w:tcPr>
          <w:p>
            <w:pPr>
              <w:jc w:val="right"/>
              <w:ind w:right="421"/>
              <w:spacing w:after="0"/>
              <w:rPr>
                <w:sz w:val="20"/>
                <w:szCs w:val="20"/>
                <w:color w:val="auto"/>
              </w:rPr>
            </w:pPr>
            <w:r>
              <w:rPr>
                <w:rFonts w:ascii="Arial" w:cs="Arial" w:eastAsia="Arial" w:hAnsi="Arial"/>
                <w:sz w:val="16"/>
                <w:szCs w:val="16"/>
                <w:color w:val="auto"/>
              </w:rPr>
              <w:t>48</w:t>
            </w:r>
          </w:p>
        </w:tc>
        <w:tc>
          <w:tcPr>
            <w:tcW w:w="1380" w:type="dxa"/>
            <w:vAlign w:val="bottom"/>
            <w:shd w:val="clear" w:color="auto" w:fill="EDF0FC"/>
          </w:tcPr>
          <w:p>
            <w:pPr>
              <w:jc w:val="right"/>
              <w:ind w:right="421"/>
              <w:spacing w:after="0"/>
              <w:rPr>
                <w:sz w:val="20"/>
                <w:szCs w:val="20"/>
                <w:color w:val="auto"/>
              </w:rPr>
            </w:pPr>
            <w:r>
              <w:rPr>
                <w:rFonts w:ascii="Arial" w:cs="Arial" w:eastAsia="Arial" w:hAnsi="Arial"/>
                <w:sz w:val="16"/>
                <w:szCs w:val="16"/>
                <w:color w:val="auto"/>
              </w:rPr>
              <w:t>34</w:t>
            </w:r>
          </w:p>
        </w:tc>
        <w:tc>
          <w:tcPr>
            <w:tcW w:w="1360" w:type="dxa"/>
            <w:vAlign w:val="bottom"/>
            <w:shd w:val="clear" w:color="auto" w:fill="EDF0FC"/>
          </w:tcPr>
          <w:p>
            <w:pPr>
              <w:jc w:val="right"/>
              <w:ind w:right="381"/>
              <w:spacing w:after="0"/>
              <w:rPr>
                <w:sz w:val="20"/>
                <w:szCs w:val="20"/>
                <w:color w:val="auto"/>
              </w:rPr>
            </w:pPr>
            <w:r>
              <w:rPr>
                <w:rFonts w:ascii="Arial" w:cs="Arial" w:eastAsia="Arial" w:hAnsi="Arial"/>
                <w:sz w:val="16"/>
                <w:szCs w:val="16"/>
                <w:color w:val="auto"/>
              </w:rPr>
              <w:t>35</w:t>
            </w:r>
          </w:p>
        </w:tc>
        <w:tc>
          <w:tcPr>
            <w:tcW w:w="1000" w:type="dxa"/>
            <w:vAlign w:val="bottom"/>
            <w:shd w:val="clear" w:color="auto" w:fill="EDF0FC"/>
          </w:tcPr>
          <w:p>
            <w:pPr>
              <w:jc w:val="right"/>
              <w:ind w:right="2"/>
              <w:spacing w:after="0"/>
              <w:rPr>
                <w:sz w:val="20"/>
                <w:szCs w:val="20"/>
                <w:color w:val="auto"/>
              </w:rPr>
            </w:pPr>
            <w:r>
              <w:rPr>
                <w:rFonts w:ascii="Arial" w:cs="Arial" w:eastAsia="Arial" w:hAnsi="Arial"/>
                <w:sz w:val="16"/>
                <w:szCs w:val="16"/>
                <w:color w:val="auto"/>
              </w:rPr>
              <w:t>39</w:t>
            </w:r>
          </w:p>
        </w:tc>
      </w:tr>
      <w:tr>
        <w:trPr>
          <w:trHeight w:val="243"/>
        </w:trPr>
        <w:tc>
          <w:tcPr>
            <w:tcW w:w="5260" w:type="dxa"/>
            <w:vAlign w:val="bottom"/>
          </w:tcPr>
          <w:p>
            <w:pPr>
              <w:ind w:left="20"/>
              <w:spacing w:after="0"/>
              <w:rPr>
                <w:sz w:val="20"/>
                <w:szCs w:val="20"/>
                <w:color w:val="auto"/>
              </w:rPr>
            </w:pPr>
            <w:r>
              <w:rPr>
                <w:rFonts w:ascii="Arial" w:cs="Arial" w:eastAsia="Arial" w:hAnsi="Arial"/>
                <w:sz w:val="16"/>
                <w:szCs w:val="16"/>
                <w:color w:val="auto"/>
              </w:rPr>
              <w:t>PSOs Granted</w:t>
            </w:r>
            <w:r>
              <w:rPr>
                <w:rFonts w:ascii="Arial" w:cs="Arial" w:eastAsia="Arial" w:hAnsi="Arial"/>
                <w:sz w:val="21"/>
                <w:szCs w:val="21"/>
                <w:color w:val="auto"/>
                <w:vertAlign w:val="superscript"/>
              </w:rPr>
              <w:t>(1)</w:t>
            </w:r>
          </w:p>
        </w:tc>
        <w:tc>
          <w:tcPr>
            <w:tcW w:w="2240" w:type="dxa"/>
            <w:vAlign w:val="bottom"/>
          </w:tcPr>
          <w:p>
            <w:pPr>
              <w:jc w:val="right"/>
              <w:ind w:right="421"/>
              <w:spacing w:after="0"/>
              <w:rPr>
                <w:sz w:val="20"/>
                <w:szCs w:val="20"/>
                <w:color w:val="auto"/>
              </w:rPr>
            </w:pPr>
            <w:r>
              <w:rPr>
                <w:rFonts w:ascii="Arial" w:cs="Arial" w:eastAsia="Arial" w:hAnsi="Arial"/>
                <w:sz w:val="16"/>
                <w:szCs w:val="16"/>
                <w:color w:val="auto"/>
              </w:rPr>
              <w:t>146</w:t>
            </w:r>
          </w:p>
        </w:tc>
        <w:tc>
          <w:tcPr>
            <w:tcW w:w="1380" w:type="dxa"/>
            <w:vAlign w:val="bottom"/>
          </w:tcPr>
          <w:p>
            <w:pPr>
              <w:jc w:val="right"/>
              <w:ind w:right="421"/>
              <w:spacing w:after="0"/>
              <w:rPr>
                <w:sz w:val="20"/>
                <w:szCs w:val="20"/>
                <w:color w:val="auto"/>
              </w:rPr>
            </w:pPr>
            <w:r>
              <w:rPr>
                <w:rFonts w:ascii="Arial" w:cs="Arial" w:eastAsia="Arial" w:hAnsi="Arial"/>
                <w:sz w:val="16"/>
                <w:szCs w:val="16"/>
                <w:color w:val="auto"/>
              </w:rPr>
              <w:t>117</w:t>
            </w:r>
          </w:p>
        </w:tc>
        <w:tc>
          <w:tcPr>
            <w:tcW w:w="1360" w:type="dxa"/>
            <w:vAlign w:val="bottom"/>
          </w:tcPr>
          <w:p>
            <w:pPr>
              <w:jc w:val="right"/>
              <w:ind w:right="381"/>
              <w:spacing w:after="0"/>
              <w:rPr>
                <w:sz w:val="20"/>
                <w:szCs w:val="20"/>
                <w:color w:val="auto"/>
              </w:rPr>
            </w:pPr>
            <w:r>
              <w:rPr>
                <w:rFonts w:ascii="Arial" w:cs="Arial" w:eastAsia="Arial" w:hAnsi="Arial"/>
                <w:sz w:val="16"/>
                <w:szCs w:val="16"/>
                <w:color w:val="auto"/>
              </w:rPr>
              <w:t>122</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129</w:t>
            </w:r>
          </w:p>
        </w:tc>
      </w:tr>
      <w:tr>
        <w:trPr>
          <w:trHeight w:val="243"/>
        </w:trPr>
        <w:tc>
          <w:tcPr>
            <w:tcW w:w="5260" w:type="dxa"/>
            <w:vAlign w:val="bottom"/>
            <w:shd w:val="clear" w:color="auto" w:fill="EDF0FC"/>
          </w:tcPr>
          <w:p>
            <w:pPr>
              <w:ind w:left="20"/>
              <w:spacing w:after="0"/>
              <w:rPr>
                <w:sz w:val="20"/>
                <w:szCs w:val="20"/>
                <w:color w:val="auto"/>
              </w:rPr>
            </w:pPr>
            <w:r>
              <w:rPr>
                <w:rFonts w:ascii="Arial" w:cs="Arial" w:eastAsia="Arial" w:hAnsi="Arial"/>
                <w:sz w:val="16"/>
                <w:szCs w:val="16"/>
                <w:color w:val="auto"/>
              </w:rPr>
              <w:t>Weighted-Average Basic Common Shares Outstanding</w:t>
            </w:r>
          </w:p>
        </w:tc>
        <w:tc>
          <w:tcPr>
            <w:tcW w:w="2240" w:type="dxa"/>
            <w:vAlign w:val="bottom"/>
            <w:shd w:val="clear" w:color="auto" w:fill="EDF0FC"/>
          </w:tcPr>
          <w:p>
            <w:pPr>
              <w:jc w:val="right"/>
              <w:ind w:right="361"/>
              <w:spacing w:after="0"/>
              <w:rPr>
                <w:sz w:val="20"/>
                <w:szCs w:val="20"/>
                <w:color w:val="auto"/>
              </w:rPr>
            </w:pPr>
            <w:r>
              <w:rPr>
                <w:rFonts w:ascii="Arial" w:cs="Arial" w:eastAsia="Arial" w:hAnsi="Arial"/>
                <w:sz w:val="16"/>
                <w:szCs w:val="16"/>
                <w:color w:val="auto"/>
              </w:rPr>
              <w:t>78,710</w:t>
            </w:r>
          </w:p>
        </w:tc>
        <w:tc>
          <w:tcPr>
            <w:tcW w:w="1380" w:type="dxa"/>
            <w:vAlign w:val="bottom"/>
            <w:shd w:val="clear" w:color="auto" w:fill="EDF0FC"/>
          </w:tcPr>
          <w:p>
            <w:pPr>
              <w:jc w:val="right"/>
              <w:ind w:right="361"/>
              <w:spacing w:after="0"/>
              <w:rPr>
                <w:sz w:val="20"/>
                <w:szCs w:val="20"/>
                <w:color w:val="auto"/>
              </w:rPr>
            </w:pPr>
            <w:r>
              <w:rPr>
                <w:rFonts w:ascii="Arial" w:cs="Arial" w:eastAsia="Arial" w:hAnsi="Arial"/>
                <w:sz w:val="16"/>
                <w:szCs w:val="16"/>
                <w:color w:val="auto"/>
              </w:rPr>
              <w:t>79,462</w:t>
            </w:r>
          </w:p>
        </w:tc>
        <w:tc>
          <w:tcPr>
            <w:tcW w:w="1360" w:type="dxa"/>
            <w:vAlign w:val="bottom"/>
            <w:shd w:val="clear" w:color="auto" w:fill="EDF0FC"/>
          </w:tcPr>
          <w:p>
            <w:pPr>
              <w:jc w:val="right"/>
              <w:ind w:right="321"/>
              <w:spacing w:after="0"/>
              <w:rPr>
                <w:sz w:val="20"/>
                <w:szCs w:val="20"/>
                <w:color w:val="auto"/>
              </w:rPr>
            </w:pPr>
            <w:r>
              <w:rPr>
                <w:rFonts w:ascii="Arial" w:cs="Arial" w:eastAsia="Arial" w:hAnsi="Arial"/>
                <w:sz w:val="16"/>
                <w:szCs w:val="16"/>
                <w:color w:val="auto"/>
              </w:rPr>
              <w:t>80,746</w:t>
            </w:r>
          </w:p>
        </w:tc>
        <w:tc>
          <w:tcPr>
            <w:tcW w:w="1000" w:type="dxa"/>
            <w:vAlign w:val="bottom"/>
            <w:shd w:val="clear" w:color="auto" w:fill="EDF0FC"/>
          </w:tcPr>
          <w:p>
            <w:pPr>
              <w:jc w:val="right"/>
              <w:spacing w:after="0"/>
              <w:rPr>
                <w:sz w:val="20"/>
                <w:szCs w:val="20"/>
                <w:color w:val="auto"/>
              </w:rPr>
            </w:pPr>
            <w:r>
              <w:rPr>
                <w:rFonts w:ascii="Arial" w:cs="Arial" w:eastAsia="Arial" w:hAnsi="Arial"/>
                <w:sz w:val="16"/>
                <w:szCs w:val="16"/>
                <w:color w:val="auto"/>
              </w:rPr>
              <w:t>79,639</w:t>
            </w:r>
          </w:p>
        </w:tc>
      </w:tr>
      <w:tr>
        <w:trPr>
          <w:trHeight w:val="239"/>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Share Usage Rate</w:t>
            </w:r>
          </w:p>
        </w:tc>
        <w:tc>
          <w:tcPr>
            <w:tcW w:w="22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0.36%</w:t>
            </w:r>
          </w:p>
        </w:tc>
        <w:tc>
          <w:tcPr>
            <w:tcW w:w="13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0.29%</w:t>
            </w:r>
          </w:p>
        </w:tc>
        <w:tc>
          <w:tcPr>
            <w:tcW w:w="13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0.29%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0.32%</w:t>
            </w:r>
          </w:p>
        </w:tc>
      </w:tr>
    </w:tbl>
    <w:p>
      <w:pPr>
        <w:spacing w:after="0" w:line="180" w:lineRule="exact"/>
        <w:rPr>
          <w:sz w:val="20"/>
          <w:szCs w:val="20"/>
          <w:color w:val="auto"/>
        </w:rPr>
      </w:pPr>
    </w:p>
    <w:p>
      <w:pPr>
        <w:ind w:left="180" w:hanging="172"/>
        <w:spacing w:after="0"/>
        <w:tabs>
          <w:tab w:leader="none" w:pos="180" w:val="left"/>
        </w:tabs>
        <w:numPr>
          <w:ilvl w:val="0"/>
          <w:numId w:val="115"/>
        </w:numPr>
        <w:rPr>
          <w:rFonts w:ascii="Arial" w:cs="Arial" w:eastAsia="Arial" w:hAnsi="Arial"/>
          <w:sz w:val="9"/>
          <w:szCs w:val="9"/>
          <w:color w:val="auto"/>
        </w:rPr>
      </w:pPr>
      <w:r>
        <w:rPr>
          <w:rFonts w:ascii="Arial" w:cs="Arial" w:eastAsia="Arial" w:hAnsi="Arial"/>
          <w:sz w:val="14"/>
          <w:szCs w:val="14"/>
          <w:color w:val="auto"/>
        </w:rPr>
        <w:t>For purposes of the foregoing table, we calculate the share usage rate based on the actual number of RSUs, PSUs and PSOs granted during each applicable year.</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1A3FD6"/>
        </w:rPr>
        <w:t>Overhang</w:t>
      </w:r>
    </w:p>
    <w:p>
      <w:pPr>
        <w:spacing w:after="0" w:line="99" w:lineRule="exact"/>
        <w:rPr>
          <w:sz w:val="20"/>
          <w:szCs w:val="20"/>
          <w:color w:val="auto"/>
        </w:rPr>
      </w:pPr>
    </w:p>
    <w:p>
      <w:pPr>
        <w:ind w:right="520"/>
        <w:spacing w:after="0" w:line="304" w:lineRule="auto"/>
        <w:rPr>
          <w:sz w:val="20"/>
          <w:szCs w:val="20"/>
          <w:color w:val="auto"/>
        </w:rPr>
      </w:pPr>
      <w:r>
        <w:rPr>
          <w:rFonts w:ascii="Arial" w:cs="Arial" w:eastAsia="Arial" w:hAnsi="Arial"/>
          <w:sz w:val="16"/>
          <w:szCs w:val="16"/>
          <w:color w:val="auto"/>
        </w:rPr>
        <w:t>The following table sets forth certain information as of February 14, 2025 with respect to the Company’s outstanding equity awards and the number of shares remaining available for issuance under the 2016 Plans. The closing price per share of our common stock on February 14, 2025 was $572.63.</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9260" w:type="dxa"/>
            <w:vAlign w:val="bottom"/>
            <w:tcBorders>
              <w:top w:val="single" w:sz="8" w:color="1A3FD6"/>
            </w:tcBorders>
          </w:tcPr>
          <w:p>
            <w:pPr>
              <w:ind w:left="20"/>
              <w:spacing w:after="0"/>
              <w:rPr>
                <w:sz w:val="20"/>
                <w:szCs w:val="20"/>
                <w:color w:val="auto"/>
              </w:rPr>
            </w:pPr>
            <w:r>
              <w:rPr>
                <w:rFonts w:ascii="Arial" w:cs="Arial" w:eastAsia="Arial" w:hAnsi="Arial"/>
                <w:sz w:val="16"/>
                <w:szCs w:val="16"/>
                <w:color w:val="auto"/>
              </w:rPr>
              <w:t>Shares available for issuance under the 2016 Plans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w:t>
            </w:r>
          </w:p>
        </w:tc>
        <w:tc>
          <w:tcPr>
            <w:tcW w:w="1980" w:type="dxa"/>
            <w:vAlign w:val="bottom"/>
            <w:tcBorders>
              <w:top w:val="single" w:sz="8" w:color="1A3FD6"/>
            </w:tcBorders>
          </w:tcPr>
          <w:p>
            <w:pPr>
              <w:jc w:val="right"/>
              <w:spacing w:after="0"/>
              <w:rPr>
                <w:sz w:val="20"/>
                <w:szCs w:val="20"/>
                <w:color w:val="auto"/>
              </w:rPr>
            </w:pPr>
            <w:r>
              <w:rPr>
                <w:rFonts w:ascii="Arial" w:cs="Arial" w:eastAsia="Arial" w:hAnsi="Arial"/>
                <w:sz w:val="16"/>
                <w:szCs w:val="16"/>
                <w:color w:val="auto"/>
              </w:rPr>
              <w:t>2,998,936</w:t>
            </w:r>
          </w:p>
        </w:tc>
      </w:tr>
      <w:tr>
        <w:trPr>
          <w:trHeight w:val="250"/>
        </w:trPr>
        <w:tc>
          <w:tcPr>
            <w:tcW w:w="9260" w:type="dxa"/>
            <w:vAlign w:val="bottom"/>
            <w:tcBorders>
              <w:bottom w:val="single" w:sz="8" w:color="EDF0FC"/>
            </w:tcBorders>
            <w:shd w:val="clear" w:color="auto" w:fill="EDF0FC"/>
          </w:tcPr>
          <w:p>
            <w:pPr>
              <w:ind w:left="20"/>
              <w:spacing w:after="0"/>
              <w:rPr>
                <w:sz w:val="20"/>
                <w:szCs w:val="20"/>
                <w:color w:val="auto"/>
              </w:rPr>
            </w:pPr>
            <w:r>
              <w:rPr>
                <w:rFonts w:ascii="Arial" w:cs="Arial" w:eastAsia="Arial" w:hAnsi="Arial"/>
                <w:sz w:val="16"/>
                <w:szCs w:val="16"/>
                <w:color w:val="auto"/>
              </w:rPr>
              <w:t>Additional shares requested for approval under the 2025 Plan (b)</w:t>
            </w:r>
          </w:p>
        </w:tc>
        <w:tc>
          <w:tcPr>
            <w:tcW w:w="1980" w:type="dxa"/>
            <w:vAlign w:val="bottom"/>
            <w:tcBorders>
              <w:bottom w:val="single" w:sz="8" w:color="EDF0FC"/>
            </w:tcBorders>
            <w:shd w:val="clear" w:color="auto" w:fill="EDF0FC"/>
          </w:tcPr>
          <w:p>
            <w:pPr>
              <w:jc w:val="right"/>
              <w:spacing w:after="0"/>
              <w:rPr>
                <w:sz w:val="20"/>
                <w:szCs w:val="20"/>
                <w:color w:val="auto"/>
              </w:rPr>
            </w:pPr>
            <w:r>
              <w:rPr>
                <w:rFonts w:ascii="Arial" w:cs="Arial" w:eastAsia="Arial" w:hAnsi="Arial"/>
                <w:sz w:val="16"/>
                <w:szCs w:val="16"/>
                <w:color w:val="auto"/>
              </w:rPr>
              <w:t>3,621,064</w:t>
            </w:r>
          </w:p>
        </w:tc>
      </w:tr>
      <w:tr>
        <w:trPr>
          <w:trHeight w:val="270"/>
        </w:trPr>
        <w:tc>
          <w:tcPr>
            <w:tcW w:w="9260" w:type="dxa"/>
            <w:vAlign w:val="bottom"/>
          </w:tcPr>
          <w:p>
            <w:pPr>
              <w:ind w:left="20"/>
              <w:spacing w:after="0"/>
              <w:rPr>
                <w:sz w:val="20"/>
                <w:szCs w:val="20"/>
                <w:color w:val="auto"/>
              </w:rPr>
            </w:pPr>
            <w:r>
              <w:rPr>
                <w:rFonts w:ascii="Arial" w:cs="Arial" w:eastAsia="Arial" w:hAnsi="Arial"/>
                <w:sz w:val="16"/>
                <w:szCs w:val="16"/>
                <w:color w:val="auto"/>
              </w:rPr>
              <w:t>Shares subject to outstanding vested stock options, PSOs and PPOs</w:t>
            </w:r>
            <w:r>
              <w:rPr>
                <w:rFonts w:ascii="Arial" w:cs="Arial" w:eastAsia="Arial" w:hAnsi="Arial"/>
                <w:sz w:val="21"/>
                <w:szCs w:val="21"/>
                <w:color w:val="auto"/>
                <w:vertAlign w:val="superscript"/>
              </w:rPr>
              <w:t>(2)</w:t>
            </w:r>
          </w:p>
        </w:tc>
        <w:tc>
          <w:tcPr>
            <w:tcW w:w="1980" w:type="dxa"/>
            <w:vAlign w:val="bottom"/>
          </w:tcPr>
          <w:p>
            <w:pPr>
              <w:jc w:val="right"/>
              <w:spacing w:after="0"/>
              <w:rPr>
                <w:sz w:val="20"/>
                <w:szCs w:val="20"/>
                <w:color w:val="auto"/>
              </w:rPr>
            </w:pPr>
            <w:r>
              <w:rPr>
                <w:rFonts w:ascii="Arial" w:cs="Arial" w:eastAsia="Arial" w:hAnsi="Arial"/>
                <w:sz w:val="16"/>
                <w:szCs w:val="16"/>
                <w:color w:val="auto"/>
              </w:rPr>
              <w:t>651,519</w:t>
            </w:r>
          </w:p>
        </w:tc>
      </w:tr>
      <w:tr>
        <w:trPr>
          <w:trHeight w:val="250"/>
        </w:trPr>
        <w:tc>
          <w:tcPr>
            <w:tcW w:w="9260" w:type="dxa"/>
            <w:vAlign w:val="bottom"/>
            <w:tcBorders>
              <w:bottom w:val="single" w:sz="8" w:color="EDF0FC"/>
            </w:tcBorders>
            <w:shd w:val="clear" w:color="auto" w:fill="EDF0FC"/>
          </w:tcPr>
          <w:p>
            <w:pPr>
              <w:ind w:left="20"/>
              <w:spacing w:after="0"/>
              <w:rPr>
                <w:sz w:val="20"/>
                <w:szCs w:val="20"/>
                <w:color w:val="auto"/>
              </w:rPr>
            </w:pPr>
            <w:r>
              <w:rPr>
                <w:rFonts w:ascii="Arial" w:cs="Arial" w:eastAsia="Arial" w:hAnsi="Arial"/>
                <w:sz w:val="16"/>
                <w:szCs w:val="16"/>
                <w:color w:val="auto"/>
              </w:rPr>
              <w:t>Weighted average exercise price of outstanding vested stock options, PSOs and PPOs ($)</w:t>
            </w:r>
          </w:p>
        </w:tc>
        <w:tc>
          <w:tcPr>
            <w:tcW w:w="1980" w:type="dxa"/>
            <w:vAlign w:val="bottom"/>
            <w:tcBorders>
              <w:bottom w:val="single" w:sz="8" w:color="EDF0FC"/>
            </w:tcBorders>
            <w:shd w:val="clear" w:color="auto" w:fill="EDF0FC"/>
          </w:tcPr>
          <w:p>
            <w:pPr>
              <w:jc w:val="right"/>
              <w:spacing w:after="0"/>
              <w:rPr>
                <w:sz w:val="20"/>
                <w:szCs w:val="20"/>
                <w:color w:val="auto"/>
              </w:rPr>
            </w:pPr>
            <w:r>
              <w:rPr>
                <w:rFonts w:ascii="Arial" w:cs="Arial" w:eastAsia="Arial" w:hAnsi="Arial"/>
                <w:sz w:val="16"/>
                <w:szCs w:val="16"/>
                <w:color w:val="auto"/>
              </w:rPr>
              <w:t>$676.11</w:t>
            </w:r>
          </w:p>
        </w:tc>
      </w:tr>
      <w:tr>
        <w:trPr>
          <w:trHeight w:val="228"/>
        </w:trPr>
        <w:tc>
          <w:tcPr>
            <w:tcW w:w="9260" w:type="dxa"/>
            <w:vAlign w:val="bottom"/>
          </w:tcPr>
          <w:p>
            <w:pPr>
              <w:ind w:left="20"/>
              <w:spacing w:after="0"/>
              <w:rPr>
                <w:sz w:val="20"/>
                <w:szCs w:val="20"/>
                <w:color w:val="auto"/>
              </w:rPr>
            </w:pPr>
            <w:r>
              <w:rPr>
                <w:rFonts w:ascii="Arial" w:cs="Arial" w:eastAsia="Arial" w:hAnsi="Arial"/>
                <w:sz w:val="16"/>
                <w:szCs w:val="16"/>
                <w:color w:val="auto"/>
              </w:rPr>
              <w:t>Weighted average remaining term of outstanding vested stock options, PSOs and PPOs (in years)</w:t>
            </w:r>
          </w:p>
        </w:tc>
        <w:tc>
          <w:tcPr>
            <w:tcW w:w="1980" w:type="dxa"/>
            <w:vAlign w:val="bottom"/>
          </w:tcPr>
          <w:p>
            <w:pPr>
              <w:jc w:val="right"/>
              <w:spacing w:after="0"/>
              <w:rPr>
                <w:sz w:val="20"/>
                <w:szCs w:val="20"/>
                <w:color w:val="auto"/>
              </w:rPr>
            </w:pPr>
            <w:r>
              <w:rPr>
                <w:rFonts w:ascii="Arial" w:cs="Arial" w:eastAsia="Arial" w:hAnsi="Arial"/>
                <w:sz w:val="16"/>
                <w:szCs w:val="16"/>
                <w:color w:val="auto"/>
              </w:rPr>
              <w:t>8.88</w:t>
            </w:r>
          </w:p>
        </w:tc>
      </w:tr>
      <w:tr>
        <w:trPr>
          <w:trHeight w:val="42"/>
        </w:trPr>
        <w:tc>
          <w:tcPr>
            <w:tcW w:w="9260" w:type="dxa"/>
            <w:vAlign w:val="bottom"/>
          </w:tcPr>
          <w:p>
            <w:pPr>
              <w:spacing w:after="0"/>
              <w:rPr>
                <w:sz w:val="3"/>
                <w:szCs w:val="3"/>
                <w:color w:val="auto"/>
              </w:rPr>
            </w:pPr>
          </w:p>
        </w:tc>
        <w:tc>
          <w:tcPr>
            <w:tcW w:w="1980" w:type="dxa"/>
            <w:vAlign w:val="bottom"/>
          </w:tcPr>
          <w:p>
            <w:pPr>
              <w:spacing w:after="0"/>
              <w:rPr>
                <w:sz w:val="3"/>
                <w:szCs w:val="3"/>
                <w:color w:val="auto"/>
              </w:rPr>
            </w:pPr>
          </w:p>
        </w:tc>
      </w:tr>
      <w:tr>
        <w:trPr>
          <w:trHeight w:val="270"/>
        </w:trPr>
        <w:tc>
          <w:tcPr>
            <w:tcW w:w="9260" w:type="dxa"/>
            <w:vAlign w:val="bottom"/>
            <w:shd w:val="clear" w:color="auto" w:fill="EDF0FC"/>
          </w:tcPr>
          <w:p>
            <w:pPr>
              <w:ind w:left="20"/>
              <w:spacing w:after="0"/>
              <w:rPr>
                <w:sz w:val="20"/>
                <w:szCs w:val="20"/>
                <w:color w:val="auto"/>
              </w:rPr>
            </w:pPr>
            <w:r>
              <w:rPr>
                <w:rFonts w:ascii="Arial" w:cs="Arial" w:eastAsia="Arial" w:hAnsi="Arial"/>
                <w:sz w:val="16"/>
                <w:szCs w:val="16"/>
                <w:color w:val="auto"/>
              </w:rPr>
              <w:t>Shares subject to outstanding RSUs and PSUs</w:t>
            </w:r>
            <w:r>
              <w:rPr>
                <w:rFonts w:ascii="Arial" w:cs="Arial" w:eastAsia="Arial" w:hAnsi="Arial"/>
                <w:sz w:val="21"/>
                <w:szCs w:val="21"/>
                <w:color w:val="auto"/>
                <w:vertAlign w:val="superscript"/>
              </w:rPr>
              <w:t>(2)</w:t>
            </w:r>
          </w:p>
        </w:tc>
        <w:tc>
          <w:tcPr>
            <w:tcW w:w="1980" w:type="dxa"/>
            <w:vAlign w:val="bottom"/>
            <w:shd w:val="clear" w:color="auto" w:fill="EDF0FC"/>
          </w:tcPr>
          <w:p>
            <w:pPr>
              <w:jc w:val="right"/>
              <w:spacing w:after="0"/>
              <w:rPr>
                <w:sz w:val="20"/>
                <w:szCs w:val="20"/>
                <w:color w:val="auto"/>
              </w:rPr>
            </w:pPr>
            <w:r>
              <w:rPr>
                <w:rFonts w:ascii="Arial" w:cs="Arial" w:eastAsia="Arial" w:hAnsi="Arial"/>
                <w:sz w:val="16"/>
                <w:szCs w:val="16"/>
                <w:color w:val="auto"/>
              </w:rPr>
              <w:t>434,186</w:t>
            </w:r>
          </w:p>
        </w:tc>
      </w:tr>
      <w:tr>
        <w:trPr>
          <w:trHeight w:val="270"/>
        </w:trPr>
        <w:tc>
          <w:tcPr>
            <w:tcW w:w="9260" w:type="dxa"/>
            <w:vAlign w:val="bottom"/>
          </w:tcPr>
          <w:p>
            <w:pPr>
              <w:ind w:left="20"/>
              <w:spacing w:after="0"/>
              <w:rPr>
                <w:sz w:val="20"/>
                <w:szCs w:val="20"/>
                <w:color w:val="auto"/>
              </w:rPr>
            </w:pPr>
            <w:r>
              <w:rPr>
                <w:rFonts w:ascii="Arial" w:cs="Arial" w:eastAsia="Arial" w:hAnsi="Arial"/>
                <w:sz w:val="16"/>
                <w:szCs w:val="16"/>
                <w:color w:val="auto"/>
              </w:rPr>
              <w:t>Total outstanding RSUs, PSUs, vested stock options, PSOs and PPOs and unvested deferred stock awards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(c)</w:t>
            </w:r>
          </w:p>
        </w:tc>
        <w:tc>
          <w:tcPr>
            <w:tcW w:w="1980" w:type="dxa"/>
            <w:vAlign w:val="bottom"/>
          </w:tcPr>
          <w:p>
            <w:pPr>
              <w:jc w:val="right"/>
              <w:spacing w:after="0"/>
              <w:rPr>
                <w:sz w:val="20"/>
                <w:szCs w:val="20"/>
                <w:color w:val="auto"/>
              </w:rPr>
            </w:pPr>
            <w:r>
              <w:rPr>
                <w:rFonts w:ascii="Arial" w:cs="Arial" w:eastAsia="Arial" w:hAnsi="Arial"/>
                <w:sz w:val="16"/>
                <w:szCs w:val="16"/>
                <w:color w:val="auto"/>
              </w:rPr>
              <w:t>1,085,705</w:t>
            </w:r>
          </w:p>
        </w:tc>
      </w:tr>
      <w:tr>
        <w:trPr>
          <w:trHeight w:val="250"/>
        </w:trPr>
        <w:tc>
          <w:tcPr>
            <w:tcW w:w="9260" w:type="dxa"/>
            <w:vAlign w:val="bottom"/>
            <w:tcBorders>
              <w:bottom w:val="single" w:sz="8" w:color="EDF0FC"/>
            </w:tcBorders>
            <w:shd w:val="clear" w:color="auto" w:fill="EDF0FC"/>
          </w:tcPr>
          <w:p>
            <w:pPr>
              <w:ind w:left="20"/>
              <w:spacing w:after="0"/>
              <w:rPr>
                <w:sz w:val="20"/>
                <w:szCs w:val="20"/>
                <w:color w:val="auto"/>
              </w:rPr>
            </w:pPr>
            <w:r>
              <w:rPr>
                <w:rFonts w:ascii="Arial" w:cs="Arial" w:eastAsia="Arial" w:hAnsi="Arial"/>
                <w:sz w:val="16"/>
                <w:szCs w:val="16"/>
                <w:color w:val="auto"/>
              </w:rPr>
              <w:t>Shares of common stock outstanding as of February 14, 2025 (d)</w:t>
            </w:r>
          </w:p>
        </w:tc>
        <w:tc>
          <w:tcPr>
            <w:tcW w:w="1980" w:type="dxa"/>
            <w:vAlign w:val="bottom"/>
            <w:tcBorders>
              <w:bottom w:val="single" w:sz="8" w:color="EDF0FC"/>
            </w:tcBorders>
            <w:shd w:val="clear" w:color="auto" w:fill="EDF0FC"/>
          </w:tcPr>
          <w:p>
            <w:pPr>
              <w:jc w:val="right"/>
              <w:spacing w:after="0"/>
              <w:rPr>
                <w:sz w:val="20"/>
                <w:szCs w:val="20"/>
                <w:color w:val="auto"/>
              </w:rPr>
            </w:pPr>
            <w:r>
              <w:rPr>
                <w:rFonts w:ascii="Arial" w:cs="Arial" w:eastAsia="Arial" w:hAnsi="Arial"/>
                <w:sz w:val="16"/>
                <w:szCs w:val="16"/>
                <w:color w:val="auto"/>
              </w:rPr>
              <w:t>77,601,005</w:t>
            </w:r>
          </w:p>
        </w:tc>
      </w:tr>
      <w:tr>
        <w:trPr>
          <w:trHeight w:val="228"/>
        </w:trPr>
        <w:tc>
          <w:tcPr>
            <w:tcW w:w="9260" w:type="dxa"/>
            <w:vAlign w:val="bottom"/>
          </w:tcPr>
          <w:p>
            <w:pPr>
              <w:ind w:left="20"/>
              <w:spacing w:after="0"/>
              <w:rPr>
                <w:sz w:val="20"/>
                <w:szCs w:val="20"/>
                <w:color w:val="auto"/>
              </w:rPr>
            </w:pPr>
            <w:r>
              <w:rPr>
                <w:rFonts w:ascii="Arial" w:cs="Arial" w:eastAsia="Arial" w:hAnsi="Arial"/>
                <w:sz w:val="16"/>
                <w:szCs w:val="16"/>
                <w:color w:val="auto"/>
              </w:rPr>
              <w:t>Fully-diluted Overhang: (a+b+c) divided by (a+b+c+d)</w:t>
            </w:r>
          </w:p>
        </w:tc>
        <w:tc>
          <w:tcPr>
            <w:tcW w:w="1980" w:type="dxa"/>
            <w:vAlign w:val="bottom"/>
          </w:tcPr>
          <w:p>
            <w:pPr>
              <w:jc w:val="right"/>
              <w:spacing w:after="0"/>
              <w:rPr>
                <w:sz w:val="20"/>
                <w:szCs w:val="20"/>
                <w:color w:val="auto"/>
              </w:rPr>
            </w:pPr>
            <w:r>
              <w:rPr>
                <w:rFonts w:ascii="Arial" w:cs="Arial" w:eastAsia="Arial" w:hAnsi="Arial"/>
                <w:sz w:val="16"/>
                <w:szCs w:val="16"/>
                <w:color w:val="auto"/>
              </w:rPr>
              <w:t>9.033%</w:t>
            </w:r>
          </w:p>
        </w:tc>
      </w:tr>
      <w:tr>
        <w:trPr>
          <w:trHeight w:val="42"/>
        </w:trPr>
        <w:tc>
          <w:tcPr>
            <w:tcW w:w="926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bl>
    <w:p>
      <w:pPr>
        <w:spacing w:after="0" w:line="180" w:lineRule="exact"/>
        <w:rPr>
          <w:sz w:val="20"/>
          <w:szCs w:val="20"/>
          <w:color w:val="auto"/>
        </w:rPr>
      </w:pPr>
    </w:p>
    <w:p>
      <w:pPr>
        <w:ind w:left="200" w:right="220" w:hanging="192"/>
        <w:spacing w:after="0" w:line="264" w:lineRule="auto"/>
        <w:tabs>
          <w:tab w:leader="none" w:pos="187" w:val="left"/>
        </w:tabs>
        <w:numPr>
          <w:ilvl w:val="0"/>
          <w:numId w:val="116"/>
        </w:numPr>
        <w:rPr>
          <w:rFonts w:ascii="Arial" w:cs="Arial" w:eastAsia="Arial" w:hAnsi="Arial"/>
          <w:sz w:val="19"/>
          <w:szCs w:val="19"/>
          <w:color w:val="auto"/>
          <w:vertAlign w:val="superscript"/>
        </w:rPr>
      </w:pPr>
      <w:r>
        <w:rPr>
          <w:rFonts w:ascii="Arial" w:cs="Arial" w:eastAsia="Arial" w:hAnsi="Arial"/>
          <w:sz w:val="14"/>
          <w:szCs w:val="14"/>
          <w:color w:val="auto"/>
        </w:rPr>
        <w:t>As of February 14, 2025, 2,998,936 shares remained available for issuance under the 2016 Plans. The actual number of shares to be rolled over into the 2025 Plan will be equal to the actual number of shares that remain available for issuance under the 2016 Plans as of the effective date of the 2025 Plan, and such shares will cease to be issuable under the 2016 Plans. The final total share authorization under the 2025 Plan will be the sum of this rollover amount and the 3,621,064 net new shares being requested for approval (the sum of rows a+b above).</w:t>
      </w:r>
    </w:p>
    <w:p>
      <w:pPr>
        <w:spacing w:after="0" w:line="10"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116"/>
        </w:numPr>
        <w:rPr>
          <w:rFonts w:ascii="Arial" w:cs="Arial" w:eastAsia="Arial" w:hAnsi="Arial"/>
          <w:sz w:val="19"/>
          <w:szCs w:val="19"/>
          <w:color w:val="auto"/>
          <w:vertAlign w:val="superscript"/>
        </w:rPr>
      </w:pPr>
      <w:r>
        <w:rPr>
          <w:rFonts w:ascii="Arial" w:cs="Arial" w:eastAsia="Arial" w:hAnsi="Arial"/>
          <w:sz w:val="14"/>
          <w:szCs w:val="14"/>
          <w:color w:val="auto"/>
        </w:rPr>
        <w:t>The number of PSOs and PSUs included in the above assumes payout at target performance level.</w:t>
      </w:r>
    </w:p>
    <w:p>
      <w:pPr>
        <w:spacing w:after="0" w:line="8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Our Board recognizes the impact of dilution on our shareholders and has evaluated this share request carefully in the context of the need to motivate, retain and ensure that our leadership team and key employees are focused on our strategic priorities. Our Board believes that the proposed share reserve represents a reasonable amount of potential equity dilution to accommodate our long-term strategic and growth priorities.</w:t>
      </w:r>
    </w:p>
    <w:p>
      <w:pPr>
        <w:spacing w:after="0" w:line="50"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Notably, the modest historical dilution to our shareholders as a result of our equity compensation programs (as measured by our share usage rate and overhang, described above) has been offset in large part due to our open market share repurchases and tax and exercise price settlement repurchases. In 2024, for example, MSCI repurchased 1.5 million shares in connection with its open market share repurchases and tax and exercise price settlement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727710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03" w:name="page104"/>
    <w:bookmarkEnd w:id="103"/>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102</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Summary of the 2025 Plan</w:t>
      </w:r>
    </w:p>
    <w:p>
      <w:pPr>
        <w:spacing w:after="0" w:line="181"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The following is a summary of the principal features of the 2025 Plan. This summary does not purport to be complete and is subject to, and qualified in its entirety by, the 2025 Plan, a copy of which is being filed with the SEC with this Proxy Statement. See 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5430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8890" cy="11487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1148715"/>
                    </a:xfrm>
                    <a:prstGeom prst="rect">
                      <a:avLst/>
                    </a:prstGeom>
                    <a:noFill/>
                  </pic:spPr>
                </pic:pic>
              </a:graphicData>
            </a:graphic>
          </wp:anchor>
        </w:drawing>
      </w:r>
    </w:p>
    <w:p>
      <w:pPr>
        <w:spacing w:after="0" w:line="14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2025 Plan enables the Company to:</w:t>
      </w:r>
    </w:p>
    <w:p>
      <w:pPr>
        <w:spacing w:after="0" w:line="140" w:lineRule="exact"/>
        <w:rPr>
          <w:sz w:val="20"/>
          <w:szCs w:val="20"/>
          <w:color w:val="auto"/>
        </w:rPr>
      </w:pPr>
    </w:p>
    <w:p>
      <w:pPr>
        <w:ind w:left="320" w:right="360" w:hanging="203"/>
        <w:spacing w:after="0" w:line="304" w:lineRule="auto"/>
        <w:tabs>
          <w:tab w:leader="none" w:pos="317" w:val="left"/>
        </w:tabs>
        <w:numPr>
          <w:ilvl w:val="0"/>
          <w:numId w:val="117"/>
        </w:numPr>
        <w:rPr>
          <w:rFonts w:ascii="Arial" w:cs="Arial" w:eastAsia="Arial" w:hAnsi="Arial"/>
          <w:sz w:val="16"/>
          <w:szCs w:val="16"/>
          <w:color w:val="1A3FD6"/>
        </w:rPr>
      </w:pPr>
      <w:r>
        <w:rPr>
          <w:rFonts w:ascii="Arial" w:cs="Arial" w:eastAsia="Arial" w:hAnsi="Arial"/>
          <w:sz w:val="16"/>
          <w:szCs w:val="16"/>
          <w:color w:val="auto"/>
        </w:rPr>
        <w:t>Attract, motivate and retain highly qualified and experienced employees and other individuals at all levels of the Company, as well as non-employee directors</w:t>
      </w:r>
    </w:p>
    <w:p>
      <w:pPr>
        <w:spacing w:after="0" w:line="6" w:lineRule="exact"/>
        <w:rPr>
          <w:rFonts w:ascii="Arial" w:cs="Arial" w:eastAsia="Arial" w:hAnsi="Arial"/>
          <w:sz w:val="16"/>
          <w:szCs w:val="16"/>
          <w:color w:val="1A3FD6"/>
        </w:rPr>
      </w:pPr>
    </w:p>
    <w:p>
      <w:pPr>
        <w:ind w:left="300" w:hanging="183"/>
        <w:spacing w:after="0"/>
        <w:tabs>
          <w:tab w:leader="none" w:pos="300" w:val="left"/>
        </w:tabs>
        <w:numPr>
          <w:ilvl w:val="0"/>
          <w:numId w:val="117"/>
        </w:numPr>
        <w:rPr>
          <w:rFonts w:ascii="Arial" w:cs="Arial" w:eastAsia="Arial" w:hAnsi="Arial"/>
          <w:sz w:val="16"/>
          <w:szCs w:val="16"/>
          <w:color w:val="1A3FD6"/>
        </w:rPr>
      </w:pPr>
      <w:r>
        <w:rPr>
          <w:rFonts w:ascii="Arial" w:cs="Arial" w:eastAsia="Arial" w:hAnsi="Arial"/>
          <w:sz w:val="16"/>
          <w:szCs w:val="16"/>
          <w:color w:val="auto"/>
        </w:rPr>
        <w:t>Align employee and shareholder interests in the creation of shareholder value</w:t>
      </w:r>
    </w:p>
    <w:p>
      <w:pPr>
        <w:spacing w:after="0" w:line="86" w:lineRule="exact"/>
        <w:rPr>
          <w:rFonts w:ascii="Arial" w:cs="Arial" w:eastAsia="Arial" w:hAnsi="Arial"/>
          <w:sz w:val="16"/>
          <w:szCs w:val="16"/>
          <w:color w:val="1A3FD6"/>
        </w:rPr>
      </w:pPr>
    </w:p>
    <w:p>
      <w:pPr>
        <w:ind w:left="300" w:hanging="183"/>
        <w:spacing w:after="0"/>
        <w:tabs>
          <w:tab w:leader="none" w:pos="300" w:val="left"/>
        </w:tabs>
        <w:numPr>
          <w:ilvl w:val="0"/>
          <w:numId w:val="117"/>
        </w:numPr>
        <w:rPr>
          <w:rFonts w:ascii="Arial" w:cs="Arial" w:eastAsia="Arial" w:hAnsi="Arial"/>
          <w:sz w:val="16"/>
          <w:szCs w:val="16"/>
          <w:color w:val="1A3FD6"/>
        </w:rPr>
      </w:pPr>
      <w:r>
        <w:rPr>
          <w:rFonts w:ascii="Arial" w:cs="Arial" w:eastAsia="Arial" w:hAnsi="Arial"/>
          <w:sz w:val="16"/>
          <w:szCs w:val="16"/>
          <w:color w:val="auto"/>
        </w:rPr>
        <w:t>Incentivize short and long-term financial and operational performance</w:t>
      </w:r>
    </w:p>
    <w:p>
      <w:pPr>
        <w:spacing w:after="0" w:line="72" w:lineRule="exact"/>
        <w:rPr>
          <w:rFonts w:ascii="Arial" w:cs="Arial" w:eastAsia="Arial" w:hAnsi="Arial"/>
          <w:sz w:val="16"/>
          <w:szCs w:val="16"/>
          <w:color w:val="1A3FD6"/>
        </w:rPr>
      </w:pPr>
    </w:p>
    <w:p>
      <w:pPr>
        <w:ind w:left="300" w:hanging="183"/>
        <w:spacing w:after="0"/>
        <w:tabs>
          <w:tab w:leader="none" w:pos="300" w:val="left"/>
        </w:tabs>
        <w:numPr>
          <w:ilvl w:val="0"/>
          <w:numId w:val="117"/>
        </w:numPr>
        <w:rPr>
          <w:rFonts w:ascii="Arial" w:cs="Arial" w:eastAsia="Arial" w:hAnsi="Arial"/>
          <w:sz w:val="16"/>
          <w:szCs w:val="16"/>
          <w:color w:val="1A3FD6"/>
        </w:rPr>
      </w:pPr>
      <w:r>
        <w:rPr>
          <w:rFonts w:ascii="Arial" w:cs="Arial" w:eastAsia="Arial" w:hAnsi="Arial"/>
          <w:sz w:val="16"/>
          <w:szCs w:val="16"/>
          <w:color w:val="auto"/>
        </w:rPr>
        <w:t>Adapt to evolving best practices in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5430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ELIGIBILITY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8890" cy="9086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908685"/>
                    </a:xfrm>
                    <a:prstGeom prst="rect">
                      <a:avLst/>
                    </a:prstGeom>
                    <a:noFill/>
                  </pic:spPr>
                </pic:pic>
              </a:graphicData>
            </a:graphic>
          </wp:anchor>
        </w:drawing>
      </w:r>
    </w:p>
    <w:p>
      <w:pPr>
        <w:spacing w:after="0" w:line="93" w:lineRule="exact"/>
        <w:rPr>
          <w:sz w:val="20"/>
          <w:szCs w:val="20"/>
          <w:color w:val="auto"/>
        </w:rPr>
      </w:pPr>
    </w:p>
    <w:p>
      <w:pPr>
        <w:ind w:left="320" w:right="20" w:hanging="203"/>
        <w:spacing w:after="0" w:line="282" w:lineRule="auto"/>
        <w:tabs>
          <w:tab w:leader="none" w:pos="317" w:val="left"/>
        </w:tabs>
        <w:numPr>
          <w:ilvl w:val="0"/>
          <w:numId w:val="118"/>
        </w:numPr>
        <w:rPr>
          <w:rFonts w:ascii="Arial" w:cs="Arial" w:eastAsia="Arial" w:hAnsi="Arial"/>
          <w:sz w:val="16"/>
          <w:szCs w:val="16"/>
          <w:color w:val="1A3FD6"/>
        </w:rPr>
      </w:pPr>
      <w:r>
        <w:rPr>
          <w:rFonts w:ascii="Arial" w:cs="Arial" w:eastAsia="Arial" w:hAnsi="Arial"/>
          <w:sz w:val="16"/>
          <w:szCs w:val="16"/>
          <w:color w:val="auto"/>
        </w:rPr>
        <w:t>Our employees (including prospective employees who have accepted an offer of employment), consultants and non-employee directors of our Board are eligible to receive awards under the 2025 Plan. As of February 14, 2025, there were a total of approximately 6,408 employees, consultants and non-employee directors eligible to receive awards under the 2025 Plan. The basis for participation in the 2025 Plan is the Compensation Committee’s (or its authorized delegate’s) decision, in its sole discretion, that an award to an eligible participant will further the 2025 Plan’s purposes as described above. In exercising its discretion, the Compensation Committee (or its delegate) will consider the recommendations of management and the purposes of the 2025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5430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0"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AUTHORIZED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8890" cy="120840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1208405"/>
                    </a:xfrm>
                    <a:prstGeom prst="rect">
                      <a:avLst/>
                    </a:prstGeom>
                    <a:noFill/>
                  </pic:spPr>
                </pic:pic>
              </a:graphicData>
            </a:graphic>
          </wp:anchor>
        </w:drawing>
      </w:r>
    </w:p>
    <w:p>
      <w:pPr>
        <w:spacing w:after="0" w:line="93" w:lineRule="exact"/>
        <w:rPr>
          <w:sz w:val="20"/>
          <w:szCs w:val="20"/>
          <w:color w:val="auto"/>
        </w:rPr>
      </w:pPr>
    </w:p>
    <w:p>
      <w:pPr>
        <w:ind w:left="320" w:right="40" w:hanging="203"/>
        <w:spacing w:after="0" w:line="279" w:lineRule="auto"/>
        <w:tabs>
          <w:tab w:leader="none" w:pos="317" w:val="left"/>
        </w:tabs>
        <w:numPr>
          <w:ilvl w:val="0"/>
          <w:numId w:val="119"/>
        </w:numPr>
        <w:rPr>
          <w:rFonts w:ascii="Arial" w:cs="Arial" w:eastAsia="Arial" w:hAnsi="Arial"/>
          <w:sz w:val="16"/>
          <w:szCs w:val="16"/>
          <w:color w:val="1A3FD6"/>
        </w:rPr>
      </w:pPr>
      <w:r>
        <w:rPr>
          <w:rFonts w:ascii="Arial" w:cs="Arial" w:eastAsia="Arial" w:hAnsi="Arial"/>
          <w:sz w:val="16"/>
          <w:szCs w:val="16"/>
          <w:color w:val="auto"/>
        </w:rPr>
        <w:t>Subject to adjustment (as described below), other than with respect to substitute awards (i.e., awards granted as replacements for awards granted by a company or business that we acquire or with which we combine), the maximum number of shares available for issuance under the 2025 Plan may not exceed, in the aggregate, (i) 3,621,064 shares plus (ii) the total number of shares remaining available for issuance under the 2016 Plans as of the date of shareholder approval of the 2025 Plan. As of February 14, 2025 the total number of shares remaining available for issuance under the 2016 Plans was 2,998,936 shares. If an award under the 2025 Plan or 2016 Plans is forfeited, cancelled, expires, terminates or otherwise lapses or is settled in cash, in whole or in part, without the delivery of shares, the shares covered by such award will again be available for issuance under the 2025 Plan. However, shares tendered or withheld in respect of taxes, to pay the exercise price of options, repurchased by the Company using exercise proceeds or subject to a SAR that are not issued upon settlement of the SAR will not again be available for issuance under the 2025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5430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8890" cy="47180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471805"/>
                    </a:xfrm>
                    <a:prstGeom prst="rect">
                      <a:avLst/>
                    </a:prstGeom>
                    <a:noFill/>
                  </pic:spPr>
                </pic:pic>
              </a:graphicData>
            </a:graphic>
          </wp:anchor>
        </w:drawing>
      </w:r>
    </w:p>
    <w:p>
      <w:pPr>
        <w:spacing w:after="0" w:line="147" w:lineRule="exact"/>
        <w:rPr>
          <w:sz w:val="20"/>
          <w:szCs w:val="20"/>
          <w:color w:val="auto"/>
        </w:rPr>
      </w:pPr>
    </w:p>
    <w:p>
      <w:pPr>
        <w:ind w:left="320" w:right="180" w:hanging="203"/>
        <w:spacing w:after="0" w:line="321" w:lineRule="auto"/>
        <w:tabs>
          <w:tab w:leader="none" w:pos="317" w:val="left"/>
        </w:tabs>
        <w:numPr>
          <w:ilvl w:val="0"/>
          <w:numId w:val="120"/>
        </w:numPr>
        <w:rPr>
          <w:rFonts w:ascii="Arial" w:cs="Arial" w:eastAsia="Arial" w:hAnsi="Arial"/>
          <w:sz w:val="16"/>
          <w:szCs w:val="16"/>
          <w:color w:val="1A3FD6"/>
        </w:rPr>
      </w:pPr>
      <w:r>
        <w:rPr>
          <w:rFonts w:ascii="Arial" w:cs="Arial" w:eastAsia="Arial" w:hAnsi="Arial"/>
          <w:sz w:val="16"/>
          <w:szCs w:val="16"/>
          <w:color w:val="auto"/>
        </w:rPr>
        <w:t>The 2025 Plan is scheduled to expire on the 10-year anniversary of its effective date (which is the date of shareholder approval), unless, prior to that date, the maximum number of shares available for issuance under the 2025 Plan has been issued or our Board of Directors terminates the 2025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5430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2"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INDIVIDUAL LIMITS FOR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8890" cy="53975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539750"/>
                    </a:xfrm>
                    <a:prstGeom prst="rect">
                      <a:avLst/>
                    </a:prstGeom>
                    <a:noFill/>
                  </pic:spPr>
                </pic:pic>
              </a:graphicData>
            </a:graphic>
          </wp:anchor>
        </w:drawing>
      </w:r>
    </w:p>
    <w:p>
      <w:pPr>
        <w:spacing w:after="0" w:line="93" w:lineRule="exact"/>
        <w:rPr>
          <w:sz w:val="20"/>
          <w:szCs w:val="20"/>
          <w:color w:val="auto"/>
        </w:rPr>
      </w:pPr>
    </w:p>
    <w:p>
      <w:pPr>
        <w:jc w:val="both"/>
        <w:ind w:left="320" w:hanging="203"/>
        <w:spacing w:after="0" w:line="292" w:lineRule="auto"/>
        <w:tabs>
          <w:tab w:leader="none" w:pos="317" w:val="left"/>
        </w:tabs>
        <w:numPr>
          <w:ilvl w:val="0"/>
          <w:numId w:val="121"/>
        </w:numPr>
        <w:rPr>
          <w:rFonts w:ascii="Arial" w:cs="Arial" w:eastAsia="Arial" w:hAnsi="Arial"/>
          <w:sz w:val="16"/>
          <w:szCs w:val="16"/>
          <w:color w:val="1A3FD6"/>
        </w:rPr>
      </w:pPr>
      <w:r>
        <w:rPr>
          <w:rFonts w:ascii="Arial" w:cs="Arial" w:eastAsia="Arial" w:hAnsi="Arial"/>
          <w:sz w:val="16"/>
          <w:szCs w:val="16"/>
          <w:color w:val="auto"/>
        </w:rPr>
        <w:t>Non-employee director participants may not receive compensation in any calendar year (including awards under the 2025 Plan and cash compensation) in excess of $1,000,000 (with the value of equity awards determined as of the grant date in accordance with applicable accounting standards). Retainers in shares in lieu of cash do not count against the individual limit described in (i)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15430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05"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PROHIBITION ON REPRICING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7454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32320" cy="745490"/>
                    </a:xfrm>
                    <a:prstGeom prst="rect">
                      <a:avLst/>
                    </a:prstGeom>
                    <a:noFill/>
                  </pic:spPr>
                </pic:pic>
              </a:graphicData>
            </a:graphic>
          </wp:anchor>
        </w:drawing>
      </w:r>
    </w:p>
    <w:p>
      <w:pPr>
        <w:spacing w:after="0" w:line="147" w:lineRule="exact"/>
        <w:rPr>
          <w:sz w:val="20"/>
          <w:szCs w:val="20"/>
          <w:color w:val="auto"/>
        </w:rPr>
      </w:pPr>
    </w:p>
    <w:p>
      <w:pPr>
        <w:ind w:left="320" w:right="20" w:hanging="203"/>
        <w:spacing w:after="0" w:line="275" w:lineRule="auto"/>
        <w:tabs>
          <w:tab w:leader="none" w:pos="317" w:val="left"/>
        </w:tabs>
        <w:numPr>
          <w:ilvl w:val="0"/>
          <w:numId w:val="122"/>
        </w:numPr>
        <w:rPr>
          <w:rFonts w:ascii="Arial" w:cs="Arial" w:eastAsia="Arial" w:hAnsi="Arial"/>
          <w:sz w:val="16"/>
          <w:szCs w:val="16"/>
          <w:color w:val="1A3FD6"/>
        </w:rPr>
      </w:pPr>
      <w:r>
        <w:rPr>
          <w:rFonts w:ascii="Arial" w:cs="Arial" w:eastAsia="Arial" w:hAnsi="Arial"/>
          <w:sz w:val="16"/>
          <w:szCs w:val="16"/>
          <w:color w:val="auto"/>
        </w:rPr>
        <w:t>Subject to adjustment (as described below), the Compensation Committee may not directly or indirectly, through cancellation and grant or regrant, repurchase or any other method (including through the repurchase of options, SARs or similar awards (that are “out of the money”) for cash and/or other property), reduce, or have the effect of reducing, the exercise or hurdle price of any award established at the time of grant without approval of</w:t>
      </w:r>
    </w:p>
    <w:p>
      <w:pPr>
        <w:spacing w:after="0" w:line="2" w:lineRule="exact"/>
        <w:rPr>
          <w:rFonts w:ascii="Arial" w:cs="Arial" w:eastAsia="Arial" w:hAnsi="Arial"/>
          <w:sz w:val="16"/>
          <w:szCs w:val="16"/>
          <w:color w:val="1A3FD6"/>
        </w:rPr>
      </w:pPr>
    </w:p>
    <w:p>
      <w:pPr>
        <w:ind w:left="320"/>
        <w:spacing w:after="0"/>
        <w:rPr>
          <w:rFonts w:ascii="Arial" w:cs="Arial" w:eastAsia="Arial" w:hAnsi="Arial"/>
          <w:sz w:val="16"/>
          <w:szCs w:val="16"/>
          <w:color w:val="1A3FD6"/>
        </w:rPr>
      </w:pPr>
      <w:r>
        <w:rPr>
          <w:rFonts w:ascii="Arial" w:cs="Arial" w:eastAsia="Arial" w:hAnsi="Arial"/>
          <w:sz w:val="16"/>
          <w:szCs w:val="16"/>
          <w:color w:val="auto"/>
        </w:rPr>
        <w:t>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951230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5100"/>
              <w:spacing w:after="0"/>
              <w:rPr>
                <w:sz w:val="20"/>
                <w:szCs w:val="20"/>
                <w:color w:val="auto"/>
              </w:rPr>
            </w:pPr>
            <w:r>
              <w:rPr>
                <w:rFonts w:ascii="Arial" w:cs="Arial" w:eastAsia="Arial" w:hAnsi="Arial"/>
                <w:sz w:val="14"/>
                <w:szCs w:val="14"/>
                <w:b w:val="1"/>
                <w:bCs w:val="1"/>
                <w:color w:val="1A3FD6"/>
              </w:rPr>
              <w:t>Proposal No. 3: Approval of the MSCI Inc. 2025 Omnibus Incentive Plan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103</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5430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366903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r>
    </w:p>
    <w:p>
      <w:pPr>
        <w:spacing w:after="0" w:line="147" w:lineRule="exact"/>
        <w:rPr>
          <w:sz w:val="20"/>
          <w:szCs w:val="20"/>
          <w:color w:val="auto"/>
        </w:rPr>
      </w:pPr>
    </w:p>
    <w:p>
      <w:pPr>
        <w:ind w:left="100" w:right="260"/>
        <w:spacing w:after="0" w:line="321" w:lineRule="auto"/>
        <w:rPr>
          <w:sz w:val="20"/>
          <w:szCs w:val="20"/>
          <w:color w:val="auto"/>
        </w:rPr>
      </w:pPr>
      <w:r>
        <w:rPr>
          <w:rFonts w:ascii="Arial" w:cs="Arial" w:eastAsia="Arial" w:hAnsi="Arial"/>
          <w:sz w:val="16"/>
          <w:szCs w:val="16"/>
          <w:color w:val="auto"/>
        </w:rPr>
        <w:t>The 2025 Plan is administered by the Compensation Committee. To the extent necessary or desirable to comply with applicable regulatory regimes, any action by the Compensation Committee will require the approval of committee members who are:</w:t>
      </w:r>
    </w:p>
    <w:p>
      <w:pPr>
        <w:spacing w:after="0" w:line="34" w:lineRule="exact"/>
        <w:rPr>
          <w:sz w:val="20"/>
          <w:szCs w:val="20"/>
          <w:color w:val="auto"/>
        </w:rPr>
      </w:pPr>
    </w:p>
    <w:p>
      <w:pPr>
        <w:ind w:left="320" w:right="280" w:hanging="203"/>
        <w:spacing w:after="0" w:line="308" w:lineRule="auto"/>
        <w:tabs>
          <w:tab w:leader="none" w:pos="317" w:val="left"/>
        </w:tabs>
        <w:numPr>
          <w:ilvl w:val="0"/>
          <w:numId w:val="123"/>
        </w:numPr>
        <w:rPr>
          <w:rFonts w:ascii="Arial" w:cs="Arial" w:eastAsia="Arial" w:hAnsi="Arial"/>
          <w:sz w:val="16"/>
          <w:szCs w:val="16"/>
          <w:color w:val="1A3FD6"/>
        </w:rPr>
      </w:pPr>
      <w:r>
        <w:rPr>
          <w:rFonts w:ascii="Arial" w:cs="Arial" w:eastAsia="Arial" w:hAnsi="Arial"/>
          <w:sz w:val="16"/>
          <w:szCs w:val="16"/>
          <w:color w:val="auto"/>
        </w:rPr>
        <w:t>independent, within the meaning of and to the extent required by applicable rulings and interpretations of the applicable stock market or exchange on which our shares are quoted or traded; and</w:t>
      </w:r>
    </w:p>
    <w:p>
      <w:pPr>
        <w:ind w:left="300" w:hanging="183"/>
        <w:spacing w:after="0"/>
        <w:tabs>
          <w:tab w:leader="none" w:pos="300" w:val="left"/>
        </w:tabs>
        <w:numPr>
          <w:ilvl w:val="0"/>
          <w:numId w:val="123"/>
        </w:numPr>
        <w:rPr>
          <w:rFonts w:ascii="Arial" w:cs="Arial" w:eastAsia="Arial" w:hAnsi="Arial"/>
          <w:sz w:val="16"/>
          <w:szCs w:val="16"/>
          <w:color w:val="1A3FD6"/>
        </w:rPr>
      </w:pPr>
      <w:r>
        <w:rPr>
          <w:rFonts w:ascii="Arial" w:cs="Arial" w:eastAsia="Arial" w:hAnsi="Arial"/>
          <w:sz w:val="16"/>
          <w:szCs w:val="16"/>
          <w:color w:val="auto"/>
        </w:rPr>
        <w:t>“non-employee directors” within the meaning of Rule 16b-3 under the Exchange Act.</w:t>
      </w:r>
    </w:p>
    <w:p>
      <w:pPr>
        <w:spacing w:after="0" w:line="14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Compensation Committee (or its delegate) has authority under the 2025 Plan to:</w:t>
      </w:r>
    </w:p>
    <w:p>
      <w:pPr>
        <w:spacing w:after="0" w:line="140" w:lineRule="exact"/>
        <w:rPr>
          <w:sz w:val="20"/>
          <w:szCs w:val="20"/>
          <w:color w:val="auto"/>
        </w:rPr>
      </w:pPr>
    </w:p>
    <w:p>
      <w:pPr>
        <w:ind w:left="300" w:hanging="183"/>
        <w:spacing w:after="0"/>
        <w:tabs>
          <w:tab w:leader="none" w:pos="300" w:val="left"/>
        </w:tabs>
        <w:numPr>
          <w:ilvl w:val="0"/>
          <w:numId w:val="124"/>
        </w:numPr>
        <w:rPr>
          <w:rFonts w:ascii="Arial" w:cs="Arial" w:eastAsia="Arial" w:hAnsi="Arial"/>
          <w:sz w:val="16"/>
          <w:szCs w:val="16"/>
          <w:color w:val="1A3FD6"/>
        </w:rPr>
      </w:pPr>
      <w:r>
        <w:rPr>
          <w:rFonts w:ascii="Arial" w:cs="Arial" w:eastAsia="Arial" w:hAnsi="Arial"/>
          <w:sz w:val="16"/>
          <w:szCs w:val="16"/>
          <w:color w:val="auto"/>
        </w:rPr>
        <w:t>designate participants;</w:t>
      </w:r>
    </w:p>
    <w:p>
      <w:pPr>
        <w:spacing w:after="0" w:line="72" w:lineRule="exact"/>
        <w:rPr>
          <w:rFonts w:ascii="Arial" w:cs="Arial" w:eastAsia="Arial" w:hAnsi="Arial"/>
          <w:sz w:val="16"/>
          <w:szCs w:val="16"/>
          <w:color w:val="1A3FD6"/>
        </w:rPr>
      </w:pPr>
    </w:p>
    <w:p>
      <w:pPr>
        <w:ind w:left="320" w:right="60" w:hanging="203"/>
        <w:spacing w:after="0" w:line="280" w:lineRule="auto"/>
        <w:tabs>
          <w:tab w:leader="none" w:pos="317" w:val="left"/>
        </w:tabs>
        <w:numPr>
          <w:ilvl w:val="0"/>
          <w:numId w:val="124"/>
        </w:numPr>
        <w:rPr>
          <w:rFonts w:ascii="Arial" w:cs="Arial" w:eastAsia="Arial" w:hAnsi="Arial"/>
          <w:sz w:val="16"/>
          <w:szCs w:val="16"/>
          <w:color w:val="1A3FD6"/>
        </w:rPr>
      </w:pPr>
      <w:r>
        <w:rPr>
          <w:rFonts w:ascii="Arial" w:cs="Arial" w:eastAsia="Arial" w:hAnsi="Arial"/>
          <w:sz w:val="16"/>
          <w:szCs w:val="16"/>
          <w:color w:val="auto"/>
        </w:rPr>
        <w:t>determine (i) the types of awards (including substitute awards) to grant, (ii) the number of shares to be covered by awards, (iii) the terms, conditions and forms of awards, (iv) whether, and to what extent, awards may be settled or exercised in cash, shares, other awards, other property or net settlement,</w:t>
      </w:r>
    </w:p>
    <w:p>
      <w:pPr>
        <w:spacing w:after="0" w:line="1" w:lineRule="exact"/>
        <w:rPr>
          <w:rFonts w:ascii="Arial" w:cs="Arial" w:eastAsia="Arial" w:hAnsi="Arial"/>
          <w:sz w:val="16"/>
          <w:szCs w:val="16"/>
          <w:color w:val="1A3FD6"/>
        </w:rPr>
      </w:pPr>
    </w:p>
    <w:p>
      <w:pPr>
        <w:ind w:left="320" w:right="300"/>
        <w:spacing w:after="0" w:line="305" w:lineRule="auto"/>
        <w:rPr>
          <w:rFonts w:ascii="Arial" w:cs="Arial" w:eastAsia="Arial" w:hAnsi="Arial"/>
          <w:sz w:val="16"/>
          <w:szCs w:val="16"/>
          <w:color w:val="1A3FD6"/>
        </w:rPr>
      </w:pPr>
      <w:r>
        <w:rPr>
          <w:rFonts w:ascii="Arial" w:cs="Arial" w:eastAsia="Arial" w:hAnsi="Arial"/>
          <w:sz w:val="16"/>
          <w:szCs w:val="16"/>
          <w:color w:val="auto"/>
        </w:rPr>
        <w:t>(v) the circumstances under which awards may be canceled, forfeited or suspended and (vi) whether awards may be deferred automatically or at the election of the holder or the Compensation Committee;</w:t>
      </w:r>
    </w:p>
    <w:p>
      <w:pPr>
        <w:spacing w:after="0" w:line="6" w:lineRule="exact"/>
        <w:rPr>
          <w:rFonts w:ascii="Arial" w:cs="Arial" w:eastAsia="Arial" w:hAnsi="Arial"/>
          <w:sz w:val="16"/>
          <w:szCs w:val="16"/>
          <w:color w:val="1A3FD6"/>
        </w:rPr>
      </w:pPr>
    </w:p>
    <w:p>
      <w:pPr>
        <w:ind w:left="300" w:hanging="183"/>
        <w:spacing w:after="0"/>
        <w:tabs>
          <w:tab w:leader="none" w:pos="300" w:val="left"/>
        </w:tabs>
        <w:numPr>
          <w:ilvl w:val="0"/>
          <w:numId w:val="124"/>
        </w:numPr>
        <w:rPr>
          <w:rFonts w:ascii="Arial" w:cs="Arial" w:eastAsia="Arial" w:hAnsi="Arial"/>
          <w:sz w:val="16"/>
          <w:szCs w:val="16"/>
          <w:color w:val="1A3FD6"/>
        </w:rPr>
      </w:pPr>
      <w:r>
        <w:rPr>
          <w:rFonts w:ascii="Arial" w:cs="Arial" w:eastAsia="Arial" w:hAnsi="Arial"/>
          <w:sz w:val="16"/>
          <w:szCs w:val="16"/>
          <w:color w:val="auto"/>
        </w:rPr>
        <w:t>amend the terms or conditions of any outstanding awards;</w:t>
      </w:r>
    </w:p>
    <w:p>
      <w:pPr>
        <w:spacing w:after="0" w:line="72" w:lineRule="exact"/>
        <w:rPr>
          <w:rFonts w:ascii="Arial" w:cs="Arial" w:eastAsia="Arial" w:hAnsi="Arial"/>
          <w:sz w:val="16"/>
          <w:szCs w:val="16"/>
          <w:color w:val="1A3FD6"/>
        </w:rPr>
      </w:pPr>
    </w:p>
    <w:p>
      <w:pPr>
        <w:ind w:left="320" w:right="40" w:hanging="203"/>
        <w:spacing w:after="0" w:line="308" w:lineRule="auto"/>
        <w:tabs>
          <w:tab w:leader="none" w:pos="317" w:val="left"/>
        </w:tabs>
        <w:numPr>
          <w:ilvl w:val="0"/>
          <w:numId w:val="124"/>
        </w:numPr>
        <w:rPr>
          <w:rFonts w:ascii="Arial" w:cs="Arial" w:eastAsia="Arial" w:hAnsi="Arial"/>
          <w:sz w:val="16"/>
          <w:szCs w:val="16"/>
          <w:color w:val="1A3FD6"/>
        </w:rPr>
      </w:pPr>
      <w:r>
        <w:rPr>
          <w:rFonts w:ascii="Arial" w:cs="Arial" w:eastAsia="Arial" w:hAnsi="Arial"/>
          <w:sz w:val="16"/>
          <w:szCs w:val="16"/>
          <w:color w:val="auto"/>
        </w:rPr>
        <w:t>correct any defect, supply any omission or reconcile any inconsistency in the 2025 Plan or any award agreement, in the manner and to the extent it shall deem desirable to carry the 2025 Plan into effect;</w:t>
      </w:r>
    </w:p>
    <w:p>
      <w:pPr>
        <w:ind w:left="300" w:hanging="183"/>
        <w:spacing w:after="0"/>
        <w:tabs>
          <w:tab w:leader="none" w:pos="300" w:val="left"/>
        </w:tabs>
        <w:numPr>
          <w:ilvl w:val="0"/>
          <w:numId w:val="124"/>
        </w:numPr>
        <w:rPr>
          <w:rFonts w:ascii="Arial" w:cs="Arial" w:eastAsia="Arial" w:hAnsi="Arial"/>
          <w:sz w:val="16"/>
          <w:szCs w:val="16"/>
          <w:color w:val="1A3FD6"/>
        </w:rPr>
      </w:pPr>
      <w:r>
        <w:rPr>
          <w:rFonts w:ascii="Arial" w:cs="Arial" w:eastAsia="Arial" w:hAnsi="Arial"/>
          <w:sz w:val="16"/>
          <w:szCs w:val="16"/>
          <w:color w:val="auto"/>
        </w:rPr>
        <w:t>interpret and administer the 2025 Plan and any instrument or agreement relating to, or award made under, the 2025 Plan;</w:t>
      </w:r>
    </w:p>
    <w:p>
      <w:pPr>
        <w:spacing w:after="0" w:line="86" w:lineRule="exact"/>
        <w:rPr>
          <w:rFonts w:ascii="Arial" w:cs="Arial" w:eastAsia="Arial" w:hAnsi="Arial"/>
          <w:sz w:val="16"/>
          <w:szCs w:val="16"/>
          <w:color w:val="1A3FD6"/>
        </w:rPr>
      </w:pPr>
    </w:p>
    <w:p>
      <w:pPr>
        <w:ind w:left="300" w:hanging="183"/>
        <w:spacing w:after="0"/>
        <w:tabs>
          <w:tab w:leader="none" w:pos="300" w:val="left"/>
        </w:tabs>
        <w:numPr>
          <w:ilvl w:val="0"/>
          <w:numId w:val="124"/>
        </w:numPr>
        <w:rPr>
          <w:rFonts w:ascii="Arial" w:cs="Arial" w:eastAsia="Arial" w:hAnsi="Arial"/>
          <w:sz w:val="16"/>
          <w:szCs w:val="16"/>
          <w:color w:val="1A3FD6"/>
        </w:rPr>
      </w:pPr>
      <w:r>
        <w:rPr>
          <w:rFonts w:ascii="Arial" w:cs="Arial" w:eastAsia="Arial" w:hAnsi="Arial"/>
          <w:sz w:val="16"/>
          <w:szCs w:val="16"/>
          <w:color w:val="auto"/>
        </w:rPr>
        <w:t>establish, amend, suspend or waive rules and regulations, and appoint agents; and</w:t>
      </w:r>
    </w:p>
    <w:p>
      <w:pPr>
        <w:spacing w:after="0" w:line="86" w:lineRule="exact"/>
        <w:rPr>
          <w:rFonts w:ascii="Arial" w:cs="Arial" w:eastAsia="Arial" w:hAnsi="Arial"/>
          <w:sz w:val="16"/>
          <w:szCs w:val="16"/>
          <w:color w:val="1A3FD6"/>
        </w:rPr>
      </w:pPr>
    </w:p>
    <w:p>
      <w:pPr>
        <w:ind w:left="320" w:right="660" w:hanging="203"/>
        <w:spacing w:after="0" w:line="304" w:lineRule="auto"/>
        <w:tabs>
          <w:tab w:leader="none" w:pos="317" w:val="left"/>
        </w:tabs>
        <w:numPr>
          <w:ilvl w:val="0"/>
          <w:numId w:val="124"/>
        </w:numPr>
        <w:rPr>
          <w:rFonts w:ascii="Arial" w:cs="Arial" w:eastAsia="Arial" w:hAnsi="Arial"/>
          <w:sz w:val="16"/>
          <w:szCs w:val="16"/>
          <w:color w:val="1A3FD6"/>
        </w:rPr>
      </w:pPr>
      <w:r>
        <w:rPr>
          <w:rFonts w:ascii="Arial" w:cs="Arial" w:eastAsia="Arial" w:hAnsi="Arial"/>
          <w:sz w:val="16"/>
          <w:szCs w:val="16"/>
          <w:color w:val="auto"/>
        </w:rPr>
        <w:t>make any other determination and take any other action that it deems necessary or desirable for the proper administration of the 2025 Plan and compliance with applicable law, stock market or exchange rules and regulations or accounting or tax rules and regulations.</w:t>
      </w:r>
    </w:p>
    <w:p>
      <w:pPr>
        <w:spacing w:after="0" w:line="60" w:lineRule="exact"/>
        <w:rPr>
          <w:sz w:val="20"/>
          <w:szCs w:val="20"/>
          <w:color w:val="auto"/>
        </w:rPr>
      </w:pPr>
    </w:p>
    <w:p>
      <w:pPr>
        <w:ind w:left="100" w:right="200"/>
        <w:spacing w:after="0" w:line="283" w:lineRule="auto"/>
        <w:rPr>
          <w:sz w:val="20"/>
          <w:szCs w:val="20"/>
          <w:color w:val="auto"/>
        </w:rPr>
      </w:pPr>
      <w:r>
        <w:rPr>
          <w:rFonts w:ascii="Arial" w:cs="Arial" w:eastAsia="Arial" w:hAnsi="Arial"/>
          <w:sz w:val="16"/>
          <w:szCs w:val="16"/>
          <w:color w:val="auto"/>
        </w:rPr>
        <w:t>The Compensation Committee may delegate some or all of its authority under the 2025 Plan (including the authority to grant or administer options, SARs or other awards in the form of share rights under the 2025 Plan), to the extent permitted by applicable law, to one or more subcommittees of the Compensation Committee (which may consist solely of one director) or to other persons or groups of persons as it deems necessary, appropriate or advisable under conditions or limitations that the Compensation Committee may set at the time of the delegation.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919480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05" w:name="page106"/>
    <w:bookmarkEnd w:id="105"/>
    <w:p>
      <w:pPr>
        <w:spacing w:after="0"/>
        <w:tabs>
          <w:tab w:leader="none" w:pos="6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104</w:t>
      </w:r>
      <w:r>
        <w:rPr>
          <w:sz w:val="20"/>
          <w:szCs w:val="20"/>
          <w:color w:val="auto"/>
        </w:rPr>
        <w:tab/>
      </w:r>
      <w:r>
        <w:rPr>
          <w:rFonts w:ascii="Arial" w:cs="Arial" w:eastAsia="Arial" w:hAnsi="Arial"/>
          <w:sz w:val="14"/>
          <w:szCs w:val="14"/>
          <w:b w:val="1"/>
          <w:bCs w:val="1"/>
          <w:color w:val="1A3FD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434975</wp:posOffset>
            </wp:positionV>
            <wp:extent cx="7132320" cy="15430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TYPES OF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29210</wp:posOffset>
            </wp:positionV>
            <wp:extent cx="7132320" cy="56064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32320" cy="5606415"/>
                    </a:xfrm>
                    <a:prstGeom prst="rect">
                      <a:avLst/>
                    </a:prstGeom>
                    <a:noFill/>
                  </pic:spPr>
                </pic:pic>
              </a:graphicData>
            </a:graphic>
          </wp:anchor>
        </w:drawing>
      </w:r>
    </w:p>
    <w:p>
      <w:pPr>
        <w:spacing w:after="0" w:line="147" w:lineRule="exact"/>
        <w:rPr>
          <w:sz w:val="20"/>
          <w:szCs w:val="20"/>
          <w:color w:val="auto"/>
        </w:rPr>
      </w:pPr>
    </w:p>
    <w:p>
      <w:pPr>
        <w:ind w:left="20" w:right="160"/>
        <w:spacing w:after="0" w:line="321" w:lineRule="auto"/>
        <w:rPr>
          <w:sz w:val="20"/>
          <w:szCs w:val="20"/>
          <w:color w:val="auto"/>
        </w:rPr>
      </w:pPr>
      <w:r>
        <w:rPr>
          <w:rFonts w:ascii="Arial" w:cs="Arial" w:eastAsia="Arial" w:hAnsi="Arial"/>
          <w:sz w:val="16"/>
          <w:szCs w:val="16"/>
          <w:color w:val="auto"/>
        </w:rPr>
        <w:t>The 2025 Plan provides for grants of stock options, SARs, RSUs, restricted stock, performance awards, other stock-based awards and other cash-based awards:</w:t>
      </w:r>
    </w:p>
    <w:p>
      <w:pPr>
        <w:spacing w:after="0" w:line="34" w:lineRule="exact"/>
        <w:rPr>
          <w:sz w:val="20"/>
          <w:szCs w:val="20"/>
          <w:color w:val="auto"/>
        </w:rPr>
      </w:pPr>
    </w:p>
    <w:p>
      <w:pPr>
        <w:ind w:left="220" w:right="40" w:hanging="203"/>
        <w:spacing w:after="0" w:line="280" w:lineRule="auto"/>
        <w:tabs>
          <w:tab w:leader="none" w:pos="217" w:val="left"/>
        </w:tabs>
        <w:numPr>
          <w:ilvl w:val="0"/>
          <w:numId w:val="125"/>
        </w:numPr>
        <w:rPr>
          <w:rFonts w:ascii="Arial" w:cs="Arial" w:eastAsia="Arial" w:hAnsi="Arial"/>
          <w:sz w:val="16"/>
          <w:szCs w:val="16"/>
          <w:color w:val="1A3FD6"/>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A stock option is a contractual right to purchase shares at a future date at a specified exercise price. The per share exercise price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option (other than a substitute award) will be determined by the Compensation Committee and may not be less than the “fair market value” of a share of our common stock (defined in the 2025 Plan as the closing price of a share of our common stock on the last trading day prior to the date of grant). Subject to certain “minimum vesting requirements” (as described below), the Compensation Committee will determine the date after which each stock option may be exercised, the expiration date of each option (provided that no option will be exercisable more than 10 years after the grant date), and the form in which payment will be made upon exercise. No grant of options may be accompanied by a tandem grant providing dividends, dividend equivalents or other distributions be paid on such options. Options that are intended to qualify as incentive stock options must meet the requirements of Section 422 of the Internal Revenue Code of 1986, as amended (the “</w:t>
      </w:r>
      <w:r>
        <w:rPr>
          <w:rFonts w:ascii="Arial" w:cs="Arial" w:eastAsia="Arial" w:hAnsi="Arial"/>
          <w:sz w:val="16"/>
          <w:szCs w:val="16"/>
          <w:b w:val="1"/>
          <w:bCs w:val="1"/>
          <w:color w:val="auto"/>
        </w:rPr>
        <w:t>IRC</w:t>
      </w:r>
      <w:r>
        <w:rPr>
          <w:rFonts w:ascii="Arial" w:cs="Arial" w:eastAsia="Arial" w:hAnsi="Arial"/>
          <w:sz w:val="16"/>
          <w:szCs w:val="16"/>
          <w:color w:val="auto"/>
        </w:rPr>
        <w:t>”). The 2025 Plan provides for the automatic exercise of any option then outstanding on the last trading day immediately prior to an option’s expiration date, provided that the fair market value of the share underlying the option exceeds the exercise price.</w:t>
      </w:r>
    </w:p>
    <w:p>
      <w:pPr>
        <w:spacing w:after="0" w:line="13" w:lineRule="exact"/>
        <w:rPr>
          <w:rFonts w:ascii="Arial" w:cs="Arial" w:eastAsia="Arial" w:hAnsi="Arial"/>
          <w:sz w:val="16"/>
          <w:szCs w:val="16"/>
          <w:color w:val="1A3FD6"/>
        </w:rPr>
      </w:pPr>
    </w:p>
    <w:p>
      <w:pPr>
        <w:ind w:left="220" w:hanging="203"/>
        <w:spacing w:after="0" w:line="279" w:lineRule="auto"/>
        <w:tabs>
          <w:tab w:leader="none" w:pos="217" w:val="left"/>
        </w:tabs>
        <w:numPr>
          <w:ilvl w:val="0"/>
          <w:numId w:val="125"/>
        </w:numPr>
        <w:rPr>
          <w:rFonts w:ascii="Arial" w:cs="Arial" w:eastAsia="Arial" w:hAnsi="Arial"/>
          <w:sz w:val="16"/>
          <w:szCs w:val="16"/>
          <w:color w:val="1A3FD6"/>
        </w:rPr>
      </w:pPr>
      <w:r>
        <w:rPr>
          <w:rFonts w:ascii="Arial" w:cs="Arial" w:eastAsia="Arial" w:hAnsi="Arial"/>
          <w:sz w:val="16"/>
          <w:szCs w:val="16"/>
          <w:b w:val="1"/>
          <w:bCs w:val="1"/>
          <w:i w:val="1"/>
          <w:iCs w:val="1"/>
          <w:color w:val="auto"/>
        </w:rPr>
        <w:t>SARs</w:t>
      </w:r>
      <w:r>
        <w:rPr>
          <w:rFonts w:ascii="Arial" w:cs="Arial" w:eastAsia="Arial" w:hAnsi="Arial"/>
          <w:sz w:val="16"/>
          <w:szCs w:val="16"/>
          <w:color w:val="auto"/>
        </w:rPr>
        <w:t>. Stock appreciation rights (“</w:t>
      </w:r>
      <w:r>
        <w:rPr>
          <w:rFonts w:ascii="Arial" w:cs="Arial" w:eastAsia="Arial" w:hAnsi="Arial"/>
          <w:sz w:val="16"/>
          <w:szCs w:val="16"/>
          <w:b w:val="1"/>
          <w:bCs w:val="1"/>
          <w:color w:val="auto"/>
        </w:rPr>
        <w:t>SARs</w:t>
      </w:r>
      <w:r>
        <w:rPr>
          <w:rFonts w:ascii="Arial" w:cs="Arial" w:eastAsia="Arial" w:hAnsi="Arial"/>
          <w:sz w:val="16"/>
          <w:szCs w:val="16"/>
          <w:color w:val="auto"/>
        </w:rPr>
        <w:t>”) represent a contractual right to receive, in cash or shares, an amount equal to the appreciation of one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common stock from the grant date. The per share exercise price of a SAR (except in the case of substitute awards) will be determined by the Compensation Committee but may not be less than the “fair market value” of a share of our common stock (as defined in the 2025 Plan and summarized above). Subject to certain “minimum vesting requirements” (as described below), the Compensation Committee will determine the date on which each SAR may be exercised or settled, in whole or in part, and the expiration date of each SAR. However, no SAR will be exercisable more than 10 years from the grant date. No grant of SARs may be accompanied by a tandem award of dividend equivalents or provide for dividends, dividend equivalents or other distributions to be paid on such SAR. The 2025 Plan provides for the automatic exercise of any SAR then outstanding on the last trading day immediately prior to a SAR’s expiration date, provided that the fair market value of the share underlying the SAR exceeds the exercise price.</w:t>
      </w:r>
    </w:p>
    <w:p>
      <w:pPr>
        <w:spacing w:after="0" w:line="30" w:lineRule="exact"/>
        <w:rPr>
          <w:rFonts w:ascii="Arial" w:cs="Arial" w:eastAsia="Arial" w:hAnsi="Arial"/>
          <w:sz w:val="16"/>
          <w:szCs w:val="16"/>
          <w:color w:val="1A3FD6"/>
        </w:rPr>
      </w:pPr>
    </w:p>
    <w:p>
      <w:pPr>
        <w:ind w:left="220" w:right="200" w:hanging="203"/>
        <w:spacing w:after="0" w:line="304" w:lineRule="auto"/>
        <w:tabs>
          <w:tab w:leader="none" w:pos="217" w:val="left"/>
        </w:tabs>
        <w:numPr>
          <w:ilvl w:val="0"/>
          <w:numId w:val="125"/>
        </w:numPr>
        <w:rPr>
          <w:rFonts w:ascii="Arial" w:cs="Arial" w:eastAsia="Arial" w:hAnsi="Arial"/>
          <w:sz w:val="16"/>
          <w:szCs w:val="16"/>
          <w:color w:val="1A3FD6"/>
        </w:rPr>
      </w:pPr>
      <w:r>
        <w:rPr>
          <w:rFonts w:ascii="Arial" w:cs="Arial" w:eastAsia="Arial" w:hAnsi="Arial"/>
          <w:sz w:val="16"/>
          <w:szCs w:val="16"/>
          <w:b w:val="1"/>
          <w:bCs w:val="1"/>
          <w:i w:val="1"/>
          <w:iCs w:val="1"/>
          <w:color w:val="auto"/>
        </w:rPr>
        <w:t>RSUs</w:t>
      </w:r>
      <w:r>
        <w:rPr>
          <w:rFonts w:ascii="Arial" w:cs="Arial" w:eastAsia="Arial" w:hAnsi="Arial"/>
          <w:sz w:val="16"/>
          <w:szCs w:val="16"/>
          <w:color w:val="auto"/>
        </w:rPr>
        <w:t>. RSUs represent a contractual right to receive a share (or cash in an amount equal to the value of a share) at a future date, subject to specified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vesting and other restrictions.</w:t>
      </w:r>
    </w:p>
    <w:p>
      <w:pPr>
        <w:spacing w:after="0" w:line="6" w:lineRule="exact"/>
        <w:rPr>
          <w:rFonts w:ascii="Arial" w:cs="Arial" w:eastAsia="Arial" w:hAnsi="Arial"/>
          <w:sz w:val="16"/>
          <w:szCs w:val="16"/>
          <w:color w:val="1A3FD6"/>
        </w:rPr>
      </w:pPr>
    </w:p>
    <w:p>
      <w:pPr>
        <w:ind w:left="200" w:hanging="183"/>
        <w:spacing w:after="0"/>
        <w:tabs>
          <w:tab w:leader="none" w:pos="200" w:val="left"/>
        </w:tabs>
        <w:numPr>
          <w:ilvl w:val="0"/>
          <w:numId w:val="125"/>
        </w:numPr>
        <w:rPr>
          <w:rFonts w:ascii="Arial" w:cs="Arial" w:eastAsia="Arial" w:hAnsi="Arial"/>
          <w:sz w:val="16"/>
          <w:szCs w:val="16"/>
          <w:color w:val="1A3FD6"/>
        </w:rPr>
      </w:pPr>
      <w:r>
        <w:rPr>
          <w:rFonts w:ascii="Arial" w:cs="Arial" w:eastAsia="Arial" w:hAnsi="Arial"/>
          <w:sz w:val="16"/>
          <w:szCs w:val="16"/>
          <w:b w:val="1"/>
          <w:bCs w:val="1"/>
          <w:i w:val="1"/>
          <w:iCs w:val="1"/>
          <w:color w:val="auto"/>
        </w:rPr>
        <w:t>Restricted Stock</w:t>
      </w:r>
      <w:r>
        <w:rPr>
          <w:rFonts w:ascii="Arial" w:cs="Arial" w:eastAsia="Arial" w:hAnsi="Arial"/>
          <w:sz w:val="16"/>
          <w:szCs w:val="16"/>
          <w:color w:val="auto"/>
        </w:rPr>
        <w:t>. Restricted stock is an award of shares that is subject to restrictions on transfer and a substantial risk of forfeiture.</w:t>
      </w:r>
    </w:p>
    <w:p>
      <w:pPr>
        <w:spacing w:after="0" w:line="86" w:lineRule="exact"/>
        <w:rPr>
          <w:rFonts w:ascii="Arial" w:cs="Arial" w:eastAsia="Arial" w:hAnsi="Arial"/>
          <w:sz w:val="16"/>
          <w:szCs w:val="16"/>
          <w:color w:val="1A3FD6"/>
        </w:rPr>
      </w:pPr>
    </w:p>
    <w:p>
      <w:pPr>
        <w:ind w:left="220" w:right="20" w:hanging="203"/>
        <w:spacing w:after="0" w:line="292" w:lineRule="auto"/>
        <w:tabs>
          <w:tab w:leader="none" w:pos="217" w:val="left"/>
        </w:tabs>
        <w:numPr>
          <w:ilvl w:val="0"/>
          <w:numId w:val="125"/>
        </w:numPr>
        <w:rPr>
          <w:rFonts w:ascii="Arial" w:cs="Arial" w:eastAsia="Arial" w:hAnsi="Arial"/>
          <w:sz w:val="16"/>
          <w:szCs w:val="16"/>
          <w:color w:val="1A3FD6"/>
        </w:rPr>
      </w:pPr>
      <w:r>
        <w:rPr>
          <w:rFonts w:ascii="Arial" w:cs="Arial" w:eastAsia="Arial" w:hAnsi="Arial"/>
          <w:sz w:val="16"/>
          <w:szCs w:val="16"/>
          <w:b w:val="1"/>
          <w:bCs w:val="1"/>
          <w:i w:val="1"/>
          <w:iCs w:val="1"/>
          <w:color w:val="auto"/>
        </w:rPr>
        <w:t>Retainers</w:t>
      </w:r>
      <w:r>
        <w:rPr>
          <w:rFonts w:ascii="Arial" w:cs="Arial" w:eastAsia="Arial" w:hAnsi="Arial"/>
          <w:sz w:val="16"/>
          <w:szCs w:val="16"/>
          <w:color w:val="auto"/>
        </w:rPr>
        <w:t>. Retainers are annual cash retainers payable to non-employee directors for service as a member of the Board or a committee of the Board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chair or lead director of the Board or any such committee. Retainers may be received in shares of our common stock at the election of the non-employee directors.</w:t>
      </w:r>
    </w:p>
    <w:p>
      <w:pPr>
        <w:spacing w:after="0" w:line="3" w:lineRule="exact"/>
        <w:rPr>
          <w:rFonts w:ascii="Arial" w:cs="Arial" w:eastAsia="Arial" w:hAnsi="Arial"/>
          <w:sz w:val="16"/>
          <w:szCs w:val="16"/>
          <w:color w:val="1A3FD6"/>
        </w:rPr>
      </w:pPr>
    </w:p>
    <w:p>
      <w:pPr>
        <w:ind w:left="220" w:right="20" w:hanging="203"/>
        <w:spacing w:after="0" w:line="287" w:lineRule="auto"/>
        <w:tabs>
          <w:tab w:leader="none" w:pos="217" w:val="left"/>
        </w:tabs>
        <w:numPr>
          <w:ilvl w:val="0"/>
          <w:numId w:val="125"/>
        </w:numPr>
        <w:rPr>
          <w:rFonts w:ascii="Arial" w:cs="Arial" w:eastAsia="Arial" w:hAnsi="Arial"/>
          <w:sz w:val="16"/>
          <w:szCs w:val="16"/>
          <w:color w:val="1A3FD6"/>
        </w:rPr>
      </w:pPr>
      <w:r>
        <w:rPr>
          <w:rFonts w:ascii="Arial" w:cs="Arial" w:eastAsia="Arial" w:hAnsi="Arial"/>
          <w:sz w:val="16"/>
          <w:szCs w:val="16"/>
          <w:b w:val="1"/>
          <w:bCs w:val="1"/>
          <w:i w:val="1"/>
          <w:iCs w:val="1"/>
          <w:color w:val="auto"/>
        </w:rPr>
        <w:t>Performance Awards</w:t>
      </w:r>
      <w:r>
        <w:rPr>
          <w:rFonts w:ascii="Arial" w:cs="Arial" w:eastAsia="Arial" w:hAnsi="Arial"/>
          <w:sz w:val="16"/>
          <w:szCs w:val="16"/>
          <w:color w:val="auto"/>
        </w:rPr>
        <w:t>. Performance awards, which may be denominated in cash, shares, units or a combination thereof, will be earned upon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satisfaction of performance conditions specified by the Compensation Committee. The Compensation Committee has authority to specify that any other award granted under the 2025 Plan will constitute a performance award by conditioning the exercisability or settlement of the award on the satisfaction of performance goals. The Compensation Committee may use such business criteria and other measures of performance as it may deem appropriate in establishing any performance conditions.</w:t>
      </w:r>
    </w:p>
    <w:p>
      <w:pPr>
        <w:spacing w:after="0" w:line="6" w:lineRule="exact"/>
        <w:rPr>
          <w:rFonts w:ascii="Arial" w:cs="Arial" w:eastAsia="Arial" w:hAnsi="Arial"/>
          <w:sz w:val="16"/>
          <w:szCs w:val="16"/>
          <w:color w:val="1A3FD6"/>
        </w:rPr>
      </w:pPr>
    </w:p>
    <w:p>
      <w:pPr>
        <w:ind w:left="220" w:right="140" w:hanging="203"/>
        <w:spacing w:after="0" w:line="289" w:lineRule="auto"/>
        <w:tabs>
          <w:tab w:leader="none" w:pos="217" w:val="left"/>
        </w:tabs>
        <w:numPr>
          <w:ilvl w:val="0"/>
          <w:numId w:val="125"/>
        </w:numPr>
        <w:rPr>
          <w:rFonts w:ascii="Arial" w:cs="Arial" w:eastAsia="Arial" w:hAnsi="Arial"/>
          <w:sz w:val="16"/>
          <w:szCs w:val="16"/>
          <w:color w:val="1A3FD6"/>
        </w:rPr>
      </w:pPr>
      <w:r>
        <w:rPr>
          <w:rFonts w:ascii="Arial" w:cs="Arial" w:eastAsia="Arial" w:hAnsi="Arial"/>
          <w:sz w:val="16"/>
          <w:szCs w:val="16"/>
          <w:b w:val="1"/>
          <w:bCs w:val="1"/>
          <w:i w:val="1"/>
          <w:iCs w:val="1"/>
          <w:color w:val="auto"/>
        </w:rPr>
        <w:t>Other Stock-Based Awards</w:t>
      </w:r>
      <w:r>
        <w:rPr>
          <w:rFonts w:ascii="Arial" w:cs="Arial" w:eastAsia="Arial" w:hAnsi="Arial"/>
          <w:sz w:val="16"/>
          <w:szCs w:val="16"/>
          <w:color w:val="auto"/>
        </w:rPr>
        <w:t>. The Compensation Committee is authorized to grant other stock-based awards, which may be denominated, payable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valued in or based on, in whole or in part, shares of our common stock or factors that may influence the value of our shares, including convertible or exchangeable debt securities, other rights convertible or exchangeable into shares, purchase rights for shares, awards with value and payment contingent upon our performance or that of our business units or any other factors designated by the Compensation Committee.</w:t>
      </w:r>
    </w:p>
    <w:p>
      <w:pPr>
        <w:spacing w:after="0" w:line="18" w:lineRule="exact"/>
        <w:rPr>
          <w:rFonts w:ascii="Arial" w:cs="Arial" w:eastAsia="Arial" w:hAnsi="Arial"/>
          <w:sz w:val="16"/>
          <w:szCs w:val="16"/>
          <w:color w:val="1A3FD6"/>
        </w:rPr>
      </w:pPr>
    </w:p>
    <w:p>
      <w:pPr>
        <w:ind w:left="220" w:right="320" w:hanging="203"/>
        <w:spacing w:after="0" w:line="292" w:lineRule="auto"/>
        <w:tabs>
          <w:tab w:leader="none" w:pos="217" w:val="left"/>
        </w:tabs>
        <w:numPr>
          <w:ilvl w:val="0"/>
          <w:numId w:val="125"/>
        </w:numPr>
        <w:rPr>
          <w:rFonts w:ascii="Arial" w:cs="Arial" w:eastAsia="Arial" w:hAnsi="Arial"/>
          <w:sz w:val="16"/>
          <w:szCs w:val="16"/>
          <w:color w:val="1A3FD6"/>
        </w:rPr>
      </w:pPr>
      <w:r>
        <w:rPr>
          <w:rFonts w:ascii="Arial" w:cs="Arial" w:eastAsia="Arial" w:hAnsi="Arial"/>
          <w:sz w:val="16"/>
          <w:szCs w:val="16"/>
          <w:b w:val="1"/>
          <w:bCs w:val="1"/>
          <w:i w:val="1"/>
          <w:iCs w:val="1"/>
          <w:color w:val="auto"/>
        </w:rPr>
        <w:t>Other Cash-Based Awards</w:t>
      </w:r>
      <w:r>
        <w:rPr>
          <w:rFonts w:ascii="Arial" w:cs="Arial" w:eastAsia="Arial" w:hAnsi="Arial"/>
          <w:sz w:val="16"/>
          <w:szCs w:val="16"/>
          <w:color w:val="auto"/>
        </w:rPr>
        <w:t>. The Compensation Committee is authorized to grant other cash-based awards (including cash awarded as a bonus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the attainment of specified performance criteria or otherwise as permitted under the 2025 Plan), either independently or as an element of or supplement to any other award under the 2025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915670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20" w:top="292" w:right="37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5100"/>
              <w:spacing w:after="0"/>
              <w:rPr>
                <w:sz w:val="20"/>
                <w:szCs w:val="20"/>
                <w:color w:val="auto"/>
              </w:rPr>
            </w:pPr>
            <w:r>
              <w:rPr>
                <w:rFonts w:ascii="Arial" w:cs="Arial" w:eastAsia="Arial" w:hAnsi="Arial"/>
                <w:sz w:val="14"/>
                <w:szCs w:val="14"/>
                <w:b w:val="1"/>
                <w:bCs w:val="1"/>
                <w:color w:val="1A3FD6"/>
              </w:rPr>
              <w:t>Proposal No. 3: Approval of the MSCI Inc. 2025 Omnibus Incentive Plan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105</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5430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MINIMUM VESTING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8890" cy="80581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05815"/>
                    </a:xfrm>
                    <a:prstGeom prst="rect">
                      <a:avLst/>
                    </a:prstGeom>
                    <a:noFill/>
                  </pic:spPr>
                </pic:pic>
              </a:graphicData>
            </a:graphic>
          </wp:anchor>
        </w:drawing>
      </w:r>
    </w:p>
    <w:p>
      <w:pPr>
        <w:spacing w:after="0" w:line="93" w:lineRule="exact"/>
        <w:rPr>
          <w:sz w:val="20"/>
          <w:szCs w:val="20"/>
          <w:color w:val="auto"/>
        </w:rPr>
      </w:pPr>
    </w:p>
    <w:p>
      <w:pPr>
        <w:ind w:left="320" w:right="80" w:hanging="203"/>
        <w:spacing w:after="0" w:line="282" w:lineRule="auto"/>
        <w:tabs>
          <w:tab w:leader="none" w:pos="317" w:val="left"/>
        </w:tabs>
        <w:numPr>
          <w:ilvl w:val="0"/>
          <w:numId w:val="126"/>
        </w:numPr>
        <w:rPr>
          <w:rFonts w:ascii="Arial" w:cs="Arial" w:eastAsia="Arial" w:hAnsi="Arial"/>
          <w:sz w:val="16"/>
          <w:szCs w:val="16"/>
          <w:color w:val="1A3FD6"/>
        </w:rPr>
      </w:pPr>
      <w:r>
        <w:rPr>
          <w:rFonts w:ascii="Arial" w:cs="Arial" w:eastAsia="Arial" w:hAnsi="Arial"/>
          <w:sz w:val="16"/>
          <w:szCs w:val="16"/>
          <w:color w:val="auto"/>
        </w:rPr>
        <w:t>Awards granted under the 2025 Plan will vest over a minimum period of not less than one year following the date of grant. However, the Compensation Committee may accelerate the vesting of awards or otherwise lapse or waive these minimum vesting requirements in the event of a participant’s death or “disability” or a “change in control” (as such terms may be defined in the applicable award agreement and/or the Participant’s employment agreement or offer letter, as the case may be). In addition, the Compensation Committee may grant up to 5% of the Aggregate Share Pool pursuant to awards that are not subject to the minimum vesting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15430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8890" cy="20828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2082800"/>
                    </a:xfrm>
                    <a:prstGeom prst="rect">
                      <a:avLst/>
                    </a:prstGeom>
                    <a:noFill/>
                  </pic:spPr>
                </pic:pic>
              </a:graphicData>
            </a:graphic>
          </wp:anchor>
        </w:drawing>
      </w:r>
    </w:p>
    <w:p>
      <w:pPr>
        <w:spacing w:after="0" w:line="147" w:lineRule="exact"/>
        <w:rPr>
          <w:sz w:val="20"/>
          <w:szCs w:val="20"/>
          <w:color w:val="auto"/>
        </w:rPr>
      </w:pPr>
    </w:p>
    <w:p>
      <w:pPr>
        <w:ind w:left="100" w:right="120"/>
        <w:spacing w:after="0" w:line="282" w:lineRule="auto"/>
        <w:rPr>
          <w:sz w:val="20"/>
          <w:szCs w:val="20"/>
          <w:color w:val="auto"/>
        </w:rPr>
      </w:pPr>
      <w:r>
        <w:rPr>
          <w:rFonts w:ascii="Arial" w:cs="Arial" w:eastAsia="Arial" w:hAnsi="Arial"/>
          <w:sz w:val="16"/>
          <w:szCs w:val="16"/>
          <w:color w:val="auto"/>
        </w:rPr>
        <w:t>In the event that the Compensation Committee determines that, as a result of any dividend or other distribution (other than an ordinary dividend or distribution), recapitalization, stock split, reverse stock split, reorganization, merger, consolidation, amalgamation, separation, rights offering, split-up, spin-off, combination, repurchase or exchange of shares or other securities, issuance of warrants or other rights to purchase our shares or other securities, issuance of our shares pursuant to the anti-dilution provisions of our securities, or other similar corporate transaction or event affecting our shares, or of changes in applicable laws, regulations or accounting principles, an adjustment is necessary to prevent dilution or enlargement of the benefits or potential benefits intended to be made available under the 2025 Plan, the Compensation Committee will adjust equitably, so as to ensure no undue enrichment or harm, any or all of:</w:t>
      </w:r>
    </w:p>
    <w:p>
      <w:pPr>
        <w:spacing w:after="0" w:line="66" w:lineRule="exact"/>
        <w:rPr>
          <w:sz w:val="20"/>
          <w:szCs w:val="20"/>
          <w:color w:val="auto"/>
        </w:rPr>
      </w:pPr>
    </w:p>
    <w:p>
      <w:pPr>
        <w:ind w:left="320" w:right="180" w:hanging="203"/>
        <w:spacing w:after="0" w:line="308" w:lineRule="auto"/>
        <w:tabs>
          <w:tab w:leader="none" w:pos="317" w:val="left"/>
        </w:tabs>
        <w:numPr>
          <w:ilvl w:val="0"/>
          <w:numId w:val="127"/>
        </w:numPr>
        <w:rPr>
          <w:rFonts w:ascii="Arial" w:cs="Arial" w:eastAsia="Arial" w:hAnsi="Arial"/>
          <w:sz w:val="16"/>
          <w:szCs w:val="16"/>
          <w:color w:val="1A3FD6"/>
        </w:rPr>
      </w:pPr>
      <w:r>
        <w:rPr>
          <w:rFonts w:ascii="Arial" w:cs="Arial" w:eastAsia="Arial" w:hAnsi="Arial"/>
          <w:sz w:val="16"/>
          <w:szCs w:val="16"/>
          <w:color w:val="auto"/>
        </w:rPr>
        <w:t>the number and type of shares or other securities that thereafter may be made the subject of awards, including the aggregate and director award limits under the 2025 Plan;</w:t>
      </w:r>
    </w:p>
    <w:p>
      <w:pPr>
        <w:ind w:left="300" w:hanging="183"/>
        <w:spacing w:after="0"/>
        <w:tabs>
          <w:tab w:leader="none" w:pos="300" w:val="left"/>
        </w:tabs>
        <w:numPr>
          <w:ilvl w:val="0"/>
          <w:numId w:val="127"/>
        </w:numPr>
        <w:rPr>
          <w:rFonts w:ascii="Arial" w:cs="Arial" w:eastAsia="Arial" w:hAnsi="Arial"/>
          <w:sz w:val="16"/>
          <w:szCs w:val="16"/>
          <w:color w:val="1A3FD6"/>
        </w:rPr>
      </w:pPr>
      <w:r>
        <w:rPr>
          <w:rFonts w:ascii="Arial" w:cs="Arial" w:eastAsia="Arial" w:hAnsi="Arial"/>
          <w:sz w:val="16"/>
          <w:szCs w:val="16"/>
          <w:color w:val="auto"/>
        </w:rPr>
        <w:t>the number and type of shares or other securities subject to outstanding awards under the 2025 Plan;</w:t>
      </w:r>
    </w:p>
    <w:p>
      <w:pPr>
        <w:spacing w:after="0" w:line="86" w:lineRule="exact"/>
        <w:rPr>
          <w:rFonts w:ascii="Arial" w:cs="Arial" w:eastAsia="Arial" w:hAnsi="Arial"/>
          <w:sz w:val="16"/>
          <w:szCs w:val="16"/>
          <w:color w:val="1A3FD6"/>
        </w:rPr>
      </w:pPr>
    </w:p>
    <w:p>
      <w:pPr>
        <w:ind w:left="320" w:right="60" w:hanging="203"/>
        <w:spacing w:after="0" w:line="308" w:lineRule="auto"/>
        <w:tabs>
          <w:tab w:leader="none" w:pos="317" w:val="left"/>
        </w:tabs>
        <w:numPr>
          <w:ilvl w:val="0"/>
          <w:numId w:val="127"/>
        </w:numPr>
        <w:rPr>
          <w:rFonts w:ascii="Arial" w:cs="Arial" w:eastAsia="Arial" w:hAnsi="Arial"/>
          <w:sz w:val="16"/>
          <w:szCs w:val="16"/>
          <w:color w:val="1A3FD6"/>
        </w:rPr>
      </w:pPr>
      <w:r>
        <w:rPr>
          <w:rFonts w:ascii="Arial" w:cs="Arial" w:eastAsia="Arial" w:hAnsi="Arial"/>
          <w:sz w:val="16"/>
          <w:szCs w:val="16"/>
          <w:color w:val="auto"/>
        </w:rPr>
        <w:t>the grant, purchase, exercise or hurdle price for any award or, if deemed appropriate, make provision for a cash payment to the holder of an outstanding award; and</w:t>
      </w:r>
    </w:p>
    <w:p>
      <w:pPr>
        <w:ind w:left="300" w:hanging="183"/>
        <w:spacing w:after="0"/>
        <w:tabs>
          <w:tab w:leader="none" w:pos="300" w:val="left"/>
        </w:tabs>
        <w:numPr>
          <w:ilvl w:val="0"/>
          <w:numId w:val="127"/>
        </w:numPr>
        <w:rPr>
          <w:rFonts w:ascii="Arial" w:cs="Arial" w:eastAsia="Arial" w:hAnsi="Arial"/>
          <w:sz w:val="16"/>
          <w:szCs w:val="16"/>
          <w:color w:val="1A3FD6"/>
        </w:rPr>
      </w:pPr>
      <w:r>
        <w:rPr>
          <w:rFonts w:ascii="Arial" w:cs="Arial" w:eastAsia="Arial" w:hAnsi="Arial"/>
          <w:sz w:val="16"/>
          <w:szCs w:val="16"/>
          <w:color w:val="auto"/>
        </w:rPr>
        <w:t>the terms and conditions of any outstanding awards, including the performance criteria of any performance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5430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TERMINATION OF SERVICE AND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82892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32320" cy="2828925"/>
                    </a:xfrm>
                    <a:prstGeom prst="rect">
                      <a:avLst/>
                    </a:prstGeom>
                    <a:noFill/>
                  </pic:spPr>
                </pic:pic>
              </a:graphicData>
            </a:graphic>
          </wp:anchor>
        </w:drawing>
      </w:r>
    </w:p>
    <w:p>
      <w:pPr>
        <w:spacing w:after="0" w:line="147" w:lineRule="exact"/>
        <w:rPr>
          <w:sz w:val="20"/>
          <w:szCs w:val="20"/>
          <w:color w:val="auto"/>
        </w:rPr>
      </w:pPr>
    </w:p>
    <w:p>
      <w:pPr>
        <w:ind w:left="100" w:right="60"/>
        <w:spacing w:after="0" w:line="289" w:lineRule="auto"/>
        <w:rPr>
          <w:sz w:val="20"/>
          <w:szCs w:val="20"/>
          <w:color w:val="auto"/>
        </w:rPr>
      </w:pPr>
      <w:r>
        <w:rPr>
          <w:rFonts w:ascii="Arial" w:cs="Arial" w:eastAsia="Arial" w:hAnsi="Arial"/>
          <w:sz w:val="16"/>
          <w:szCs w:val="16"/>
          <w:color w:val="auto"/>
        </w:rPr>
        <w:t>The Compensation Committee will determine the effect on awards of a termination of employment or service prior to the end of a performance period or vesting, exercise or settlement, including whether the awards will vest, become exercisable, settle or be paid or forfeited. The Compensation Committee may also determine, in its discretion, whether, and the extent to which, an award will vest, be reduced or otherwise changed during a leave of absence or a reduction in service level, or whether a leave of absence or reduction in service will be deemed a termination of employment or service.</w:t>
      </w:r>
    </w:p>
    <w:p>
      <w:pPr>
        <w:spacing w:after="0" w:line="59" w:lineRule="exact"/>
        <w:rPr>
          <w:sz w:val="20"/>
          <w:szCs w:val="20"/>
          <w:color w:val="auto"/>
        </w:rPr>
      </w:pPr>
    </w:p>
    <w:p>
      <w:pPr>
        <w:ind w:left="100" w:right="280"/>
        <w:spacing w:after="0" w:line="321" w:lineRule="auto"/>
        <w:rPr>
          <w:sz w:val="20"/>
          <w:szCs w:val="20"/>
          <w:color w:val="auto"/>
        </w:rPr>
      </w:pPr>
      <w:r>
        <w:rPr>
          <w:rFonts w:ascii="Arial" w:cs="Arial" w:eastAsia="Arial" w:hAnsi="Arial"/>
          <w:sz w:val="16"/>
          <w:szCs w:val="16"/>
          <w:color w:val="auto"/>
        </w:rPr>
        <w:t>In the event of a “change in control” (as defined in the 2025 Plan and summarized below), the Compensation Committee may, in its sole discretion, take any one or more of the following actions with respect to outstanding awards:</w:t>
      </w:r>
    </w:p>
    <w:p>
      <w:pPr>
        <w:spacing w:after="0" w:line="48" w:lineRule="exact"/>
        <w:rPr>
          <w:sz w:val="20"/>
          <w:szCs w:val="20"/>
          <w:color w:val="auto"/>
        </w:rPr>
      </w:pPr>
    </w:p>
    <w:p>
      <w:pPr>
        <w:ind w:left="300" w:hanging="183"/>
        <w:spacing w:after="0"/>
        <w:tabs>
          <w:tab w:leader="none" w:pos="300" w:val="left"/>
        </w:tabs>
        <w:numPr>
          <w:ilvl w:val="0"/>
          <w:numId w:val="128"/>
        </w:numPr>
        <w:rPr>
          <w:rFonts w:ascii="Arial" w:cs="Arial" w:eastAsia="Arial" w:hAnsi="Arial"/>
          <w:sz w:val="16"/>
          <w:szCs w:val="16"/>
          <w:color w:val="1A3FD6"/>
        </w:rPr>
      </w:pPr>
      <w:r>
        <w:rPr>
          <w:rFonts w:ascii="Arial" w:cs="Arial" w:eastAsia="Arial" w:hAnsi="Arial"/>
          <w:sz w:val="16"/>
          <w:szCs w:val="16"/>
          <w:color w:val="auto"/>
        </w:rPr>
        <w:t>continuation or assumption of such award by the successor or surviving entity (or its parent);</w:t>
      </w:r>
    </w:p>
    <w:p>
      <w:pPr>
        <w:spacing w:after="0" w:line="72" w:lineRule="exact"/>
        <w:rPr>
          <w:rFonts w:ascii="Arial" w:cs="Arial" w:eastAsia="Arial" w:hAnsi="Arial"/>
          <w:sz w:val="16"/>
          <w:szCs w:val="16"/>
          <w:color w:val="1A3FD6"/>
        </w:rPr>
      </w:pPr>
    </w:p>
    <w:p>
      <w:pPr>
        <w:ind w:left="320" w:right="120" w:hanging="203"/>
        <w:spacing w:after="0" w:line="292" w:lineRule="auto"/>
        <w:tabs>
          <w:tab w:leader="none" w:pos="317" w:val="left"/>
        </w:tabs>
        <w:numPr>
          <w:ilvl w:val="0"/>
          <w:numId w:val="128"/>
        </w:numPr>
        <w:rPr>
          <w:rFonts w:ascii="Arial" w:cs="Arial" w:eastAsia="Arial" w:hAnsi="Arial"/>
          <w:sz w:val="16"/>
          <w:szCs w:val="16"/>
          <w:color w:val="1A3FD6"/>
        </w:rPr>
      </w:pPr>
      <w:r>
        <w:rPr>
          <w:rFonts w:ascii="Arial" w:cs="Arial" w:eastAsia="Arial" w:hAnsi="Arial"/>
          <w:sz w:val="16"/>
          <w:szCs w:val="16"/>
          <w:color w:val="auto"/>
        </w:rPr>
        <w:t>substitution or replacement of such award by the successor or surviving entity (or its parent) with cash, securities, rights or other property to be paid or issued, as the case may be, by the successor or surviving entity (or a parent or subsidiary thereof) with substantially the same terms and value as such award (including any applicable performance targets or criteria), in each case as determined by the Compensation Committee in its sole discretion;</w:t>
      </w:r>
    </w:p>
    <w:p>
      <w:pPr>
        <w:spacing w:after="0" w:line="16" w:lineRule="exact"/>
        <w:rPr>
          <w:rFonts w:ascii="Arial" w:cs="Arial" w:eastAsia="Arial" w:hAnsi="Arial"/>
          <w:sz w:val="16"/>
          <w:szCs w:val="16"/>
          <w:color w:val="1A3FD6"/>
        </w:rPr>
      </w:pPr>
    </w:p>
    <w:p>
      <w:pPr>
        <w:ind w:left="320" w:right="60" w:hanging="203"/>
        <w:spacing w:after="0" w:line="282" w:lineRule="auto"/>
        <w:tabs>
          <w:tab w:leader="none" w:pos="317" w:val="left"/>
        </w:tabs>
        <w:numPr>
          <w:ilvl w:val="0"/>
          <w:numId w:val="128"/>
        </w:numPr>
        <w:rPr>
          <w:rFonts w:ascii="Arial" w:cs="Arial" w:eastAsia="Arial" w:hAnsi="Arial"/>
          <w:sz w:val="16"/>
          <w:szCs w:val="16"/>
          <w:color w:val="1A3FD6"/>
        </w:rPr>
      </w:pPr>
      <w:r>
        <w:rPr>
          <w:rFonts w:ascii="Arial" w:cs="Arial" w:eastAsia="Arial" w:hAnsi="Arial"/>
          <w:sz w:val="16"/>
          <w:szCs w:val="16"/>
          <w:color w:val="auto"/>
        </w:rPr>
        <w:t>acceleration of the vesting of such award and the lapse of any restrictions thereon, and in the case of options and SAR awards, acceleration of the right to exercise such award during a specified period (and the termination of such option or SAR award without payment of any consideration therefor to the extent such award is not timely exercised), in each case, either (a) in the case of a director award, immediately prior to or as of the date of the change in control, (b) upon a participant’s involuntary termination of employment or service (including a termination of the participant’s employment by us without “cause” or by the participant for “good reason”, as such terms may be defined in the applicable award agreement and/or the participant’s employment agreement or offer letter, as the case may be) within a specified period prior to, on or within 24 months following such change in control or (c) upon the failure of the successor or surviving entity (or its parent) to continue or assume or substitute or replace such award;</w:t>
      </w:r>
    </w:p>
    <w:p>
      <w:pPr>
        <w:spacing w:after="0" w:line="12" w:lineRule="exact"/>
        <w:rPr>
          <w:rFonts w:ascii="Arial" w:cs="Arial" w:eastAsia="Arial" w:hAnsi="Arial"/>
          <w:sz w:val="16"/>
          <w:szCs w:val="16"/>
          <w:color w:val="1A3FD6"/>
        </w:rPr>
      </w:pPr>
    </w:p>
    <w:p>
      <w:pPr>
        <w:ind w:left="300" w:hanging="183"/>
        <w:spacing w:after="0"/>
        <w:tabs>
          <w:tab w:leader="none" w:pos="300" w:val="left"/>
        </w:tabs>
        <w:numPr>
          <w:ilvl w:val="0"/>
          <w:numId w:val="128"/>
        </w:numPr>
        <w:rPr>
          <w:rFonts w:ascii="Arial" w:cs="Arial" w:eastAsia="Arial" w:hAnsi="Arial"/>
          <w:sz w:val="16"/>
          <w:szCs w:val="16"/>
          <w:color w:val="1A3FD6"/>
        </w:rPr>
      </w:pPr>
      <w:r>
        <w:rPr>
          <w:rFonts w:ascii="Arial" w:cs="Arial" w:eastAsia="Arial" w:hAnsi="Arial"/>
          <w:sz w:val="16"/>
          <w:szCs w:val="16"/>
          <w:color w:val="auto"/>
        </w:rPr>
        <w:t>in the case of a performance award, determination of the level of attainment of any applicable performance conditions;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890905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07" w:name="page108"/>
    <w:bookmarkEnd w:id="107"/>
    <w:p>
      <w:pPr>
        <w:spacing w:after="0"/>
        <w:tabs>
          <w:tab w:leader="none" w:pos="6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106</w:t>
      </w:r>
      <w:r>
        <w:rPr>
          <w:sz w:val="20"/>
          <w:szCs w:val="20"/>
          <w:color w:val="auto"/>
        </w:rPr>
        <w:tab/>
      </w:r>
      <w:r>
        <w:rPr>
          <w:rFonts w:ascii="Arial" w:cs="Arial" w:eastAsia="Arial" w:hAnsi="Arial"/>
          <w:sz w:val="14"/>
          <w:szCs w:val="14"/>
          <w:b w:val="1"/>
          <w:bCs w:val="1"/>
          <w:color w:val="1A3FD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503555</wp:posOffset>
            </wp:positionV>
            <wp:extent cx="7132320" cy="15430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TERMINATION OF SERVICE AND CHANGE IN CONTROL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29210</wp:posOffset>
            </wp:positionV>
            <wp:extent cx="8890" cy="269176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2691765"/>
                    </a:xfrm>
                    <a:prstGeom prst="rect">
                      <a:avLst/>
                    </a:prstGeom>
                    <a:noFill/>
                  </pic:spPr>
                </pic:pic>
              </a:graphicData>
            </a:graphic>
          </wp:anchor>
        </w:drawing>
      </w:r>
    </w:p>
    <w:p>
      <w:pPr>
        <w:spacing w:after="0" w:line="147" w:lineRule="exact"/>
        <w:rPr>
          <w:sz w:val="20"/>
          <w:szCs w:val="20"/>
          <w:color w:val="auto"/>
        </w:rPr>
      </w:pPr>
    </w:p>
    <w:p>
      <w:pPr>
        <w:ind w:left="220" w:right="80" w:hanging="203"/>
        <w:spacing w:after="0" w:line="282" w:lineRule="auto"/>
        <w:tabs>
          <w:tab w:leader="none" w:pos="217" w:val="left"/>
        </w:tabs>
        <w:numPr>
          <w:ilvl w:val="0"/>
          <w:numId w:val="129"/>
        </w:numPr>
        <w:rPr>
          <w:rFonts w:ascii="Arial" w:cs="Arial" w:eastAsia="Arial" w:hAnsi="Arial"/>
          <w:sz w:val="16"/>
          <w:szCs w:val="16"/>
          <w:color w:val="1A3FD6"/>
        </w:rPr>
      </w:pPr>
      <w:r>
        <w:rPr>
          <w:rFonts w:ascii="Arial" w:cs="Arial" w:eastAsia="Arial" w:hAnsi="Arial"/>
          <w:sz w:val="16"/>
          <w:szCs w:val="16"/>
          <w:color w:val="auto"/>
        </w:rPr>
        <w:t>cancellation of such award in consideration of a payment equal to the value of the award (as determined in the discretion of the Compensation Committee), with the form, amount and timing of such payment determined by the Compensation Committee in its sole discretion (subject to the terms of the 2025 Plan), provided that the Compensation Committee may, in its sole discretion, terminate without the payment of any consideration, any options or SAR awards for which the exercise or hurdle price is equal to or exceeds the per share value of the consideration to be paid in the change in control transaction.</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Under the 2025 Plan, a “change in control” generally means the occurrence of one or more of the following events:</w:t>
      </w:r>
    </w:p>
    <w:p>
      <w:pPr>
        <w:spacing w:after="0" w:line="140" w:lineRule="exact"/>
        <w:rPr>
          <w:sz w:val="20"/>
          <w:szCs w:val="20"/>
          <w:color w:val="auto"/>
        </w:rPr>
      </w:pPr>
    </w:p>
    <w:p>
      <w:pPr>
        <w:ind w:left="200" w:hanging="183"/>
        <w:spacing w:after="0"/>
        <w:tabs>
          <w:tab w:leader="none" w:pos="200" w:val="left"/>
        </w:tabs>
        <w:numPr>
          <w:ilvl w:val="0"/>
          <w:numId w:val="130"/>
        </w:numPr>
        <w:rPr>
          <w:rFonts w:ascii="Arial" w:cs="Arial" w:eastAsia="Arial" w:hAnsi="Arial"/>
          <w:sz w:val="16"/>
          <w:szCs w:val="16"/>
          <w:color w:val="1A3FD6"/>
        </w:rPr>
      </w:pPr>
      <w:r>
        <w:rPr>
          <w:rFonts w:ascii="Arial" w:cs="Arial" w:eastAsia="Arial" w:hAnsi="Arial"/>
          <w:sz w:val="16"/>
          <w:szCs w:val="16"/>
          <w:color w:val="auto"/>
        </w:rPr>
        <w:t>any person or entity is (or becomes, during any 12-month period) the beneficial owner of 30% or more of the total voting power of our stock;</w:t>
      </w:r>
    </w:p>
    <w:p>
      <w:pPr>
        <w:spacing w:after="0" w:line="126" w:lineRule="exact"/>
        <w:rPr>
          <w:rFonts w:ascii="Arial" w:cs="Arial" w:eastAsia="Arial" w:hAnsi="Arial"/>
          <w:sz w:val="16"/>
          <w:szCs w:val="16"/>
          <w:color w:val="1A3FD6"/>
        </w:rPr>
      </w:pPr>
    </w:p>
    <w:p>
      <w:pPr>
        <w:ind w:left="200" w:hanging="183"/>
        <w:spacing w:after="0"/>
        <w:tabs>
          <w:tab w:leader="none" w:pos="200" w:val="left"/>
        </w:tabs>
        <w:numPr>
          <w:ilvl w:val="0"/>
          <w:numId w:val="130"/>
        </w:numPr>
        <w:rPr>
          <w:rFonts w:ascii="Arial" w:cs="Arial" w:eastAsia="Arial" w:hAnsi="Arial"/>
          <w:sz w:val="16"/>
          <w:szCs w:val="16"/>
          <w:color w:val="1A3FD6"/>
        </w:rPr>
      </w:pPr>
      <w:r>
        <w:rPr>
          <w:rFonts w:ascii="Arial" w:cs="Arial" w:eastAsia="Arial" w:hAnsi="Arial"/>
          <w:sz w:val="16"/>
          <w:szCs w:val="16"/>
          <w:color w:val="auto"/>
        </w:rPr>
        <w:t>the replacement of more than 50% of our directors during any 12-month period;</w:t>
      </w:r>
    </w:p>
    <w:p>
      <w:pPr>
        <w:spacing w:after="0" w:line="140" w:lineRule="exact"/>
        <w:rPr>
          <w:rFonts w:ascii="Arial" w:cs="Arial" w:eastAsia="Arial" w:hAnsi="Arial"/>
          <w:sz w:val="16"/>
          <w:szCs w:val="16"/>
          <w:color w:val="1A3FD6"/>
        </w:rPr>
      </w:pPr>
    </w:p>
    <w:p>
      <w:pPr>
        <w:ind w:left="220" w:right="20" w:hanging="203"/>
        <w:spacing w:after="0" w:line="282" w:lineRule="auto"/>
        <w:tabs>
          <w:tab w:leader="none" w:pos="217" w:val="left"/>
        </w:tabs>
        <w:numPr>
          <w:ilvl w:val="0"/>
          <w:numId w:val="130"/>
        </w:numPr>
        <w:rPr>
          <w:rFonts w:ascii="Arial" w:cs="Arial" w:eastAsia="Arial" w:hAnsi="Arial"/>
          <w:sz w:val="16"/>
          <w:szCs w:val="16"/>
          <w:color w:val="1A3FD6"/>
        </w:rPr>
      </w:pPr>
      <w:r>
        <w:rPr>
          <w:rFonts w:ascii="Arial" w:cs="Arial" w:eastAsia="Arial" w:hAnsi="Arial"/>
          <w:sz w:val="16"/>
          <w:szCs w:val="16"/>
          <w:color w:val="auto"/>
        </w:rPr>
        <w:t>the consummation of a merger, amalgamation or consolidation of the Company or any of its subsidiaries with any other entity, or the issuance of voting securities in connection with such transaction (unless (i) our voting securities outstanding immediately before such transaction continue to represent at least 50% of the voting power and total fair market value of the stock of the successor or surviving entity (or its parent) or (ii) such transaction is effected to implement a recapitalization (or similar transaction) and no person or entity is or becomes the beneficial owner of 50% or more of either our then-outstanding shares or the combined voting power of our then-outstanding voting securities); or</w:t>
      </w:r>
    </w:p>
    <w:p>
      <w:pPr>
        <w:spacing w:after="0" w:line="80" w:lineRule="exact"/>
        <w:rPr>
          <w:rFonts w:ascii="Arial" w:cs="Arial" w:eastAsia="Arial" w:hAnsi="Arial"/>
          <w:sz w:val="16"/>
          <w:szCs w:val="16"/>
          <w:color w:val="1A3FD6"/>
        </w:rPr>
      </w:pPr>
    </w:p>
    <w:p>
      <w:pPr>
        <w:jc w:val="both"/>
        <w:ind w:left="220" w:right="140" w:hanging="203"/>
        <w:spacing w:after="0" w:line="292" w:lineRule="auto"/>
        <w:tabs>
          <w:tab w:leader="none" w:pos="217" w:val="left"/>
        </w:tabs>
        <w:numPr>
          <w:ilvl w:val="0"/>
          <w:numId w:val="130"/>
        </w:numPr>
        <w:rPr>
          <w:rFonts w:ascii="Arial" w:cs="Arial" w:eastAsia="Arial" w:hAnsi="Arial"/>
          <w:sz w:val="16"/>
          <w:szCs w:val="16"/>
          <w:color w:val="1A3FD6"/>
        </w:rPr>
      </w:pPr>
      <w:r>
        <w:rPr>
          <w:rFonts w:ascii="Arial" w:cs="Arial" w:eastAsia="Arial" w:hAnsi="Arial"/>
          <w:sz w:val="16"/>
          <w:szCs w:val="16"/>
          <w:color w:val="auto"/>
        </w:rPr>
        <w:t>the sale or disposition of all or substantially all of our assets in which any person or entity acquires (or has acquired during the 12-month period ending on the date of the most recent acquisition by such person or entity) assets from us that have a total gross fair market value equal to more than 50% of the total gross fair market value of all of our assets immediately prior to such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105410</wp:posOffset>
            </wp:positionV>
            <wp:extent cx="7132320" cy="15430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AMENDMENT AND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29210</wp:posOffset>
            </wp:positionV>
            <wp:extent cx="8890" cy="114046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1140460"/>
                    </a:xfrm>
                    <a:prstGeom prst="rect">
                      <a:avLst/>
                    </a:prstGeom>
                    <a:noFill/>
                  </pic:spPr>
                </pic:pic>
              </a:graphicData>
            </a:graphic>
          </wp:anchor>
        </w:drawing>
      </w:r>
    </w:p>
    <w:p>
      <w:pPr>
        <w:spacing w:after="0" w:line="147" w:lineRule="exact"/>
        <w:rPr>
          <w:sz w:val="20"/>
          <w:szCs w:val="20"/>
          <w:color w:val="auto"/>
        </w:rPr>
      </w:pPr>
    </w:p>
    <w:p>
      <w:pPr>
        <w:ind w:left="220" w:right="80" w:hanging="203"/>
        <w:spacing w:after="0" w:line="282" w:lineRule="auto"/>
        <w:tabs>
          <w:tab w:leader="none" w:pos="217" w:val="left"/>
        </w:tabs>
        <w:numPr>
          <w:ilvl w:val="0"/>
          <w:numId w:val="131"/>
        </w:numPr>
        <w:rPr>
          <w:rFonts w:ascii="Arial" w:cs="Arial" w:eastAsia="Arial" w:hAnsi="Arial"/>
          <w:sz w:val="16"/>
          <w:szCs w:val="16"/>
          <w:color w:val="1A3FD6"/>
        </w:rPr>
      </w:pPr>
      <w:r>
        <w:rPr>
          <w:rFonts w:ascii="Arial" w:cs="Arial" w:eastAsia="Arial" w:hAnsi="Arial"/>
          <w:sz w:val="16"/>
          <w:szCs w:val="16"/>
          <w:color w:val="auto"/>
        </w:rPr>
        <w:t>Our Board may amend, alter, suspend, discontinue or terminate the 2025 Plan, subject to approval of our shareholders if required by applicable law or the rules of the stock exchange on which our shares are principally traded. The Compensation Committee may also amend, alter, suspend, discontinue or terminate, or waive any conditions or rights under, any outstanding award. However, subject to the adjustment provision and change in control provision (each summarized above), any such action by the Compensation Committee that would materially adversely affect the rights of a holder of an outstanding award may not be taken without the holder’s consent, except (i) to the extent that such action is taken to cause the 2025 Plan to comply with applicable law, stock market or exchange rules and regulations, or accounting or tax rules and regulations, or (ii) to impose any “clawback” or recoupment provisions on any awards (including any amounts or benefits arising from such awards) in accordance with the 2025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102235</wp:posOffset>
            </wp:positionV>
            <wp:extent cx="7132320" cy="15430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CANCELLATION OR “CLAWBACK” OF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29210</wp:posOffset>
            </wp:positionV>
            <wp:extent cx="7132320" cy="18859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32320" cy="1885950"/>
                    </a:xfrm>
                    <a:prstGeom prst="rect">
                      <a:avLst/>
                    </a:prstGeom>
                    <a:noFill/>
                  </pic:spPr>
                </pic:pic>
              </a:graphicData>
            </a:graphic>
          </wp:anchor>
        </w:drawing>
      </w:r>
    </w:p>
    <w:p>
      <w:pPr>
        <w:spacing w:after="0" w:line="147" w:lineRule="exact"/>
        <w:rPr>
          <w:sz w:val="20"/>
          <w:szCs w:val="20"/>
          <w:color w:val="auto"/>
        </w:rPr>
      </w:pPr>
    </w:p>
    <w:p>
      <w:pPr>
        <w:ind w:left="220" w:right="60" w:hanging="203"/>
        <w:spacing w:after="0" w:line="282" w:lineRule="auto"/>
        <w:tabs>
          <w:tab w:leader="none" w:pos="217" w:val="left"/>
        </w:tabs>
        <w:numPr>
          <w:ilvl w:val="0"/>
          <w:numId w:val="132"/>
        </w:numPr>
        <w:rPr>
          <w:rFonts w:ascii="Arial" w:cs="Arial" w:eastAsia="Arial" w:hAnsi="Arial"/>
          <w:sz w:val="16"/>
          <w:szCs w:val="16"/>
          <w:color w:val="1A3FD6"/>
        </w:rPr>
      </w:pPr>
      <w:r>
        <w:rPr>
          <w:rFonts w:ascii="Arial" w:cs="Arial" w:eastAsia="Arial" w:hAnsi="Arial"/>
          <w:sz w:val="16"/>
          <w:szCs w:val="16"/>
          <w:color w:val="auto"/>
        </w:rPr>
        <w:t>The Compensation Committee may specify in an award agreement that a participant’s rights, payments and benefits with respect to an award shall be subject to reduction, cancellation, forfeiture or recoupment upon the occurrence of certain specified events, including, without limitation, a termination of service with or without cause, violation of material policies, breach of restrictive covenants or requirements to comply with minimum share ownership requirements that may apply to the participant, or other conduct by the participant that is detrimental to the business or reputation of the Company and/or its affiliates.</w:t>
      </w:r>
    </w:p>
    <w:p>
      <w:pPr>
        <w:spacing w:after="0" w:line="80" w:lineRule="exact"/>
        <w:rPr>
          <w:rFonts w:ascii="Arial" w:cs="Arial" w:eastAsia="Arial" w:hAnsi="Arial"/>
          <w:sz w:val="16"/>
          <w:szCs w:val="16"/>
          <w:color w:val="1A3FD6"/>
        </w:rPr>
      </w:pPr>
    </w:p>
    <w:p>
      <w:pPr>
        <w:ind w:left="220" w:hanging="203"/>
        <w:spacing w:after="0" w:line="282" w:lineRule="auto"/>
        <w:tabs>
          <w:tab w:leader="none" w:pos="217" w:val="left"/>
        </w:tabs>
        <w:numPr>
          <w:ilvl w:val="0"/>
          <w:numId w:val="132"/>
        </w:numPr>
        <w:rPr>
          <w:rFonts w:ascii="Arial" w:cs="Arial" w:eastAsia="Arial" w:hAnsi="Arial"/>
          <w:sz w:val="16"/>
          <w:szCs w:val="16"/>
          <w:color w:val="1A3FD6"/>
        </w:rPr>
      </w:pPr>
      <w:r>
        <w:rPr>
          <w:rFonts w:ascii="Arial" w:cs="Arial" w:eastAsia="Arial" w:hAnsi="Arial"/>
          <w:sz w:val="16"/>
          <w:szCs w:val="16"/>
          <w:color w:val="auto"/>
        </w:rPr>
        <w:t>The Compensation Committee shall have full authority to implement any policies and procedures necessary to comply with any reduction, cancellation, forfeiture or recoupment requirement imposed under any applicable laws, rules, regulations or stock exchange listing standard or under any associated Company recoupment policy, including Section 954 of the U.S. Dodd-Frank Wall Street Reform and Consumer Protection Act, Section 10D of the Exchange Act and any rules promulgated thereunder and any other regulatory regimes and any other regulatory regimes, including Rule 10D-1 of the Exchange Act and Section 303A.14 of the NYSE Listed Company Manual. The Compensation Committee may, to the extent permitted by applicable law and stock exchange rules or by any of our policies, cancel or require reimbursement of any awards granted, shares issued or cash received upon the vesting, exercise or settlement of any awards granted under the 2025 Plan or the sale of shares underlying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912495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20" w:top="292" w:right="379" w:bottom="1440" w:gutter="0" w:footer="0" w:header="0"/>
        </w:sectPr>
      </w:pPr>
    </w:p>
    <w:bookmarkStart w:id="108" w:name="page109"/>
    <w:bookmarkEnd w:id="108"/>
    <w:p>
      <w:pPr>
        <w:ind w:left="5100"/>
        <w:spacing w:after="0"/>
        <w:tabs>
          <w:tab w:leader="none" w:pos="1090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Proposal No. 3: Approval of the MSCI Inc. 2025 Omnibus Incentive Plan | MSCI</w:t>
      </w:r>
      <w:r>
        <w:rPr>
          <w:sz w:val="20"/>
          <w:szCs w:val="20"/>
          <w:color w:val="auto"/>
        </w:rPr>
        <w:tab/>
      </w:r>
      <w:r>
        <w:rPr>
          <w:rFonts w:ascii="Arial" w:cs="Arial" w:eastAsia="Arial" w:hAnsi="Arial"/>
          <w:sz w:val="14"/>
          <w:szCs w:val="14"/>
          <w:b w:val="1"/>
          <w:bCs w:val="1"/>
          <w:color w:val="1A3FD6"/>
        </w:rPr>
        <w:t>107</w:t>
      </w:r>
    </w:p>
    <w:p>
      <w:pPr>
        <w:sectPr>
          <w:pgSz w:w="11900" w:h="16838" w:orient="portrait"/>
          <w:cols w:equalWidth="0" w:num="1">
            <w:col w:w="11200"/>
          </w:cols>
          <w:pgMar w:left="320" w:top="29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U.S. Federal Income Tax Consequences</w:t>
      </w:r>
    </w:p>
    <w:p>
      <w:pPr>
        <w:spacing w:after="0" w:line="200"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The following is a general summary under current law of certain United States federal income tax consequences to the Company and participants who are citizens or individual residents of the United States relating to awards granted under the 2025 Plan. This summary deals with the general tax principles that apply to such awards and is provided only for general information. Certain kinds of taxes, such as foreign taxes, state and local income taxes, payroll taxes and the alternative minimum tax, are not discussed. This summary is not tax advice and it does not discuss all aspects of federal taxation that may be relevant to the Company and participants. Accordingly, the Company urges each participant to consult his or her own tax advisor as to the specific tax consequences of participation in the 2025 Plan under federal, state, local and other applicable laws.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Non-Qualified Stock Options</w:t>
      </w:r>
    </w:p>
    <w:p>
      <w:pPr>
        <w:spacing w:after="0" w:line="100"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A non-qualified stock option is an option that does not meet the requirements of Section 422 of the IRC. A participant generally will not recognize taxable income when granted a non-qualified stock option. When the participant exercises the stock option, he or she generally will recognize taxable ordinary income equal to the excess of the aggregate fair market value of the shares received on the exercise date over the aggregate exercise price of the shares. The participant’s tax basis in the shares acquired on exercise of the option will be increased by the amount of such taxable income. The Company generally will be entitled to a federal income tax deduction in an amount equal to the ordinary income that the participant recognizes. When the participant sells the shares acquired on exercise, the participant generally will realize long-term or short-term capital gain or loss, depending on whether the participant holds the shares for more than one year before selling them. Special rules apply if all or a portion of the exercise price is paid in the form of shares.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Incentive Stock Options</w:t>
      </w:r>
    </w:p>
    <w:p>
      <w:pPr>
        <w:spacing w:after="0" w:line="86"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An incentive stock option is an option that meets the requirements of Section 422 of the IRC. A participant generally will not have taxable income when granted an incentive stock option or when exercising the option. If the participant exercises the option and does not dispose of the shares until the later of two years after the grant date and one year after the exercise date, the entire gain, if any, realized when the participant sells the shares generally will be taxable as long-term capital gain. The Company generally will not be entitled to any corresponding tax deduction.</w:t>
      </w:r>
    </w:p>
    <w:p>
      <w:pPr>
        <w:spacing w:after="0" w:line="59"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If a participant disposes of the shares received upon exercise of an incentive stock option within the one-year or two-year periods described above, it will be considered a “disqualifying disposition,” and the option will be treated as a non-qualified stock option for federal income tax purposes.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Shares</w:t>
      </w:r>
    </w:p>
    <w:p>
      <w:pPr>
        <w:spacing w:after="0" w:line="8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Unless a participant makes an election to accelerate recognition of the income to the date of grant as described below, the participant generally will not recognize income, and the Company generally will not be allowed a tax deduction, at the time restricted shares are granted. When the restrictions lapse, the participant generally will recognize ordinary income equal to the fair market value of the shares as of that date, less any amount paid for the shares, and the Company generally will be allowed a corresponding tax deduction at that time. If the participant files an election under Section 83(b) of the IRC within 30 days after the date of grant of the restricted shares, the participant generally will recognize ordinary income as of the date of grant equal to the fair market value of the common shares as of that date, less any amount the participant paid for the shares, and the Company generally will be allowed a corresponding tax deduction at that time. Any future appreciation in the shares generally will be taxable to the participant at capital gains rates. However, if the restricted shares are later forfeited, the participant generally will not be able to recover the tax previously paid pursuant to his Section 83(b) election.</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RSUs</w:t>
      </w:r>
    </w:p>
    <w:p>
      <w:pPr>
        <w:spacing w:after="0" w:line="8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 participant generally does not recognize income, and the Company generally will not be allowed a tax deduction, at the time an RSU is granted. When the RSUs vest and are settled for cash or shares, the participant generally will be required to recognize as income an amount equal to the fair market value of the shares or the amount of cash on the date of settlement, and the Company generally will be allowed a corresponding tax deduction at that time. Any gain or loss recognized upon a subsequent sale or exchange of the shares (if settled in shares) is generally treated as capital gain or loss for which the Company is not entitled to a deduction.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2" w:right="379" w:bottom="1440" w:gutter="0" w:footer="0" w:header="0"/>
          <w:type w:val="continuous"/>
        </w:sectPr>
      </w:pPr>
    </w:p>
    <w:bookmarkStart w:id="109" w:name="page110"/>
    <w:bookmarkEnd w:id="109"/>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108</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New Plan Benefits</w:t>
      </w:r>
    </w:p>
    <w:p>
      <w:pPr>
        <w:spacing w:after="0" w:line="200"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A new plan benefits table for the 2025 Plan and the benefits or amounts that would have been received by or allocated to participants for the last completed fiscal year under the 2025 Plan if the 2025 Plan was then in effect, as described in the federal proxy rules, are not provided because all awards made under the 2025 Plan will be made at the Compensation Committee’s discretion, subject to the terms of the 2025 Plan. Therefore, the benefits and amounts that will be received or allocated under the 2025 Plan are not determinable at this time. However, please refer to the 2024 Summary Compensation Table on page 84 of this Proxy Statement which sets forth certain information regarding awards granted to our NEOs during the last completed fiscal year. Please also see the 2024 Non-Employee Director Compensation table, Summary Compensation Table and Grants of Plan-Based Awards table on pages 53, 84 and 86 of this Proxy Statement, respectively, which set forth certain information regarding awards granted to our non-employee directors and named executive officers during 2024 under the 2016 Plans.</w:t>
      </w:r>
    </w:p>
    <w:p>
      <w:pPr>
        <w:sectPr>
          <w:pgSz w:w="11900" w:h="16838" w:orient="portrait"/>
          <w:cols w:equalWidth="0" w:num="1">
            <w:col w:w="11240"/>
          </w:cols>
          <w:pgMar w:left="320" w:top="292" w:right="339" w:bottom="1440" w:gutter="0" w:footer="0" w:header="0"/>
        </w:sectPr>
      </w:pPr>
    </w:p>
    <w:p>
      <w:pPr>
        <w:spacing w:after="0" w:line="51"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Equity Compensation Plan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certain information with respect to our equity compensation plans at December 31, 2024:</w:t>
      </w: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2560" w:type="dxa"/>
            <w:vAlign w:val="bottom"/>
          </w:tcPr>
          <w:p>
            <w:pPr>
              <w:jc w:val="right"/>
              <w:ind w:right="208"/>
              <w:spacing w:after="0"/>
              <w:rPr>
                <w:sz w:val="20"/>
                <w:szCs w:val="20"/>
                <w:color w:val="auto"/>
              </w:rPr>
            </w:pPr>
            <w:r>
              <w:rPr>
                <w:rFonts w:ascii="Arial" w:cs="Arial" w:eastAsia="Arial" w:hAnsi="Arial"/>
                <w:sz w:val="14"/>
                <w:szCs w:val="14"/>
                <w:b w:val="1"/>
                <w:bCs w:val="1"/>
                <w:color w:val="auto"/>
              </w:rPr>
              <w:t>Number of Securities</w:t>
            </w: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Weighted Average Unit</w:t>
            </w:r>
          </w:p>
        </w:tc>
      </w:tr>
      <w:tr>
        <w:trPr>
          <w:trHeight w:val="175"/>
        </w:trPr>
        <w:tc>
          <w:tcPr>
            <w:tcW w:w="4800" w:type="dxa"/>
            <w:vAlign w:val="bottom"/>
          </w:tcPr>
          <w:p>
            <w:pPr>
              <w:spacing w:after="0"/>
              <w:rPr>
                <w:sz w:val="15"/>
                <w:szCs w:val="15"/>
                <w:color w:val="auto"/>
              </w:rPr>
            </w:pPr>
          </w:p>
        </w:tc>
        <w:tc>
          <w:tcPr>
            <w:tcW w:w="2560" w:type="dxa"/>
            <w:vAlign w:val="bottom"/>
          </w:tcPr>
          <w:p>
            <w:pPr>
              <w:jc w:val="right"/>
              <w:ind w:right="208"/>
              <w:spacing w:after="0"/>
              <w:rPr>
                <w:sz w:val="20"/>
                <w:szCs w:val="20"/>
                <w:color w:val="auto"/>
              </w:rPr>
            </w:pPr>
            <w:r>
              <w:rPr>
                <w:rFonts w:ascii="Arial" w:cs="Arial" w:eastAsia="Arial" w:hAnsi="Arial"/>
                <w:sz w:val="14"/>
                <w:szCs w:val="14"/>
                <w:b w:val="1"/>
                <w:bCs w:val="1"/>
                <w:color w:val="auto"/>
              </w:rPr>
              <w:t>to be Issued Upon</w:t>
            </w: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Award Value of</w:t>
            </w:r>
          </w:p>
        </w:tc>
      </w:tr>
      <w:tr>
        <w:trPr>
          <w:trHeight w:val="176"/>
        </w:trPr>
        <w:tc>
          <w:tcPr>
            <w:tcW w:w="4800" w:type="dxa"/>
            <w:vAlign w:val="bottom"/>
          </w:tcPr>
          <w:p>
            <w:pPr>
              <w:spacing w:after="0"/>
              <w:rPr>
                <w:sz w:val="15"/>
                <w:szCs w:val="15"/>
                <w:color w:val="auto"/>
              </w:rPr>
            </w:pPr>
          </w:p>
        </w:tc>
        <w:tc>
          <w:tcPr>
            <w:tcW w:w="2560" w:type="dxa"/>
            <w:vAlign w:val="bottom"/>
          </w:tcPr>
          <w:p>
            <w:pPr>
              <w:jc w:val="right"/>
              <w:ind w:right="208"/>
              <w:spacing w:after="0"/>
              <w:rPr>
                <w:sz w:val="20"/>
                <w:szCs w:val="20"/>
                <w:color w:val="auto"/>
              </w:rPr>
            </w:pPr>
            <w:r>
              <w:rPr>
                <w:rFonts w:ascii="Arial" w:cs="Arial" w:eastAsia="Arial" w:hAnsi="Arial"/>
                <w:sz w:val="14"/>
                <w:szCs w:val="14"/>
                <w:b w:val="1"/>
                <w:bCs w:val="1"/>
                <w:color w:val="auto"/>
              </w:rPr>
              <w:t>Vesting of Restricted</w:t>
            </w: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Restricted Stock Units</w:t>
            </w:r>
          </w:p>
        </w:tc>
      </w:tr>
      <w:tr>
        <w:trPr>
          <w:trHeight w:val="175"/>
        </w:trPr>
        <w:tc>
          <w:tcPr>
            <w:tcW w:w="4800" w:type="dxa"/>
            <w:vAlign w:val="bottom"/>
          </w:tcPr>
          <w:p>
            <w:pPr>
              <w:spacing w:after="0"/>
              <w:rPr>
                <w:sz w:val="15"/>
                <w:szCs w:val="15"/>
                <w:color w:val="auto"/>
              </w:rPr>
            </w:pPr>
          </w:p>
        </w:tc>
        <w:tc>
          <w:tcPr>
            <w:tcW w:w="2560" w:type="dxa"/>
            <w:vAlign w:val="bottom"/>
          </w:tcPr>
          <w:p>
            <w:pPr>
              <w:jc w:val="right"/>
              <w:ind w:right="208"/>
              <w:spacing w:after="0"/>
              <w:rPr>
                <w:sz w:val="20"/>
                <w:szCs w:val="20"/>
                <w:color w:val="auto"/>
              </w:rPr>
            </w:pPr>
            <w:r>
              <w:rPr>
                <w:rFonts w:ascii="Arial" w:cs="Arial" w:eastAsia="Arial" w:hAnsi="Arial"/>
                <w:sz w:val="14"/>
                <w:szCs w:val="14"/>
                <w:b w:val="1"/>
                <w:bCs w:val="1"/>
                <w:color w:val="auto"/>
              </w:rPr>
              <w:t>Stock Units and</w:t>
            </w: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and Weighted-Average</w:t>
            </w:r>
          </w:p>
        </w:tc>
      </w:tr>
      <w:tr>
        <w:trPr>
          <w:trHeight w:val="176"/>
        </w:trPr>
        <w:tc>
          <w:tcPr>
            <w:tcW w:w="4800" w:type="dxa"/>
            <w:vAlign w:val="bottom"/>
          </w:tcPr>
          <w:p>
            <w:pPr>
              <w:spacing w:after="0"/>
              <w:rPr>
                <w:sz w:val="15"/>
                <w:szCs w:val="15"/>
                <w:color w:val="auto"/>
              </w:rPr>
            </w:pPr>
          </w:p>
        </w:tc>
        <w:tc>
          <w:tcPr>
            <w:tcW w:w="2560" w:type="dxa"/>
            <w:vAlign w:val="bottom"/>
          </w:tcPr>
          <w:p>
            <w:pPr>
              <w:jc w:val="right"/>
              <w:ind w:right="208"/>
              <w:spacing w:after="0"/>
              <w:rPr>
                <w:sz w:val="20"/>
                <w:szCs w:val="20"/>
                <w:color w:val="auto"/>
              </w:rPr>
            </w:pPr>
            <w:r>
              <w:rPr>
                <w:rFonts w:ascii="Arial" w:cs="Arial" w:eastAsia="Arial" w:hAnsi="Arial"/>
                <w:sz w:val="14"/>
                <w:szCs w:val="14"/>
                <w:b w:val="1"/>
                <w:bCs w:val="1"/>
                <w:color w:val="auto"/>
              </w:rPr>
              <w:t>Exercise of</w:t>
            </w: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Exercise Price of</w:t>
            </w:r>
          </w:p>
        </w:tc>
      </w:tr>
      <w:tr>
        <w:trPr>
          <w:trHeight w:val="162"/>
        </w:trPr>
        <w:tc>
          <w:tcPr>
            <w:tcW w:w="4800" w:type="dxa"/>
            <w:vAlign w:val="bottom"/>
          </w:tcPr>
          <w:p>
            <w:pPr>
              <w:spacing w:after="0"/>
              <w:rPr>
                <w:sz w:val="14"/>
                <w:szCs w:val="14"/>
                <w:color w:val="auto"/>
              </w:rPr>
            </w:pPr>
          </w:p>
        </w:tc>
        <w:tc>
          <w:tcPr>
            <w:tcW w:w="2560" w:type="dxa"/>
            <w:vAlign w:val="bottom"/>
          </w:tcPr>
          <w:p>
            <w:pPr>
              <w:jc w:val="right"/>
              <w:ind w:right="248"/>
              <w:spacing w:after="0"/>
              <w:rPr>
                <w:sz w:val="20"/>
                <w:szCs w:val="20"/>
                <w:color w:val="auto"/>
              </w:rPr>
            </w:pPr>
            <w:r>
              <w:rPr>
                <w:rFonts w:ascii="Arial" w:cs="Arial" w:eastAsia="Arial" w:hAnsi="Arial"/>
                <w:sz w:val="14"/>
                <w:szCs w:val="14"/>
                <w:b w:val="1"/>
                <w:bCs w:val="1"/>
                <w:color w:val="auto"/>
              </w:rPr>
              <w:t>Outstanding Options</w:t>
            </w: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Outstanding Options</w:t>
            </w:r>
          </w:p>
        </w:tc>
      </w:tr>
      <w:tr>
        <w:trPr>
          <w:trHeight w:val="210"/>
        </w:trPr>
        <w:tc>
          <w:tcPr>
            <w:tcW w:w="4800" w:type="dxa"/>
            <w:vAlign w:val="bottom"/>
          </w:tcPr>
          <w:p>
            <w:pPr>
              <w:spacing w:after="0"/>
              <w:rPr>
                <w:sz w:val="20"/>
                <w:szCs w:val="20"/>
                <w:color w:val="auto"/>
              </w:rPr>
            </w:pPr>
            <w:r>
              <w:rPr>
                <w:rFonts w:ascii="Arial" w:cs="Arial" w:eastAsia="Arial" w:hAnsi="Arial"/>
                <w:sz w:val="14"/>
                <w:szCs w:val="14"/>
                <w:b w:val="1"/>
                <w:bCs w:val="1"/>
                <w:color w:val="auto"/>
              </w:rPr>
              <w:t>Equity Compensation Plans Approved by Security Holders</w:t>
            </w:r>
          </w:p>
        </w:tc>
        <w:tc>
          <w:tcPr>
            <w:tcW w:w="2560" w:type="dxa"/>
            <w:vAlign w:val="bottom"/>
          </w:tcPr>
          <w:p>
            <w:pPr>
              <w:jc w:val="right"/>
              <w:ind w:right="208"/>
              <w:spacing w:after="0"/>
              <w:rPr>
                <w:sz w:val="20"/>
                <w:szCs w:val="20"/>
                <w:color w:val="auto"/>
              </w:rPr>
            </w:pPr>
            <w:r>
              <w:rPr>
                <w:rFonts w:ascii="Arial" w:cs="Arial" w:eastAsia="Arial" w:hAnsi="Arial"/>
                <w:sz w:val="14"/>
                <w:szCs w:val="14"/>
                <w:b w:val="1"/>
                <w:bCs w:val="1"/>
                <w:color w:val="auto"/>
              </w:rPr>
              <w:t>(a)</w:t>
            </w: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Number of Securities</w:t>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Remaining Available</w:t>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for Future Issuance</w:t>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under Equity</w:t>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Compensation Plans</w:t>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(excluding securities</w:t>
      </w:r>
    </w:p>
    <w:p>
      <w:pPr>
        <w:spacing w:after="0" w:line="1"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reflected in column</w:t>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(a))</w:t>
      </w:r>
    </w:p>
    <w:p>
      <w:pPr>
        <w:spacing w:after="0" w:line="15"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(c)</w:t>
      </w:r>
    </w:p>
    <w:p>
      <w:pPr>
        <w:spacing w:after="0" w:line="63" w:lineRule="exact"/>
        <w:rPr>
          <w:sz w:val="20"/>
          <w:szCs w:val="20"/>
          <w:color w:val="auto"/>
        </w:rPr>
      </w:pPr>
    </w:p>
    <w:p>
      <w:pPr>
        <w:sectPr>
          <w:pgSz w:w="11900" w:h="16838" w:orient="portrait"/>
          <w:cols w:equalWidth="0" w:num="2">
            <w:col w:w="9220" w:space="560"/>
            <w:col w:w="1460"/>
          </w:cols>
          <w:pgMar w:left="320" w:top="292"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Equity compensation plans approved by security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5430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MSCI Inc. 2016 Omnibus Incentive Plan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vMerge w:val="restart"/>
          </w:tcPr>
          <w:p>
            <w:pPr>
              <w:ind w:left="360"/>
              <w:spacing w:after="0"/>
              <w:rPr>
                <w:sz w:val="20"/>
                <w:szCs w:val="20"/>
                <w:color w:val="auto"/>
              </w:rPr>
            </w:pPr>
            <w:r>
              <w:rPr>
                <w:rFonts w:ascii="Arial" w:cs="Arial" w:eastAsia="Arial" w:hAnsi="Arial"/>
                <w:sz w:val="16"/>
                <w:szCs w:val="16"/>
                <w:color w:val="auto"/>
              </w:rPr>
              <w:t>Restricted Stock Units (“RSUs”)</w:t>
            </w:r>
          </w:p>
        </w:tc>
        <w:tc>
          <w:tcPr>
            <w:tcW w:w="2740" w:type="dxa"/>
            <w:vAlign w:val="bottom"/>
          </w:tcPr>
          <w:p>
            <w:pPr>
              <w:jc w:val="right"/>
              <w:ind w:right="679"/>
              <w:spacing w:after="0"/>
              <w:rPr>
                <w:sz w:val="20"/>
                <w:szCs w:val="20"/>
                <w:color w:val="auto"/>
              </w:rPr>
            </w:pPr>
            <w:r>
              <w:rPr>
                <w:rFonts w:ascii="Arial" w:cs="Arial" w:eastAsia="Arial" w:hAnsi="Arial"/>
                <w:sz w:val="16"/>
                <w:szCs w:val="16"/>
                <w:color w:val="auto"/>
              </w:rPr>
              <w:t>215,283</w:t>
            </w:r>
          </w:p>
        </w:tc>
        <w:tc>
          <w:tcPr>
            <w:tcW w:w="2000" w:type="dxa"/>
            <w:vAlign w:val="bottom"/>
          </w:tcPr>
          <w:p>
            <w:pPr>
              <w:jc w:val="right"/>
              <w:ind w:right="559"/>
              <w:spacing w:after="0"/>
              <w:rPr>
                <w:sz w:val="20"/>
                <w:szCs w:val="20"/>
                <w:color w:val="auto"/>
              </w:rPr>
            </w:pPr>
            <w:r>
              <w:rPr>
                <w:rFonts w:ascii="Arial" w:cs="Arial" w:eastAsia="Arial" w:hAnsi="Arial"/>
                <w:sz w:val="16"/>
                <w:szCs w:val="16"/>
                <w:color w:val="auto"/>
              </w:rPr>
              <w:t>N/A</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5120" w:type="dxa"/>
            <w:vAlign w:val="bottom"/>
            <w:vMerge w:val="continue"/>
          </w:tcPr>
          <w:p>
            <w:pPr>
              <w:spacing w:after="0"/>
              <w:rPr>
                <w:sz w:val="7"/>
                <w:szCs w:val="7"/>
                <w:color w:val="auto"/>
              </w:rPr>
            </w:pPr>
          </w:p>
        </w:tc>
        <w:tc>
          <w:tcPr>
            <w:tcW w:w="27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2"/>
        </w:trPr>
        <w:tc>
          <w:tcPr>
            <w:tcW w:w="5120" w:type="dxa"/>
            <w:vAlign w:val="bottom"/>
            <w:shd w:val="clear" w:color="auto" w:fill="EDF0FC"/>
          </w:tcPr>
          <w:p>
            <w:pPr>
              <w:ind w:left="360"/>
              <w:spacing w:after="0"/>
              <w:rPr>
                <w:sz w:val="20"/>
                <w:szCs w:val="20"/>
                <w:color w:val="auto"/>
              </w:rPr>
            </w:pPr>
            <w:r>
              <w:rPr>
                <w:rFonts w:ascii="Arial" w:cs="Arial" w:eastAsia="Arial" w:hAnsi="Arial"/>
                <w:sz w:val="16"/>
                <w:szCs w:val="16"/>
                <w:color w:val="auto"/>
              </w:rPr>
              <w:t>Performance Stock Units (“PSUs”)</w:t>
            </w:r>
            <w:r>
              <w:rPr>
                <w:rFonts w:ascii="Arial" w:cs="Arial" w:eastAsia="Arial" w:hAnsi="Arial"/>
                <w:sz w:val="21"/>
                <w:szCs w:val="21"/>
                <w:color w:val="auto"/>
                <w:vertAlign w:val="superscript"/>
              </w:rPr>
              <w:t>(1)</w:t>
            </w:r>
          </w:p>
        </w:tc>
        <w:tc>
          <w:tcPr>
            <w:tcW w:w="2740" w:type="dxa"/>
            <w:vAlign w:val="bottom"/>
            <w:shd w:val="clear" w:color="auto" w:fill="EDF0FC"/>
          </w:tcPr>
          <w:p>
            <w:pPr>
              <w:jc w:val="right"/>
              <w:ind w:right="679"/>
              <w:spacing w:after="0"/>
              <w:rPr>
                <w:sz w:val="20"/>
                <w:szCs w:val="20"/>
                <w:color w:val="auto"/>
              </w:rPr>
            </w:pPr>
            <w:r>
              <w:rPr>
                <w:rFonts w:ascii="Arial" w:cs="Arial" w:eastAsia="Arial" w:hAnsi="Arial"/>
                <w:sz w:val="16"/>
                <w:szCs w:val="16"/>
                <w:color w:val="auto"/>
              </w:rPr>
              <w:t>595,648</w:t>
            </w:r>
          </w:p>
        </w:tc>
        <w:tc>
          <w:tcPr>
            <w:tcW w:w="2000" w:type="dxa"/>
            <w:vAlign w:val="bottom"/>
            <w:shd w:val="clear" w:color="auto" w:fill="EDF0FC"/>
          </w:tcPr>
          <w:p>
            <w:pPr>
              <w:jc w:val="right"/>
              <w:ind w:right="559"/>
              <w:spacing w:after="0"/>
              <w:rPr>
                <w:sz w:val="20"/>
                <w:szCs w:val="20"/>
                <w:color w:val="auto"/>
              </w:rPr>
            </w:pPr>
            <w:r>
              <w:rPr>
                <w:rFonts w:ascii="Arial" w:cs="Arial" w:eastAsia="Arial" w:hAnsi="Arial"/>
                <w:sz w:val="16"/>
                <w:szCs w:val="16"/>
                <w:color w:val="auto"/>
              </w:rPr>
              <w:t>N/A</w:t>
            </w:r>
          </w:p>
        </w:tc>
        <w:tc>
          <w:tcPr>
            <w:tcW w:w="1380" w:type="dxa"/>
            <w:vAlign w:val="bottom"/>
            <w:shd w:val="clear" w:color="auto" w:fill="EDF0FC"/>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20" w:type="dxa"/>
            <w:vAlign w:val="bottom"/>
            <w:tcBorders>
              <w:bottom w:val="single" w:sz="8" w:color="EDF0FC"/>
            </w:tcBorders>
          </w:tcPr>
          <w:p>
            <w:pPr>
              <w:ind w:left="360"/>
              <w:spacing w:after="0"/>
              <w:rPr>
                <w:sz w:val="20"/>
                <w:szCs w:val="20"/>
                <w:color w:val="auto"/>
              </w:rPr>
            </w:pPr>
            <w:r>
              <w:rPr>
                <w:rFonts w:ascii="Arial" w:cs="Arial" w:eastAsia="Arial" w:hAnsi="Arial"/>
                <w:sz w:val="16"/>
                <w:szCs w:val="16"/>
                <w:color w:val="auto"/>
              </w:rPr>
              <w:t>Performance Stock Options (“PSOs”)</w:t>
            </w:r>
            <w:r>
              <w:rPr>
                <w:rFonts w:ascii="Arial" w:cs="Arial" w:eastAsia="Arial" w:hAnsi="Arial"/>
                <w:sz w:val="21"/>
                <w:szCs w:val="21"/>
                <w:color w:val="auto"/>
                <w:vertAlign w:val="superscript"/>
              </w:rPr>
              <w:t>(2)</w:t>
            </w:r>
          </w:p>
        </w:tc>
        <w:tc>
          <w:tcPr>
            <w:tcW w:w="2740" w:type="dxa"/>
            <w:vAlign w:val="bottom"/>
            <w:tcBorders>
              <w:bottom w:val="single" w:sz="8" w:color="1A3FD6"/>
            </w:tcBorders>
          </w:tcPr>
          <w:p>
            <w:pPr>
              <w:jc w:val="right"/>
              <w:ind w:right="679"/>
              <w:spacing w:after="0"/>
              <w:rPr>
                <w:sz w:val="20"/>
                <w:szCs w:val="20"/>
                <w:color w:val="auto"/>
              </w:rPr>
            </w:pPr>
            <w:r>
              <w:rPr>
                <w:rFonts w:ascii="Arial" w:cs="Arial" w:eastAsia="Arial" w:hAnsi="Arial"/>
                <w:sz w:val="16"/>
                <w:szCs w:val="16"/>
                <w:color w:val="auto"/>
              </w:rPr>
              <w:t>739,026</w:t>
            </w:r>
          </w:p>
        </w:tc>
        <w:tc>
          <w:tcPr>
            <w:tcW w:w="2000" w:type="dxa"/>
            <w:vAlign w:val="bottom"/>
            <w:tcBorders>
              <w:bottom w:val="single" w:sz="8" w:color="1A3FD6"/>
            </w:tcBorders>
          </w:tcPr>
          <w:p>
            <w:pPr>
              <w:jc w:val="right"/>
              <w:ind w:right="559"/>
              <w:spacing w:after="0"/>
              <w:rPr>
                <w:sz w:val="20"/>
                <w:szCs w:val="20"/>
                <w:color w:val="auto"/>
              </w:rPr>
            </w:pPr>
            <w:r>
              <w:rPr>
                <w:rFonts w:ascii="Arial" w:cs="Arial" w:eastAsia="Arial" w:hAnsi="Arial"/>
                <w:sz w:val="16"/>
                <w:szCs w:val="16"/>
                <w:color w:val="auto"/>
              </w:rPr>
              <w:t>$570.19</w:t>
            </w:r>
          </w:p>
        </w:tc>
        <w:tc>
          <w:tcPr>
            <w:tcW w:w="1380" w:type="dxa"/>
            <w:vAlign w:val="bottom"/>
            <w:tcBorders>
              <w:bottom w:val="single" w:sz="8" w:color="1A3FD6"/>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120" w:type="dxa"/>
            <w:vAlign w:val="bottom"/>
            <w:vMerge w:val="restart"/>
            <w:shd w:val="clear" w:color="auto" w:fill="EDF0FC"/>
          </w:tcPr>
          <w:p>
            <w:pPr>
              <w:ind w:left="360"/>
              <w:spacing w:after="0"/>
              <w:rPr>
                <w:sz w:val="20"/>
                <w:szCs w:val="20"/>
                <w:color w:val="auto"/>
              </w:rPr>
            </w:pPr>
            <w:r>
              <w:rPr>
                <w:rFonts w:ascii="Arial" w:cs="Arial" w:eastAsia="Arial" w:hAnsi="Arial"/>
                <w:sz w:val="16"/>
                <w:szCs w:val="16"/>
                <w:color w:val="auto"/>
              </w:rPr>
              <w:t>Total MSCI Inc. 2016 Omnibus Incentive Plan</w:t>
            </w:r>
          </w:p>
        </w:tc>
        <w:tc>
          <w:tcPr>
            <w:tcW w:w="2740" w:type="dxa"/>
            <w:vAlign w:val="bottom"/>
            <w:shd w:val="clear" w:color="auto" w:fill="EDF0FC"/>
          </w:tcPr>
          <w:p>
            <w:pPr>
              <w:jc w:val="right"/>
              <w:ind w:right="679"/>
              <w:spacing w:after="0"/>
              <w:rPr>
                <w:sz w:val="20"/>
                <w:szCs w:val="20"/>
                <w:color w:val="auto"/>
              </w:rPr>
            </w:pPr>
            <w:r>
              <w:rPr>
                <w:rFonts w:ascii="Arial" w:cs="Arial" w:eastAsia="Arial" w:hAnsi="Arial"/>
                <w:sz w:val="16"/>
                <w:szCs w:val="16"/>
                <w:color w:val="auto"/>
              </w:rPr>
              <w:t>1,549,957</w:t>
            </w:r>
          </w:p>
        </w:tc>
        <w:tc>
          <w:tcPr>
            <w:tcW w:w="2000" w:type="dxa"/>
            <w:vAlign w:val="bottom"/>
            <w:shd w:val="clear" w:color="auto" w:fill="EDF0FC"/>
          </w:tcPr>
          <w:p>
            <w:pPr>
              <w:jc w:val="right"/>
              <w:ind w:right="559"/>
              <w:spacing w:after="0"/>
              <w:rPr>
                <w:sz w:val="20"/>
                <w:szCs w:val="20"/>
                <w:color w:val="auto"/>
              </w:rPr>
            </w:pPr>
            <w:r>
              <w:rPr>
                <w:rFonts w:ascii="Arial" w:cs="Arial" w:eastAsia="Arial" w:hAnsi="Arial"/>
                <w:sz w:val="16"/>
                <w:szCs w:val="16"/>
                <w:color w:val="auto"/>
              </w:rPr>
              <w:t>N/A</w:t>
            </w:r>
          </w:p>
        </w:tc>
        <w:tc>
          <w:tcPr>
            <w:tcW w:w="1380" w:type="dxa"/>
            <w:vAlign w:val="bottom"/>
            <w:shd w:val="clear" w:color="auto" w:fill="EDF0FC"/>
          </w:tcPr>
          <w:p>
            <w:pPr>
              <w:jc w:val="right"/>
              <w:spacing w:after="0"/>
              <w:rPr>
                <w:sz w:val="20"/>
                <w:szCs w:val="20"/>
                <w:color w:val="auto"/>
              </w:rPr>
            </w:pPr>
            <w:r>
              <w:rPr>
                <w:rFonts w:ascii="Arial" w:cs="Arial" w:eastAsia="Arial" w:hAnsi="Arial"/>
                <w:sz w:val="16"/>
                <w:szCs w:val="16"/>
                <w:color w:val="auto"/>
              </w:rPr>
              <w:t>2,485,193</w:t>
            </w:r>
          </w:p>
        </w:tc>
        <w:tc>
          <w:tcPr>
            <w:tcW w:w="0" w:type="dxa"/>
            <w:vAlign w:val="bottom"/>
          </w:tcPr>
          <w:p>
            <w:pPr>
              <w:spacing w:after="0"/>
              <w:rPr>
                <w:sz w:val="1"/>
                <w:szCs w:val="1"/>
                <w:color w:val="auto"/>
              </w:rPr>
            </w:pPr>
          </w:p>
        </w:tc>
      </w:tr>
      <w:tr>
        <w:trPr>
          <w:trHeight w:val="96"/>
        </w:trPr>
        <w:tc>
          <w:tcPr>
            <w:tcW w:w="5120" w:type="dxa"/>
            <w:vAlign w:val="bottom"/>
            <w:vMerge w:val="continue"/>
            <w:shd w:val="clear" w:color="auto" w:fill="EDF0FC"/>
          </w:tcPr>
          <w:p>
            <w:pPr>
              <w:spacing w:after="0"/>
              <w:rPr>
                <w:sz w:val="8"/>
                <w:szCs w:val="8"/>
                <w:color w:val="auto"/>
              </w:rPr>
            </w:pPr>
          </w:p>
        </w:tc>
        <w:tc>
          <w:tcPr>
            <w:tcW w:w="2740" w:type="dxa"/>
            <w:vAlign w:val="bottom"/>
            <w:shd w:val="clear" w:color="auto" w:fill="EDF0FC"/>
          </w:tcPr>
          <w:p>
            <w:pPr>
              <w:spacing w:after="0"/>
              <w:rPr>
                <w:sz w:val="8"/>
                <w:szCs w:val="8"/>
                <w:color w:val="auto"/>
              </w:rPr>
            </w:pPr>
          </w:p>
        </w:tc>
        <w:tc>
          <w:tcPr>
            <w:tcW w:w="2000" w:type="dxa"/>
            <w:vAlign w:val="bottom"/>
            <w:shd w:val="clear" w:color="auto" w:fill="EDF0FC"/>
          </w:tcPr>
          <w:p>
            <w:pPr>
              <w:spacing w:after="0"/>
              <w:rPr>
                <w:sz w:val="8"/>
                <w:szCs w:val="8"/>
                <w:color w:val="auto"/>
              </w:rPr>
            </w:pPr>
          </w:p>
        </w:tc>
        <w:tc>
          <w:tcPr>
            <w:tcW w:w="1380" w:type="dxa"/>
            <w:vAlign w:val="bottom"/>
            <w:shd w:val="clear" w:color="auto" w:fill="EDF0FC"/>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5120" w:type="dxa"/>
            <w:vAlign w:val="bottom"/>
            <w:vMerge w:val="restart"/>
          </w:tcPr>
          <w:p>
            <w:pPr>
              <w:ind w:left="20"/>
              <w:spacing w:after="0"/>
              <w:rPr>
                <w:sz w:val="20"/>
                <w:szCs w:val="20"/>
                <w:color w:val="auto"/>
              </w:rPr>
            </w:pPr>
            <w:r>
              <w:rPr>
                <w:rFonts w:ascii="Arial" w:cs="Arial" w:eastAsia="Arial" w:hAnsi="Arial"/>
                <w:sz w:val="16"/>
                <w:szCs w:val="16"/>
                <w:color w:val="auto"/>
              </w:rPr>
              <w:t>MSCI Inc. 2016 Non-Employee Directors Compensation Plan (RSUs)</w:t>
            </w:r>
          </w:p>
        </w:tc>
        <w:tc>
          <w:tcPr>
            <w:tcW w:w="2740" w:type="dxa"/>
            <w:vAlign w:val="bottom"/>
          </w:tcPr>
          <w:p>
            <w:pPr>
              <w:jc w:val="right"/>
              <w:ind w:right="679"/>
              <w:spacing w:after="0"/>
              <w:rPr>
                <w:sz w:val="20"/>
                <w:szCs w:val="20"/>
                <w:color w:val="auto"/>
              </w:rPr>
            </w:pPr>
            <w:r>
              <w:rPr>
                <w:rFonts w:ascii="Arial" w:cs="Arial" w:eastAsia="Arial" w:hAnsi="Arial"/>
                <w:sz w:val="16"/>
                <w:szCs w:val="16"/>
                <w:color w:val="auto"/>
              </w:rPr>
              <w:t>4,569</w:t>
            </w:r>
          </w:p>
        </w:tc>
        <w:tc>
          <w:tcPr>
            <w:tcW w:w="2000" w:type="dxa"/>
            <w:vAlign w:val="bottom"/>
          </w:tcPr>
          <w:p>
            <w:pPr>
              <w:jc w:val="right"/>
              <w:ind w:right="559"/>
              <w:spacing w:after="0"/>
              <w:rPr>
                <w:sz w:val="20"/>
                <w:szCs w:val="20"/>
                <w:color w:val="auto"/>
              </w:rPr>
            </w:pPr>
            <w:r>
              <w:rPr>
                <w:rFonts w:ascii="Arial" w:cs="Arial" w:eastAsia="Arial" w:hAnsi="Arial"/>
                <w:sz w:val="16"/>
                <w:szCs w:val="16"/>
                <w:color w:val="auto"/>
              </w:rPr>
              <w:t>N/A</w:t>
            </w:r>
          </w:p>
        </w:tc>
        <w:tc>
          <w:tcPr>
            <w:tcW w:w="1380" w:type="dxa"/>
            <w:vAlign w:val="bottom"/>
          </w:tcPr>
          <w:p>
            <w:pPr>
              <w:jc w:val="right"/>
              <w:spacing w:after="0"/>
              <w:rPr>
                <w:sz w:val="20"/>
                <w:szCs w:val="20"/>
                <w:color w:val="auto"/>
              </w:rPr>
            </w:pPr>
            <w:r>
              <w:rPr>
                <w:rFonts w:ascii="Arial" w:cs="Arial" w:eastAsia="Arial" w:hAnsi="Arial"/>
                <w:sz w:val="16"/>
                <w:szCs w:val="16"/>
                <w:color w:val="auto"/>
              </w:rPr>
              <w:t>262,853</w:t>
            </w:r>
          </w:p>
        </w:tc>
        <w:tc>
          <w:tcPr>
            <w:tcW w:w="0" w:type="dxa"/>
            <w:vAlign w:val="bottom"/>
          </w:tcPr>
          <w:p>
            <w:pPr>
              <w:spacing w:after="0"/>
              <w:rPr>
                <w:sz w:val="1"/>
                <w:szCs w:val="1"/>
                <w:color w:val="auto"/>
              </w:rPr>
            </w:pPr>
          </w:p>
        </w:tc>
      </w:tr>
      <w:tr>
        <w:trPr>
          <w:trHeight w:val="89"/>
        </w:trPr>
        <w:tc>
          <w:tcPr>
            <w:tcW w:w="5120" w:type="dxa"/>
            <w:vAlign w:val="bottom"/>
            <w:vMerge w:val="continue"/>
          </w:tcPr>
          <w:p>
            <w:pPr>
              <w:spacing w:after="0"/>
              <w:rPr>
                <w:sz w:val="7"/>
                <w:szCs w:val="7"/>
                <w:color w:val="auto"/>
              </w:rPr>
            </w:pPr>
          </w:p>
        </w:tc>
        <w:tc>
          <w:tcPr>
            <w:tcW w:w="27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3"/>
        </w:trPr>
        <w:tc>
          <w:tcPr>
            <w:tcW w:w="5120" w:type="dxa"/>
            <w:vAlign w:val="bottom"/>
            <w:vMerge w:val="restart"/>
            <w:shd w:val="clear" w:color="auto" w:fill="EDF0FC"/>
          </w:tcPr>
          <w:p>
            <w:pPr>
              <w:ind w:left="20"/>
              <w:spacing w:after="0"/>
              <w:rPr>
                <w:sz w:val="20"/>
                <w:szCs w:val="20"/>
                <w:color w:val="auto"/>
              </w:rPr>
            </w:pPr>
            <w:r>
              <w:rPr>
                <w:rFonts w:ascii="Arial" w:cs="Arial" w:eastAsia="Arial" w:hAnsi="Arial"/>
                <w:sz w:val="16"/>
                <w:szCs w:val="16"/>
                <w:color w:val="auto"/>
              </w:rPr>
              <w:t>Equity compensation plans not approved by security holders</w:t>
            </w:r>
          </w:p>
        </w:tc>
        <w:tc>
          <w:tcPr>
            <w:tcW w:w="2740" w:type="dxa"/>
            <w:vAlign w:val="bottom"/>
            <w:shd w:val="clear" w:color="auto" w:fill="EDF0FC"/>
          </w:tcPr>
          <w:p>
            <w:pPr>
              <w:jc w:val="right"/>
              <w:ind w:right="679"/>
              <w:spacing w:after="0"/>
              <w:rPr>
                <w:sz w:val="20"/>
                <w:szCs w:val="20"/>
                <w:color w:val="auto"/>
              </w:rPr>
            </w:pPr>
            <w:r>
              <w:rPr>
                <w:rFonts w:ascii="Arial" w:cs="Arial" w:eastAsia="Arial" w:hAnsi="Arial"/>
                <w:sz w:val="16"/>
                <w:szCs w:val="16"/>
                <w:color w:val="auto"/>
              </w:rPr>
              <w:t>—</w:t>
            </w:r>
          </w:p>
        </w:tc>
        <w:tc>
          <w:tcPr>
            <w:tcW w:w="2000" w:type="dxa"/>
            <w:vAlign w:val="bottom"/>
            <w:shd w:val="clear" w:color="auto" w:fill="EDF0FC"/>
          </w:tcPr>
          <w:p>
            <w:pPr>
              <w:jc w:val="right"/>
              <w:ind w:right="559"/>
              <w:spacing w:after="0"/>
              <w:rPr>
                <w:sz w:val="20"/>
                <w:szCs w:val="20"/>
                <w:color w:val="auto"/>
              </w:rPr>
            </w:pPr>
            <w:r>
              <w:rPr>
                <w:rFonts w:ascii="Arial" w:cs="Arial" w:eastAsia="Arial" w:hAnsi="Arial"/>
                <w:sz w:val="16"/>
                <w:szCs w:val="16"/>
                <w:color w:val="auto"/>
              </w:rPr>
              <w:t>N/A</w:t>
            </w:r>
          </w:p>
        </w:tc>
        <w:tc>
          <w:tcPr>
            <w:tcW w:w="1380" w:type="dxa"/>
            <w:vAlign w:val="bottom"/>
            <w:shd w:val="clear" w:color="auto" w:fill="ED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4"/>
        </w:trPr>
        <w:tc>
          <w:tcPr>
            <w:tcW w:w="5120" w:type="dxa"/>
            <w:vAlign w:val="bottom"/>
            <w:vMerge w:val="continue"/>
            <w:shd w:val="clear" w:color="auto" w:fill="EDF0FC"/>
          </w:tcPr>
          <w:p>
            <w:pPr>
              <w:spacing w:after="0"/>
              <w:rPr>
                <w:sz w:val="12"/>
                <w:szCs w:val="12"/>
                <w:color w:val="auto"/>
              </w:rPr>
            </w:pPr>
          </w:p>
        </w:tc>
        <w:tc>
          <w:tcPr>
            <w:tcW w:w="2740" w:type="dxa"/>
            <w:vAlign w:val="bottom"/>
            <w:tcBorders>
              <w:bottom w:val="single" w:sz="8" w:color="1A3FD6"/>
            </w:tcBorders>
            <w:shd w:val="clear" w:color="auto" w:fill="EDF0FC"/>
          </w:tcPr>
          <w:p>
            <w:pPr>
              <w:spacing w:after="0"/>
              <w:rPr>
                <w:sz w:val="12"/>
                <w:szCs w:val="12"/>
                <w:color w:val="auto"/>
              </w:rPr>
            </w:pPr>
          </w:p>
        </w:tc>
        <w:tc>
          <w:tcPr>
            <w:tcW w:w="2000" w:type="dxa"/>
            <w:vAlign w:val="bottom"/>
            <w:tcBorders>
              <w:bottom w:val="single" w:sz="8" w:color="1A3FD6"/>
            </w:tcBorders>
            <w:shd w:val="clear" w:color="auto" w:fill="EDF0FC"/>
          </w:tcPr>
          <w:p>
            <w:pPr>
              <w:spacing w:after="0"/>
              <w:rPr>
                <w:sz w:val="12"/>
                <w:szCs w:val="12"/>
                <w:color w:val="auto"/>
              </w:rPr>
            </w:pPr>
          </w:p>
        </w:tc>
        <w:tc>
          <w:tcPr>
            <w:tcW w:w="1380" w:type="dxa"/>
            <w:vAlign w:val="bottom"/>
            <w:tcBorders>
              <w:bottom w:val="single" w:sz="8" w:color="1A3FD6"/>
            </w:tcBorders>
            <w:shd w:val="clear" w:color="auto" w:fill="EDF0FC"/>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51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Total</w:t>
            </w:r>
          </w:p>
        </w:tc>
        <w:tc>
          <w:tcPr>
            <w:tcW w:w="2740" w:type="dxa"/>
            <w:vAlign w:val="bottom"/>
          </w:tcPr>
          <w:p>
            <w:pPr>
              <w:jc w:val="right"/>
              <w:ind w:right="679"/>
              <w:spacing w:after="0"/>
              <w:rPr>
                <w:sz w:val="20"/>
                <w:szCs w:val="20"/>
                <w:color w:val="auto"/>
              </w:rPr>
            </w:pPr>
            <w:r>
              <w:rPr>
                <w:rFonts w:ascii="Arial" w:cs="Arial" w:eastAsia="Arial" w:hAnsi="Arial"/>
                <w:sz w:val="16"/>
                <w:szCs w:val="16"/>
                <w:color w:val="auto"/>
              </w:rPr>
              <w:t>1,554,526</w:t>
            </w:r>
          </w:p>
        </w:tc>
        <w:tc>
          <w:tcPr>
            <w:tcW w:w="2000" w:type="dxa"/>
            <w:vAlign w:val="bottom"/>
          </w:tcPr>
          <w:p>
            <w:pPr>
              <w:jc w:val="right"/>
              <w:ind w:right="559"/>
              <w:spacing w:after="0"/>
              <w:rPr>
                <w:sz w:val="20"/>
                <w:szCs w:val="20"/>
                <w:color w:val="auto"/>
              </w:rPr>
            </w:pPr>
            <w:r>
              <w:rPr>
                <w:rFonts w:ascii="Arial" w:cs="Arial" w:eastAsia="Arial" w:hAnsi="Arial"/>
                <w:sz w:val="16"/>
                <w:szCs w:val="16"/>
                <w:color w:val="auto"/>
              </w:rPr>
              <w:t>N/A</w:t>
            </w:r>
          </w:p>
        </w:tc>
        <w:tc>
          <w:tcPr>
            <w:tcW w:w="1380" w:type="dxa"/>
            <w:vAlign w:val="bottom"/>
          </w:tcPr>
          <w:p>
            <w:pPr>
              <w:jc w:val="right"/>
              <w:spacing w:after="0"/>
              <w:rPr>
                <w:sz w:val="20"/>
                <w:szCs w:val="20"/>
                <w:color w:val="auto"/>
              </w:rPr>
            </w:pPr>
            <w:r>
              <w:rPr>
                <w:rFonts w:ascii="Arial" w:cs="Arial" w:eastAsia="Arial" w:hAnsi="Arial"/>
                <w:sz w:val="16"/>
                <w:szCs w:val="16"/>
                <w:color w:val="auto"/>
              </w:rPr>
              <w:t>2,748,046</w:t>
            </w:r>
          </w:p>
        </w:tc>
        <w:tc>
          <w:tcPr>
            <w:tcW w:w="0" w:type="dxa"/>
            <w:vAlign w:val="bottom"/>
          </w:tcPr>
          <w:p>
            <w:pPr>
              <w:spacing w:after="0"/>
              <w:rPr>
                <w:sz w:val="1"/>
                <w:szCs w:val="1"/>
                <w:color w:val="auto"/>
              </w:rPr>
            </w:pPr>
          </w:p>
        </w:tc>
      </w:tr>
      <w:tr>
        <w:trPr>
          <w:trHeight w:val="93"/>
        </w:trPr>
        <w:tc>
          <w:tcPr>
            <w:tcW w:w="5120" w:type="dxa"/>
            <w:vAlign w:val="bottom"/>
            <w:tcBorders>
              <w:bottom w:val="single" w:sz="8" w:color="auto"/>
            </w:tcBorders>
            <w:vMerge w:val="continue"/>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60" w:right="140" w:hanging="252"/>
        <w:spacing w:after="0" w:line="239" w:lineRule="auto"/>
        <w:tabs>
          <w:tab w:leader="none" w:pos="250" w:val="left"/>
        </w:tabs>
        <w:numPr>
          <w:ilvl w:val="0"/>
          <w:numId w:val="133"/>
        </w:numPr>
        <w:rPr>
          <w:rFonts w:ascii="Arial" w:cs="Arial" w:eastAsia="Arial" w:hAnsi="Arial"/>
          <w:sz w:val="19"/>
          <w:szCs w:val="19"/>
          <w:color w:val="auto"/>
          <w:vertAlign w:val="superscript"/>
        </w:rPr>
      </w:pPr>
      <w:r>
        <w:rPr>
          <w:rFonts w:ascii="Arial" w:cs="Arial" w:eastAsia="Arial" w:hAnsi="Arial"/>
          <w:sz w:val="14"/>
          <w:szCs w:val="14"/>
          <w:color w:val="auto"/>
        </w:rPr>
        <w:t>The numbers included for PSUs in column (a) reflect the maximum payout. Assuming target number payout, the number of securities to be issued upon vesting of PSUs is 265,441.</w:t>
      </w:r>
    </w:p>
    <w:p>
      <w:pPr>
        <w:spacing w:after="0" w:line="54" w:lineRule="exact"/>
        <w:rPr>
          <w:rFonts w:ascii="Arial" w:cs="Arial" w:eastAsia="Arial" w:hAnsi="Arial"/>
          <w:sz w:val="19"/>
          <w:szCs w:val="19"/>
          <w:color w:val="auto"/>
          <w:vertAlign w:val="superscript"/>
        </w:rPr>
      </w:pPr>
    </w:p>
    <w:p>
      <w:pPr>
        <w:ind w:left="260" w:right="20" w:hanging="252"/>
        <w:spacing w:after="0" w:line="239" w:lineRule="auto"/>
        <w:tabs>
          <w:tab w:leader="none" w:pos="250" w:val="left"/>
        </w:tabs>
        <w:numPr>
          <w:ilvl w:val="0"/>
          <w:numId w:val="133"/>
        </w:numPr>
        <w:rPr>
          <w:rFonts w:ascii="Arial" w:cs="Arial" w:eastAsia="Arial" w:hAnsi="Arial"/>
          <w:sz w:val="19"/>
          <w:szCs w:val="19"/>
          <w:color w:val="auto"/>
          <w:vertAlign w:val="superscript"/>
        </w:rPr>
      </w:pPr>
      <w:r>
        <w:rPr>
          <w:rFonts w:ascii="Arial" w:cs="Arial" w:eastAsia="Arial" w:hAnsi="Arial"/>
          <w:sz w:val="14"/>
          <w:szCs w:val="14"/>
          <w:color w:val="auto"/>
        </w:rPr>
        <w:t>The numbers included for PSOs in column (a) reflect options at the maximum payout. Assuming target number payout, the number of securities to be issued upon vesting of PSOs is 369,513.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9060"/>
              <w:spacing w:after="0"/>
              <w:rPr>
                <w:sz w:val="20"/>
                <w:szCs w:val="20"/>
                <w:color w:val="auto"/>
              </w:rPr>
            </w:pPr>
            <w:r>
              <w:rPr>
                <w:rFonts w:ascii="Arial" w:cs="Arial" w:eastAsia="Arial" w:hAnsi="Arial"/>
                <w:sz w:val="14"/>
                <w:szCs w:val="14"/>
                <w:b w:val="1"/>
                <w:bCs w:val="1"/>
                <w:color w:val="1A3FD6"/>
              </w:rPr>
              <w:t>Audit Matters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109</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0" w:lineRule="exact"/>
        <w:rPr>
          <w:sz w:val="20"/>
          <w:szCs w:val="20"/>
          <w:color w:val="auto"/>
        </w:rPr>
      </w:pPr>
    </w:p>
    <w:p>
      <w:pPr>
        <w:spacing w:after="0" w:line="291" w:lineRule="exact"/>
        <w:rPr>
          <w:sz w:val="20"/>
          <w:szCs w:val="20"/>
          <w:color w:val="auto"/>
        </w:rPr>
      </w:pPr>
    </w:p>
    <w:p>
      <w:pPr>
        <w:ind w:left="1380"/>
        <w:spacing w:after="0"/>
        <w:rPr>
          <w:sz w:val="20"/>
          <w:szCs w:val="20"/>
          <w:color w:val="auto"/>
        </w:rPr>
      </w:pPr>
      <w:r>
        <w:rPr>
          <w:rFonts w:ascii="Arial" w:cs="Arial" w:eastAsia="Arial" w:hAnsi="Arial"/>
          <w:sz w:val="50"/>
          <w:szCs w:val="50"/>
          <w:b w:val="1"/>
          <w:bCs w:val="1"/>
          <w:color w:val="1A3FD6"/>
        </w:rPr>
        <w:t>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-307340</wp:posOffset>
            </wp:positionV>
            <wp:extent cx="488315" cy="6172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88315" cy="617220"/>
                    </a:xfrm>
                    <a:prstGeom prst="rect">
                      <a:avLst/>
                    </a:prstGeom>
                    <a:noFill/>
                  </pic:spPr>
                </pic:pic>
              </a:graphicData>
            </a:graphic>
          </wp:anchor>
        </w:drawing>
      </w:r>
    </w:p>
    <w:p>
      <w:pPr>
        <w:spacing w:after="0" w:line="11" w:lineRule="exact"/>
        <w:rPr>
          <w:sz w:val="20"/>
          <w:szCs w:val="20"/>
          <w:color w:val="auto"/>
        </w:rPr>
      </w:pPr>
    </w:p>
    <w:p>
      <w:pPr>
        <w:ind w:left="1380"/>
        <w:spacing w:after="0"/>
        <w:rPr>
          <w:sz w:val="20"/>
          <w:szCs w:val="20"/>
          <w:color w:val="auto"/>
        </w:rPr>
      </w:pPr>
      <w:r>
        <w:rPr>
          <w:rFonts w:ascii="Arial" w:cs="Arial" w:eastAsia="Arial" w:hAnsi="Arial"/>
          <w:sz w:val="50"/>
          <w:szCs w:val="50"/>
          <w:b w:val="1"/>
          <w:bCs w:val="1"/>
          <w:color w:val="1A3FD6"/>
        </w:rPr>
        <w:t>Matters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Independent Auditor’s Fees</w:t>
      </w:r>
    </w:p>
    <w:p>
      <w:pPr>
        <w:spacing w:after="0" w:line="18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 following table summarizes the aggregate fees (including related out-of-pocket expenses) expensed in 2024 and 2023 for professional services provided by PwC. On March 8, 2024, the Audit Committee approved the engagement of PwC as the Company’s independent auditor for 2024. These fees were approved pursuant to the pre-approval policies and procedures described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4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4900" w:type="dxa"/>
            <w:vAlign w:val="bottom"/>
            <w:tcBorders>
              <w:bottom w:val="single" w:sz="8" w:color="1A3FD6"/>
            </w:tcBorders>
          </w:tcPr>
          <w:p>
            <w:pPr>
              <w:jc w:val="right"/>
              <w:ind w:right="181"/>
              <w:spacing w:after="0"/>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2023</w:t>
            </w:r>
          </w:p>
        </w:tc>
      </w:tr>
      <w:tr>
        <w:trPr>
          <w:trHeight w:val="243"/>
        </w:trPr>
        <w:tc>
          <w:tcPr>
            <w:tcW w:w="5640" w:type="dxa"/>
            <w:vAlign w:val="bottom"/>
          </w:tcPr>
          <w:p>
            <w:pPr>
              <w:ind w:left="20"/>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4900" w:type="dxa"/>
            <w:vAlign w:val="bottom"/>
          </w:tcPr>
          <w:p>
            <w:pPr>
              <w:jc w:val="right"/>
              <w:ind w:right="181"/>
              <w:spacing w:after="0"/>
              <w:rPr>
                <w:sz w:val="20"/>
                <w:szCs w:val="20"/>
                <w:color w:val="auto"/>
              </w:rPr>
            </w:pPr>
            <w:r>
              <w:rPr>
                <w:rFonts w:ascii="Arial" w:cs="Arial" w:eastAsia="Arial" w:hAnsi="Arial"/>
                <w:sz w:val="16"/>
                <w:szCs w:val="16"/>
                <w:color w:val="auto"/>
              </w:rPr>
              <w:t>4,315</w:t>
            </w:r>
          </w:p>
        </w:tc>
        <w:tc>
          <w:tcPr>
            <w:tcW w:w="700" w:type="dxa"/>
            <w:vAlign w:val="bottom"/>
          </w:tcPr>
          <w:p>
            <w:pPr>
              <w:jc w:val="right"/>
              <w:spacing w:after="0"/>
              <w:rPr>
                <w:sz w:val="20"/>
                <w:szCs w:val="20"/>
                <w:color w:val="auto"/>
              </w:rPr>
            </w:pPr>
            <w:r>
              <w:rPr>
                <w:rFonts w:ascii="Arial" w:cs="Arial" w:eastAsia="Arial" w:hAnsi="Arial"/>
                <w:sz w:val="16"/>
                <w:szCs w:val="16"/>
                <w:color w:val="auto"/>
              </w:rPr>
              <w:t>3,449</w:t>
            </w:r>
          </w:p>
        </w:tc>
      </w:tr>
      <w:tr>
        <w:trPr>
          <w:trHeight w:val="243"/>
        </w:trPr>
        <w:tc>
          <w:tcPr>
            <w:tcW w:w="5640" w:type="dxa"/>
            <w:vAlign w:val="bottom"/>
            <w:shd w:val="clear" w:color="auto" w:fill="EDF0FC"/>
          </w:tcPr>
          <w:p>
            <w:pPr>
              <w:ind w:left="2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1"/>
                <w:szCs w:val="21"/>
                <w:color w:val="auto"/>
                <w:vertAlign w:val="superscript"/>
              </w:rPr>
              <w:t>(2)</w:t>
            </w:r>
          </w:p>
        </w:tc>
        <w:tc>
          <w:tcPr>
            <w:tcW w:w="4900" w:type="dxa"/>
            <w:vAlign w:val="bottom"/>
            <w:shd w:val="clear" w:color="auto" w:fill="EDF0FC"/>
          </w:tcPr>
          <w:p>
            <w:pPr>
              <w:jc w:val="right"/>
              <w:ind w:right="181"/>
              <w:spacing w:after="0"/>
              <w:rPr>
                <w:sz w:val="20"/>
                <w:szCs w:val="20"/>
                <w:color w:val="auto"/>
              </w:rPr>
            </w:pPr>
            <w:r>
              <w:rPr>
                <w:rFonts w:ascii="Arial" w:cs="Arial" w:eastAsia="Arial" w:hAnsi="Arial"/>
                <w:sz w:val="16"/>
                <w:szCs w:val="16"/>
                <w:color w:val="auto"/>
              </w:rPr>
              <w:t>225</w:t>
            </w:r>
          </w:p>
        </w:tc>
        <w:tc>
          <w:tcPr>
            <w:tcW w:w="700" w:type="dxa"/>
            <w:vAlign w:val="bottom"/>
            <w:shd w:val="clear" w:color="auto" w:fill="EDF0FC"/>
          </w:tcPr>
          <w:p>
            <w:pPr>
              <w:jc w:val="right"/>
              <w:spacing w:after="0"/>
              <w:rPr>
                <w:sz w:val="20"/>
                <w:szCs w:val="20"/>
                <w:color w:val="auto"/>
              </w:rPr>
            </w:pPr>
            <w:r>
              <w:rPr>
                <w:rFonts w:ascii="Arial" w:cs="Arial" w:eastAsia="Arial" w:hAnsi="Arial"/>
                <w:sz w:val="16"/>
                <w:szCs w:val="16"/>
                <w:color w:val="auto"/>
              </w:rPr>
              <w:t>616</w:t>
            </w:r>
          </w:p>
        </w:tc>
      </w:tr>
      <w:tr>
        <w:trPr>
          <w:trHeight w:val="243"/>
        </w:trPr>
        <w:tc>
          <w:tcPr>
            <w:tcW w:w="5640" w:type="dxa"/>
            <w:vAlign w:val="bottom"/>
          </w:tcPr>
          <w:p>
            <w:pPr>
              <w:ind w:left="20"/>
              <w:spacing w:after="0"/>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(3)</w:t>
            </w:r>
          </w:p>
        </w:tc>
        <w:tc>
          <w:tcPr>
            <w:tcW w:w="4900" w:type="dxa"/>
            <w:vAlign w:val="bottom"/>
          </w:tcPr>
          <w:p>
            <w:pPr>
              <w:jc w:val="right"/>
              <w:ind w:right="181"/>
              <w:spacing w:after="0"/>
              <w:rPr>
                <w:sz w:val="20"/>
                <w:szCs w:val="20"/>
                <w:color w:val="auto"/>
              </w:rPr>
            </w:pPr>
            <w:r>
              <w:rPr>
                <w:rFonts w:ascii="Arial" w:cs="Arial" w:eastAsia="Arial" w:hAnsi="Arial"/>
                <w:sz w:val="16"/>
                <w:szCs w:val="16"/>
                <w:color w:val="auto"/>
              </w:rPr>
              <w:t>1,197</w:t>
            </w:r>
          </w:p>
        </w:tc>
        <w:tc>
          <w:tcPr>
            <w:tcW w:w="700" w:type="dxa"/>
            <w:vAlign w:val="bottom"/>
          </w:tcPr>
          <w:p>
            <w:pPr>
              <w:jc w:val="right"/>
              <w:spacing w:after="0"/>
              <w:rPr>
                <w:sz w:val="20"/>
                <w:szCs w:val="20"/>
                <w:color w:val="auto"/>
              </w:rPr>
            </w:pPr>
            <w:r>
              <w:rPr>
                <w:rFonts w:ascii="Arial" w:cs="Arial" w:eastAsia="Arial" w:hAnsi="Arial"/>
                <w:sz w:val="16"/>
                <w:szCs w:val="16"/>
                <w:color w:val="auto"/>
              </w:rPr>
              <w:t>1,157</w:t>
            </w:r>
          </w:p>
        </w:tc>
      </w:tr>
      <w:tr>
        <w:trPr>
          <w:trHeight w:val="243"/>
        </w:trPr>
        <w:tc>
          <w:tcPr>
            <w:tcW w:w="5640" w:type="dxa"/>
            <w:vAlign w:val="bottom"/>
            <w:shd w:val="clear" w:color="auto" w:fill="EDF0FC"/>
          </w:tcPr>
          <w:p>
            <w:pPr>
              <w:ind w:left="20"/>
              <w:spacing w:after="0"/>
              <w:rPr>
                <w:sz w:val="20"/>
                <w:szCs w:val="20"/>
                <w:color w:val="auto"/>
              </w:rPr>
            </w:pPr>
            <w:r>
              <w:rPr>
                <w:rFonts w:ascii="Arial" w:cs="Arial" w:eastAsia="Arial" w:hAnsi="Arial"/>
                <w:sz w:val="16"/>
                <w:szCs w:val="16"/>
                <w:color w:val="auto"/>
              </w:rPr>
              <w:t>All other fees</w:t>
            </w:r>
            <w:r>
              <w:rPr>
                <w:rFonts w:ascii="Arial" w:cs="Arial" w:eastAsia="Arial" w:hAnsi="Arial"/>
                <w:sz w:val="21"/>
                <w:szCs w:val="21"/>
                <w:color w:val="auto"/>
                <w:vertAlign w:val="superscript"/>
              </w:rPr>
              <w:t>(4)</w:t>
            </w:r>
          </w:p>
        </w:tc>
        <w:tc>
          <w:tcPr>
            <w:tcW w:w="4900" w:type="dxa"/>
            <w:vAlign w:val="bottom"/>
            <w:shd w:val="clear" w:color="auto" w:fill="EDF0FC"/>
          </w:tcPr>
          <w:p>
            <w:pPr>
              <w:jc w:val="right"/>
              <w:ind w:right="181"/>
              <w:spacing w:after="0"/>
              <w:rPr>
                <w:sz w:val="20"/>
                <w:szCs w:val="20"/>
                <w:color w:val="auto"/>
              </w:rPr>
            </w:pPr>
            <w:r>
              <w:rPr>
                <w:rFonts w:ascii="Arial" w:cs="Arial" w:eastAsia="Arial" w:hAnsi="Arial"/>
                <w:sz w:val="16"/>
                <w:szCs w:val="16"/>
                <w:color w:val="auto"/>
              </w:rPr>
              <w:t>2</w:t>
            </w:r>
          </w:p>
        </w:tc>
        <w:tc>
          <w:tcPr>
            <w:tcW w:w="700" w:type="dxa"/>
            <w:vAlign w:val="bottom"/>
            <w:shd w:val="clear" w:color="auto" w:fill="EDF0FC"/>
          </w:tcPr>
          <w:p>
            <w:pPr>
              <w:jc w:val="right"/>
              <w:spacing w:after="0"/>
              <w:rPr>
                <w:sz w:val="20"/>
                <w:szCs w:val="20"/>
                <w:color w:val="auto"/>
              </w:rPr>
            </w:pPr>
            <w:r>
              <w:rPr>
                <w:rFonts w:ascii="Arial" w:cs="Arial" w:eastAsia="Arial" w:hAnsi="Arial"/>
                <w:sz w:val="16"/>
                <w:szCs w:val="16"/>
                <w:color w:val="auto"/>
              </w:rPr>
              <w:t>18</w:t>
            </w:r>
          </w:p>
        </w:tc>
      </w:tr>
      <w:tr>
        <w:trPr>
          <w:trHeight w:val="239"/>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w:t>
            </w:r>
          </w:p>
        </w:tc>
        <w:tc>
          <w:tcPr>
            <w:tcW w:w="49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5,739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5,240</w:t>
            </w:r>
          </w:p>
        </w:tc>
      </w:tr>
    </w:tbl>
    <w:p>
      <w:pPr>
        <w:spacing w:after="0" w:line="180" w:lineRule="exact"/>
        <w:rPr>
          <w:sz w:val="20"/>
          <w:szCs w:val="20"/>
          <w:color w:val="auto"/>
        </w:rPr>
      </w:pPr>
    </w:p>
    <w:p>
      <w:pPr>
        <w:ind w:left="200" w:right="60" w:hanging="192"/>
        <w:spacing w:after="0" w:line="296" w:lineRule="auto"/>
        <w:tabs>
          <w:tab w:leader="none" w:pos="187" w:val="left"/>
        </w:tabs>
        <w:numPr>
          <w:ilvl w:val="0"/>
          <w:numId w:val="134"/>
        </w:numPr>
        <w:rPr>
          <w:rFonts w:ascii="Arial" w:cs="Arial" w:eastAsia="Arial" w:hAnsi="Arial"/>
          <w:sz w:val="9"/>
          <w:szCs w:val="9"/>
          <w:color w:val="auto"/>
        </w:rPr>
      </w:pPr>
      <w:r>
        <w:rPr>
          <w:rFonts w:ascii="Arial" w:cs="Arial" w:eastAsia="Arial" w:hAnsi="Arial"/>
          <w:sz w:val="14"/>
          <w:szCs w:val="14"/>
          <w:color w:val="auto"/>
        </w:rPr>
        <w:t>Audit fees consisted of fees expensed for (i) audits of our consolidated financial statements included in our Annual Reports on Form 10-K and related services, (ii) reviews of the interim condensed consolidated financial statements included in our quarterly financial statements, (iii) audits of various entities for statutory and other reporting requirements, (iv) consents and other services related to SEC and other regulatory filings and (v) audits of our internal control over financial reporting (as required by Section 404 of the Sarbanes-Oxley Act of 2002).</w:t>
      </w:r>
    </w:p>
    <w:p>
      <w:pPr>
        <w:spacing w:after="0" w:line="15" w:lineRule="exact"/>
        <w:rPr>
          <w:rFonts w:ascii="Arial" w:cs="Arial" w:eastAsia="Arial" w:hAnsi="Arial"/>
          <w:sz w:val="9"/>
          <w:szCs w:val="9"/>
          <w:color w:val="auto"/>
        </w:rPr>
      </w:pPr>
    </w:p>
    <w:p>
      <w:pPr>
        <w:ind w:left="200" w:right="380" w:hanging="192"/>
        <w:spacing w:after="0" w:line="249" w:lineRule="auto"/>
        <w:tabs>
          <w:tab w:leader="none" w:pos="187" w:val="left"/>
        </w:tabs>
        <w:numPr>
          <w:ilvl w:val="0"/>
          <w:numId w:val="134"/>
        </w:numPr>
        <w:rPr>
          <w:rFonts w:ascii="Arial" w:cs="Arial" w:eastAsia="Arial" w:hAnsi="Arial"/>
          <w:sz w:val="19"/>
          <w:szCs w:val="19"/>
          <w:color w:val="auto"/>
          <w:vertAlign w:val="superscript"/>
        </w:rPr>
      </w:pPr>
      <w:r>
        <w:rPr>
          <w:rFonts w:ascii="Arial" w:cs="Arial" w:eastAsia="Arial" w:hAnsi="Arial"/>
          <w:sz w:val="14"/>
          <w:szCs w:val="14"/>
          <w:color w:val="auto"/>
        </w:rPr>
        <w:t>In 2024, Audit-related fees consisted of fees expensed for reports related to the assessment of compliance with professional standards in connection with a system implementation as well as other assurance and related services. In 2023, Audit-related fees consisted of fees expensed for reports related to the assessment of internal controls.</w:t>
      </w:r>
    </w:p>
    <w:p>
      <w:pPr>
        <w:spacing w:after="0" w:line="46" w:lineRule="exact"/>
        <w:rPr>
          <w:rFonts w:ascii="Arial" w:cs="Arial" w:eastAsia="Arial" w:hAnsi="Arial"/>
          <w:sz w:val="19"/>
          <w:szCs w:val="19"/>
          <w:color w:val="auto"/>
          <w:vertAlign w:val="superscript"/>
        </w:rPr>
      </w:pPr>
    </w:p>
    <w:p>
      <w:pPr>
        <w:ind w:left="200" w:right="120" w:hanging="192"/>
        <w:spacing w:after="0" w:line="303" w:lineRule="auto"/>
        <w:tabs>
          <w:tab w:leader="none" w:pos="187" w:val="left"/>
        </w:tabs>
        <w:numPr>
          <w:ilvl w:val="0"/>
          <w:numId w:val="134"/>
        </w:numPr>
        <w:rPr>
          <w:rFonts w:ascii="Arial" w:cs="Arial" w:eastAsia="Arial" w:hAnsi="Arial"/>
          <w:sz w:val="9"/>
          <w:szCs w:val="9"/>
          <w:color w:val="auto"/>
        </w:rPr>
      </w:pPr>
      <w:r>
        <w:rPr>
          <w:rFonts w:ascii="Arial" w:cs="Arial" w:eastAsia="Arial" w:hAnsi="Arial"/>
          <w:sz w:val="14"/>
          <w:szCs w:val="14"/>
          <w:color w:val="231F20"/>
        </w:rPr>
        <w:t>Tax fees in 2024 consisted of $614,380 related to tax compliance assistance and $582,932 of tax consulting fees related to international and domestic tax matters, including international tax planning. Tax fees in 2023 consisted of $720,915 related to tax compliance assistance and $436,122 of tax consulting fees related to international and domestic tax matters, including international tax planning</w:t>
      </w:r>
      <w:r>
        <w:rPr>
          <w:rFonts w:ascii="Arial" w:cs="Arial" w:eastAsia="Arial" w:hAnsi="Arial"/>
          <w:sz w:val="14"/>
          <w:szCs w:val="14"/>
          <w:color w:val="000000"/>
        </w:rPr>
        <w:t>.</w:t>
      </w:r>
    </w:p>
    <w:p>
      <w:pPr>
        <w:ind w:left="180" w:hanging="172"/>
        <w:spacing w:after="0"/>
        <w:tabs>
          <w:tab w:leader="none" w:pos="180" w:val="left"/>
        </w:tabs>
        <w:numPr>
          <w:ilvl w:val="0"/>
          <w:numId w:val="134"/>
        </w:numPr>
        <w:rPr>
          <w:rFonts w:ascii="Arial" w:cs="Arial" w:eastAsia="Arial" w:hAnsi="Arial"/>
          <w:sz w:val="19"/>
          <w:szCs w:val="19"/>
          <w:color w:val="auto"/>
          <w:vertAlign w:val="superscript"/>
        </w:rPr>
      </w:pPr>
      <w:r>
        <w:rPr>
          <w:rFonts w:ascii="Arial" w:cs="Arial" w:eastAsia="Arial" w:hAnsi="Arial"/>
          <w:sz w:val="14"/>
          <w:szCs w:val="14"/>
          <w:color w:val="auto"/>
        </w:rPr>
        <w:t>In 2024 and 2023, all other fees primarily consisted of fees related to accounting research and disclosure software subscriptions.</w:t>
      </w:r>
    </w:p>
    <w:p>
      <w:pPr>
        <w:spacing w:after="0" w:line="69" w:lineRule="exact"/>
        <w:rPr>
          <w:sz w:val="20"/>
          <w:szCs w:val="20"/>
          <w:color w:val="auto"/>
        </w:rPr>
      </w:pPr>
    </w:p>
    <w:p>
      <w:pPr>
        <w:ind w:right="760"/>
        <w:spacing w:after="0" w:line="290" w:lineRule="auto"/>
        <w:rPr>
          <w:sz w:val="20"/>
          <w:szCs w:val="20"/>
          <w:color w:val="auto"/>
        </w:rPr>
      </w:pPr>
      <w:r>
        <w:rPr>
          <w:rFonts w:ascii="Arial" w:cs="Arial" w:eastAsia="Arial" w:hAnsi="Arial"/>
          <w:sz w:val="40"/>
          <w:szCs w:val="40"/>
          <w:b w:val="1"/>
          <w:bCs w:val="1"/>
          <w:color w:val="auto"/>
        </w:rPr>
        <w:t>Pre-Approval Policy of the Audit and Risk Committee of Services Performed by Independent Auditors</w:t>
      </w:r>
    </w:p>
    <w:p>
      <w:pPr>
        <w:spacing w:after="0" w:line="2"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The Audit Committee has implemented pre-approval policies and procedures related to the provision of audit and non-audit services by the independent auditor to ensure that the independent auditor maintains independence with respect to MSCI. Under these procedures, the Audit Committee pre-approves both the type of services to be provided by the independent auditor and the estimated fees related to those services. During the pre-approval process, the Audit Committee considers the impact of the types of services and the related fees on the independence of the auditor. Even if a service has received general pre-approval, if it involves a fee in excess of $750,000 or relates to tax services, it requires a separate pre-approval of the full Audit Committee. The Audit Committee has delegated authority to the Chair of the Audit Committee to pre-approve certain engagements not requiring approval by the full Audit Committee. The Chair must report, for informational purposes, any pre-approval decisions to the Audit Committee at its next scheduled meeting. The services and fees must be deemed compatible with the maintenance of the auditor’s independence, including compliance with SEC rules and regulations. Management reports to the Audit Committee the actual fees versus pre-approved amounts periodically throughout the year by category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11" w:name="page112"/>
    <w:bookmarkEnd w:id="111"/>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110</w:t>
      </w:r>
      <w:r>
        <w:rPr>
          <w:sz w:val="20"/>
          <w:szCs w:val="20"/>
          <w:color w:val="auto"/>
        </w:rPr>
        <w:tab/>
      </w:r>
      <w:r>
        <w:rPr>
          <w:rFonts w:ascii="Arial" w:cs="Arial" w:eastAsia="Arial" w:hAnsi="Arial"/>
          <w:sz w:val="14"/>
          <w:szCs w:val="14"/>
          <w:b w:val="1"/>
          <w:bCs w:val="1"/>
          <w:color w:val="1A3FD6"/>
        </w:rPr>
        <w:t>2025 PROXY STATEMENT</w:t>
      </w:r>
    </w:p>
    <w:p>
      <w:pPr>
        <w:sectPr>
          <w:pgSz w:w="11900" w:h="16838" w:orient="portrait"/>
          <w:cols w:equalWidth="0" w:num="1">
            <w:col w:w="11180"/>
          </w:cols>
          <w:pgMar w:left="320" w:top="29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Audit and Risk Committee Report</w:t>
      </w:r>
    </w:p>
    <w:p>
      <w:pPr>
        <w:spacing w:after="0" w:line="181"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The Audit Committee operates under a written charter adopted by the Board, which is accessible through the “Corporate Governance” link under the “Investor Resources” tab found on our website’s Investor Relations homepage (</w:t>
      </w:r>
      <w:r>
        <w:rPr>
          <w:rFonts w:ascii="Arial" w:cs="Arial" w:eastAsia="Arial" w:hAnsi="Arial"/>
          <w:sz w:val="16"/>
          <w:szCs w:val="16"/>
          <w:color w:val="1A3FD6"/>
        </w:rPr>
        <w:t>https://ir.msci.com</w:t>
      </w:r>
      <w:r>
        <w:rPr>
          <w:rFonts w:ascii="Arial" w:cs="Arial" w:eastAsia="Arial" w:hAnsi="Arial"/>
          <w:sz w:val="16"/>
          <w:szCs w:val="16"/>
          <w:color w:val="auto"/>
        </w:rPr>
        <w:t>). The Audit Committee is responsible for the oversight of the integrity of the Company’s consolidated financial statements, the Company’s system of internal control over financial reporting, the Company’s risk management, the qualifications and independence of the Company’s independent auditor, the performance of the Company’s internal and independent auditors and the Company’s compliance with legal and regulatory requirements. The Audit Committee has the sole authority and responsibility to appoint, compensate, evaluate and, when appropriate, replace the Company’s independent auditor. The Board has determined that all of the Audit Committee’s members are independent under the applicable independence standards of the NYSE and the Exchange Act.</w:t>
      </w:r>
    </w:p>
    <w:p>
      <w:pPr>
        <w:spacing w:after="0" w:line="25"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Audit Committee serves in an oversight capacity and is not part of the Company’s managerial or operational decision-making process. Management is responsible for the financial reporting process, including the system of internal controls, for the preparation of consolidated financial statements in accordance with accounting principles generally accepted in the United States and for the report on the Company’s internal control over financial reporting. The Company’s independent auditor for the year ended December 31, 2024, PwC, was responsible for auditing the consolidated financial statements included in the Company’s 2024 Annual Report on Form 10-K, expressing an opinion as to their conformity with accounting principles generally accepted in the United States of America and expressing an opinion on the effectiveness of the Company’s internal control over financial reporting, as well as reviewing the Company’s interim condensed consolidated financial statements included in its Quarterly Reports on Form 10-Q. The Audit Committee’s responsibility is to oversee the financial reporting process and to review and discuss management’s report on the Company’s internal control over financial reporting. The Audit Committee relies, without independent verification, on the information provided to us and on the representations made by management, the internal auditor and the independent auditor.</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held ten meetings during the year ended December 31, 2024, and among other things:</w:t>
      </w:r>
    </w:p>
    <w:p>
      <w:pPr>
        <w:spacing w:after="0" w:line="86" w:lineRule="exact"/>
        <w:rPr>
          <w:sz w:val="20"/>
          <w:szCs w:val="20"/>
          <w:color w:val="auto"/>
        </w:rPr>
      </w:pPr>
    </w:p>
    <w:p>
      <w:pPr>
        <w:ind w:left="200" w:hanging="192"/>
        <w:spacing w:after="0"/>
        <w:tabs>
          <w:tab w:leader="none" w:pos="200" w:val="left"/>
        </w:tabs>
        <w:numPr>
          <w:ilvl w:val="0"/>
          <w:numId w:val="135"/>
        </w:numPr>
        <w:rPr>
          <w:rFonts w:ascii="Arial" w:cs="Arial" w:eastAsia="Arial" w:hAnsi="Arial"/>
          <w:sz w:val="16"/>
          <w:szCs w:val="16"/>
          <w:color w:val="1A3FD6"/>
        </w:rPr>
      </w:pPr>
      <w:r>
        <w:rPr>
          <w:rFonts w:ascii="Arial" w:cs="Arial" w:eastAsia="Arial" w:hAnsi="Arial"/>
          <w:sz w:val="16"/>
          <w:szCs w:val="16"/>
          <w:color w:val="auto"/>
        </w:rPr>
        <w:t>reviewed and discussed the Company’s quarterly and annual earnings releases;</w:t>
      </w:r>
    </w:p>
    <w:p>
      <w:pPr>
        <w:spacing w:after="0" w:line="72" w:lineRule="exact"/>
        <w:rPr>
          <w:rFonts w:ascii="Arial" w:cs="Arial" w:eastAsia="Arial" w:hAnsi="Arial"/>
          <w:sz w:val="16"/>
          <w:szCs w:val="16"/>
          <w:color w:val="1A3FD6"/>
        </w:rPr>
      </w:pPr>
    </w:p>
    <w:p>
      <w:pPr>
        <w:ind w:left="200" w:right="80" w:hanging="192"/>
        <w:spacing w:after="0" w:line="281" w:lineRule="auto"/>
        <w:tabs>
          <w:tab w:leader="none" w:pos="197" w:val="left"/>
        </w:tabs>
        <w:numPr>
          <w:ilvl w:val="0"/>
          <w:numId w:val="135"/>
        </w:numPr>
        <w:rPr>
          <w:rFonts w:ascii="Arial" w:cs="Arial" w:eastAsia="Arial" w:hAnsi="Arial"/>
          <w:sz w:val="16"/>
          <w:szCs w:val="16"/>
          <w:color w:val="1A3FD6"/>
        </w:rPr>
      </w:pPr>
      <w:r>
        <w:rPr>
          <w:rFonts w:ascii="Arial" w:cs="Arial" w:eastAsia="Arial" w:hAnsi="Arial"/>
          <w:sz w:val="16"/>
          <w:szCs w:val="16"/>
          <w:color w:val="auto"/>
        </w:rPr>
        <w:t>reviewed and discussed the (i) quarterly unaudited consolidated financial statements and related notes and (ii) audited consolidated financial statements and related notes to the consolidated financial statements for the year ended December 31, 2024 with management and PwC;</w:t>
      </w:r>
    </w:p>
    <w:p>
      <w:pPr>
        <w:spacing w:after="0" w:line="1" w:lineRule="exact"/>
        <w:rPr>
          <w:rFonts w:ascii="Arial" w:cs="Arial" w:eastAsia="Arial" w:hAnsi="Arial"/>
          <w:sz w:val="16"/>
          <w:szCs w:val="16"/>
          <w:color w:val="1A3FD6"/>
        </w:rPr>
      </w:pPr>
    </w:p>
    <w:p>
      <w:pPr>
        <w:ind w:left="200" w:hanging="192"/>
        <w:spacing w:after="0"/>
        <w:tabs>
          <w:tab w:leader="none" w:pos="200" w:val="left"/>
        </w:tabs>
        <w:numPr>
          <w:ilvl w:val="0"/>
          <w:numId w:val="135"/>
        </w:numPr>
        <w:rPr>
          <w:rFonts w:ascii="Arial" w:cs="Arial" w:eastAsia="Arial" w:hAnsi="Arial"/>
          <w:sz w:val="16"/>
          <w:szCs w:val="16"/>
          <w:color w:val="1A3FD6"/>
        </w:rPr>
      </w:pPr>
      <w:r>
        <w:rPr>
          <w:rFonts w:ascii="Arial" w:cs="Arial" w:eastAsia="Arial" w:hAnsi="Arial"/>
          <w:sz w:val="16"/>
          <w:szCs w:val="16"/>
          <w:color w:val="auto"/>
        </w:rPr>
        <w:t>reviewed and discussed the annual plan and scope of work of the independent auditor;</w:t>
      </w:r>
    </w:p>
    <w:p>
      <w:pPr>
        <w:spacing w:after="0" w:line="72" w:lineRule="exact"/>
        <w:rPr>
          <w:rFonts w:ascii="Arial" w:cs="Arial" w:eastAsia="Arial" w:hAnsi="Arial"/>
          <w:sz w:val="16"/>
          <w:szCs w:val="16"/>
          <w:color w:val="1A3FD6"/>
        </w:rPr>
      </w:pPr>
    </w:p>
    <w:p>
      <w:pPr>
        <w:ind w:left="200" w:right="300" w:hanging="192"/>
        <w:spacing w:after="0" w:line="286" w:lineRule="auto"/>
        <w:tabs>
          <w:tab w:leader="none" w:pos="197" w:val="left"/>
        </w:tabs>
        <w:numPr>
          <w:ilvl w:val="0"/>
          <w:numId w:val="135"/>
        </w:numPr>
        <w:rPr>
          <w:rFonts w:ascii="Arial" w:cs="Arial" w:eastAsia="Arial" w:hAnsi="Arial"/>
          <w:sz w:val="16"/>
          <w:szCs w:val="16"/>
          <w:color w:val="1A3FD6"/>
        </w:rPr>
      </w:pPr>
      <w:r>
        <w:rPr>
          <w:rFonts w:ascii="Arial" w:cs="Arial" w:eastAsia="Arial" w:hAnsi="Arial"/>
          <w:sz w:val="16"/>
          <w:szCs w:val="16"/>
          <w:color w:val="auto"/>
        </w:rPr>
        <w:t>reviewed and discussed the annual plan and scope of work of the internal auditor and summaries of significant reports to management by the internal auditor;</w:t>
      </w:r>
    </w:p>
    <w:p>
      <w:pPr>
        <w:spacing w:after="0" w:line="7" w:lineRule="exact"/>
        <w:rPr>
          <w:rFonts w:ascii="Arial" w:cs="Arial" w:eastAsia="Arial" w:hAnsi="Arial"/>
          <w:sz w:val="16"/>
          <w:szCs w:val="16"/>
          <w:color w:val="1A3FD6"/>
        </w:rPr>
      </w:pPr>
    </w:p>
    <w:p>
      <w:pPr>
        <w:ind w:left="200" w:right="220" w:hanging="192"/>
        <w:spacing w:after="0" w:line="281" w:lineRule="auto"/>
        <w:tabs>
          <w:tab w:leader="none" w:pos="197" w:val="left"/>
        </w:tabs>
        <w:numPr>
          <w:ilvl w:val="0"/>
          <w:numId w:val="135"/>
        </w:numPr>
        <w:rPr>
          <w:rFonts w:ascii="Arial" w:cs="Arial" w:eastAsia="Arial" w:hAnsi="Arial"/>
          <w:sz w:val="16"/>
          <w:szCs w:val="16"/>
          <w:color w:val="1A3FD6"/>
        </w:rPr>
      </w:pPr>
      <w:r>
        <w:rPr>
          <w:rFonts w:ascii="Arial" w:cs="Arial" w:eastAsia="Arial" w:hAnsi="Arial"/>
          <w:sz w:val="16"/>
          <w:szCs w:val="16"/>
          <w:color w:val="auto"/>
        </w:rPr>
        <w:t>met with PwC, the internal auditor and Company management in executive sessions to discuss the results of their examinations and evaluations of the Company’s internal controls, and the overall quality of the Company’s financial reporting and compliance programs;</w:t>
      </w:r>
    </w:p>
    <w:p>
      <w:pPr>
        <w:spacing w:after="0" w:line="1" w:lineRule="exact"/>
        <w:rPr>
          <w:rFonts w:ascii="Arial" w:cs="Arial" w:eastAsia="Arial" w:hAnsi="Arial"/>
          <w:sz w:val="16"/>
          <w:szCs w:val="16"/>
          <w:color w:val="1A3FD6"/>
        </w:rPr>
      </w:pPr>
    </w:p>
    <w:p>
      <w:pPr>
        <w:ind w:left="200" w:right="520" w:hanging="192"/>
        <w:spacing w:after="0" w:line="290" w:lineRule="auto"/>
        <w:tabs>
          <w:tab w:leader="none" w:pos="197" w:val="left"/>
        </w:tabs>
        <w:numPr>
          <w:ilvl w:val="0"/>
          <w:numId w:val="135"/>
        </w:numPr>
        <w:rPr>
          <w:rFonts w:ascii="Arial" w:cs="Arial" w:eastAsia="Arial" w:hAnsi="Arial"/>
          <w:sz w:val="16"/>
          <w:szCs w:val="16"/>
          <w:color w:val="1A3FD6"/>
        </w:rPr>
      </w:pPr>
      <w:r>
        <w:rPr>
          <w:rFonts w:ascii="Arial" w:cs="Arial" w:eastAsia="Arial" w:hAnsi="Arial"/>
          <w:sz w:val="16"/>
          <w:szCs w:val="16"/>
          <w:color w:val="auto"/>
        </w:rPr>
        <w:t>reviewed and discussed the critical accounting policies set forth in the Company’s Annual Report on Form 10-K and reviewed critical audit matters reported by PwC;</w:t>
      </w:r>
    </w:p>
    <w:p>
      <w:pPr>
        <w:ind w:left="200" w:right="80" w:hanging="192"/>
        <w:spacing w:after="0" w:line="290" w:lineRule="auto"/>
        <w:tabs>
          <w:tab w:leader="none" w:pos="197" w:val="left"/>
        </w:tabs>
        <w:numPr>
          <w:ilvl w:val="0"/>
          <w:numId w:val="135"/>
        </w:numPr>
        <w:rPr>
          <w:rFonts w:ascii="Arial" w:cs="Arial" w:eastAsia="Arial" w:hAnsi="Arial"/>
          <w:sz w:val="16"/>
          <w:szCs w:val="16"/>
          <w:color w:val="1A3FD6"/>
        </w:rPr>
      </w:pPr>
      <w:r>
        <w:rPr>
          <w:rFonts w:ascii="Arial" w:cs="Arial" w:eastAsia="Arial" w:hAnsi="Arial"/>
          <w:sz w:val="16"/>
          <w:szCs w:val="16"/>
          <w:color w:val="auto"/>
        </w:rPr>
        <w:t>reviewed business and financial market conditions, including periodic assessments of risks posed to MSCI’s operations and financial condition (including those related to technology and cybersecurity);</w:t>
      </w:r>
    </w:p>
    <w:p>
      <w:pPr>
        <w:ind w:left="200" w:hanging="192"/>
        <w:spacing w:after="0"/>
        <w:tabs>
          <w:tab w:leader="none" w:pos="200" w:val="left"/>
        </w:tabs>
        <w:numPr>
          <w:ilvl w:val="0"/>
          <w:numId w:val="135"/>
        </w:numPr>
        <w:rPr>
          <w:rFonts w:ascii="Arial" w:cs="Arial" w:eastAsia="Arial" w:hAnsi="Arial"/>
          <w:sz w:val="16"/>
          <w:szCs w:val="16"/>
          <w:color w:val="1A3FD6"/>
        </w:rPr>
      </w:pPr>
      <w:r>
        <w:rPr>
          <w:rFonts w:ascii="Arial" w:cs="Arial" w:eastAsia="Arial" w:hAnsi="Arial"/>
          <w:sz w:val="16"/>
          <w:szCs w:val="16"/>
          <w:color w:val="auto"/>
        </w:rPr>
        <w:t>reviewed and discussed reports from MSCI’s Disclosure Committee; and</w:t>
      </w:r>
    </w:p>
    <w:p>
      <w:pPr>
        <w:spacing w:after="0" w:line="59" w:lineRule="exact"/>
        <w:rPr>
          <w:rFonts w:ascii="Arial" w:cs="Arial" w:eastAsia="Arial" w:hAnsi="Arial"/>
          <w:sz w:val="16"/>
          <w:szCs w:val="16"/>
          <w:color w:val="1A3FD6"/>
        </w:rPr>
      </w:pPr>
    </w:p>
    <w:p>
      <w:pPr>
        <w:ind w:left="200" w:hanging="192"/>
        <w:spacing w:after="0"/>
        <w:tabs>
          <w:tab w:leader="none" w:pos="200" w:val="left"/>
        </w:tabs>
        <w:numPr>
          <w:ilvl w:val="0"/>
          <w:numId w:val="135"/>
        </w:numPr>
        <w:rPr>
          <w:rFonts w:ascii="Arial" w:cs="Arial" w:eastAsia="Arial" w:hAnsi="Arial"/>
          <w:sz w:val="16"/>
          <w:szCs w:val="16"/>
          <w:color w:val="1A3FD6"/>
        </w:rPr>
      </w:pPr>
      <w:r>
        <w:rPr>
          <w:rFonts w:ascii="Arial" w:cs="Arial" w:eastAsia="Arial" w:hAnsi="Arial"/>
          <w:sz w:val="16"/>
          <w:szCs w:val="16"/>
          <w:color w:val="auto"/>
        </w:rPr>
        <w:t>evaluated the performance of PwC and approved their engagement as the Company’s independent auditor.</w:t>
      </w:r>
    </w:p>
    <w:p>
      <w:pPr>
        <w:spacing w:after="0" w:line="127"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PwC also provided to the Audit Committee the written disclosures and the letters required by the applicable PCAOB requirements regarding PwC’s communications with the Audit Committee concerning independence, and represented that it is independent from the Company. We discussed with PwC their independence from the Company, and considered whether the services they provided to the Company beyond those rendered in connection with their integrated audit of the Company’s consolidated financial statements and internal control over financial reporting, and the reviews of the Company’s interim condensed consolidated financial statements included in its Quarterly Reports on Form 10-Q, were compatible with maintaining their independence.</w:t>
      </w:r>
    </w:p>
    <w:p>
      <w:pPr>
        <w:spacing w:after="0" w:line="8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Audit Committee is also responsible for reviewing and evaluating the senior members of the PwC team, particularly the lead audit partner and any other partners on the audit engagement teams, and ensuring required rotation of audit partners every five years, as required by SEC rules. One or more members of the Audit Committee also meet with candidates for the lead audit partner role, and the Audit Committee discusses the appointment before a rotation occurs. Our PwC lead audit partner for 2023 had been working on the Company’s audits since the first quarter of 2018 and completed her five-year rotation upon the filing of our Annual Report on Form 10-K with respect to fiscal year 2023. In connection with this rotation, the Audit Committee approved a new PwC lead audit partner, who commenced work on the Company’s audit in the first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2" w:right="399"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9060"/>
              <w:spacing w:after="0"/>
              <w:rPr>
                <w:sz w:val="20"/>
                <w:szCs w:val="20"/>
                <w:color w:val="auto"/>
              </w:rPr>
            </w:pPr>
            <w:r>
              <w:rPr>
                <w:rFonts w:ascii="Arial" w:cs="Arial" w:eastAsia="Arial" w:hAnsi="Arial"/>
                <w:sz w:val="14"/>
                <w:szCs w:val="14"/>
                <w:b w:val="1"/>
                <w:bCs w:val="1"/>
                <w:color w:val="1A3FD6"/>
              </w:rPr>
              <w:t>Audit Matters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111</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0" w:lineRule="exact"/>
        <w:rPr>
          <w:sz w:val="20"/>
          <w:szCs w:val="20"/>
          <w:color w:val="auto"/>
        </w:rPr>
      </w:pPr>
    </w:p>
    <w:p>
      <w:pPr>
        <w:spacing w:after="0" w:line="204"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During the year ended December 31, 2024, the Audit Committee also received regular updates on the amount of fees and scope of audit, audit-related and tax services provided. Pursuant to the pre-approval policies and procedures related to the provision of audit and non-audit services by the independent auditors as described above within “—Pre-Approval Policy of the Audit Committee of Services Performed by Independent Auditors,” the Audit Committee approved, among other things, fees related to the integrated audits, statutory audits, consultations and certain non-audit services. The Audit Committee also approved certain fees relating to tax services consisting of compliance and advisory services related to (i) tax consulting fees related to international and domestic tax matters, including international corporate restructurings, and (ii) tax compliance assistance.</w:t>
      </w:r>
    </w:p>
    <w:p>
      <w:pPr>
        <w:spacing w:after="0" w:line="80" w:lineRule="exact"/>
        <w:rPr>
          <w:sz w:val="20"/>
          <w:szCs w:val="20"/>
          <w:color w:val="auto"/>
        </w:rPr>
      </w:pPr>
    </w:p>
    <w:p>
      <w:pPr>
        <w:jc w:val="both"/>
        <w:ind w:right="80"/>
        <w:spacing w:after="0" w:line="292" w:lineRule="auto"/>
        <w:rPr>
          <w:sz w:val="20"/>
          <w:szCs w:val="20"/>
          <w:color w:val="auto"/>
        </w:rPr>
      </w:pPr>
      <w:r>
        <w:rPr>
          <w:rFonts w:ascii="Arial" w:cs="Arial" w:eastAsia="Arial" w:hAnsi="Arial"/>
          <w:sz w:val="16"/>
          <w:szCs w:val="16"/>
          <w:color w:val="auto"/>
        </w:rPr>
        <w:t>Based on our review and these meetings, discussions and reports described above, and subject to the limitations on our role and responsibilities referred to above and in the Audit Committee’s charter, we recommended to the Board that the Company’s audited consolidated financial statements be included in the Company’s 2024 Annual Report on Form 10-K.</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 xml:space="preserve">Marcus L. Smith </w:t>
      </w:r>
      <w:r>
        <w:rPr>
          <w:rFonts w:ascii="Arial" w:cs="Arial" w:eastAsia="Arial" w:hAnsi="Arial"/>
          <w:sz w:val="16"/>
          <w:szCs w:val="16"/>
          <w:color w:val="000000"/>
        </w:rPr>
        <w:t>(Chair)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Robert G. Ashe</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Wayne Edmunds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Rajat Taneja</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1A3FD6"/>
        </w:rPr>
        <w:t>June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13" w:name="page114"/>
    <w:bookmarkEnd w:id="113"/>
    <w:p>
      <w:pPr>
        <w:spacing w:after="0"/>
        <w:tabs>
          <w:tab w:leader="none" w:pos="6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112</w:t>
      </w:r>
      <w:r>
        <w:rPr>
          <w:sz w:val="20"/>
          <w:szCs w:val="20"/>
          <w:color w:val="auto"/>
        </w:rPr>
        <w:tab/>
      </w:r>
      <w:r>
        <w:rPr>
          <w:rFonts w:ascii="Arial" w:cs="Arial" w:eastAsia="Arial" w:hAnsi="Arial"/>
          <w:sz w:val="14"/>
          <w:szCs w:val="14"/>
          <w:b w:val="1"/>
          <w:bCs w:val="1"/>
          <w:color w:val="1A3FD6"/>
        </w:rPr>
        <w:t>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434975</wp:posOffset>
            </wp:positionV>
            <wp:extent cx="7132320" cy="10204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3232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080"/>
        <w:spacing w:after="0"/>
        <w:rPr>
          <w:sz w:val="20"/>
          <w:szCs w:val="20"/>
          <w:color w:val="auto"/>
        </w:rPr>
      </w:pPr>
      <w:r>
        <w:rPr>
          <w:rFonts w:ascii="Arial" w:cs="Arial" w:eastAsia="Arial" w:hAnsi="Arial"/>
          <w:sz w:val="16"/>
          <w:szCs w:val="16"/>
          <w:b w:val="1"/>
          <w:bCs w:val="1"/>
          <w:color w:val="auto"/>
        </w:rPr>
        <w:t>PROPOSAL NO. 4</w:t>
      </w:r>
    </w:p>
    <w:p>
      <w:pPr>
        <w:spacing w:after="0" w:line="62" w:lineRule="exact"/>
        <w:rPr>
          <w:sz w:val="20"/>
          <w:szCs w:val="20"/>
          <w:color w:val="auto"/>
        </w:rPr>
      </w:pPr>
    </w:p>
    <w:p>
      <w:pPr>
        <w:ind w:left="1080" w:right="2760"/>
        <w:spacing w:after="0" w:line="274" w:lineRule="auto"/>
        <w:rPr>
          <w:sz w:val="20"/>
          <w:szCs w:val="20"/>
          <w:color w:val="auto"/>
        </w:rPr>
      </w:pPr>
      <w:r>
        <w:rPr>
          <w:rFonts w:ascii="Arial" w:cs="Arial" w:eastAsia="Arial" w:hAnsi="Arial"/>
          <w:sz w:val="36"/>
          <w:szCs w:val="36"/>
          <w:b w:val="1"/>
          <w:bCs w:val="1"/>
          <w:color w:val="1A3FD6"/>
        </w:rPr>
        <w:t>Ratification of the Appointment of MSCI’s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83820</wp:posOffset>
            </wp:positionV>
            <wp:extent cx="7132320" cy="5740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32320" cy="574040"/>
                    </a:xfrm>
                    <a:prstGeom prst="rect">
                      <a:avLst/>
                    </a:prstGeom>
                    <a:noFill/>
                  </pic:spPr>
                </pic:pic>
              </a:graphicData>
            </a:graphic>
          </wp:anchor>
        </w:drawing>
      </w:r>
    </w:p>
    <w:p>
      <w:pPr>
        <w:spacing w:after="0" w:line="179" w:lineRule="exact"/>
        <w:rPr>
          <w:sz w:val="20"/>
          <w:szCs w:val="20"/>
          <w:color w:val="auto"/>
        </w:rPr>
      </w:pPr>
    </w:p>
    <w:p>
      <w:pPr>
        <w:ind w:left="1660" w:right="100"/>
        <w:spacing w:after="0" w:line="321" w:lineRule="auto"/>
        <w:rPr>
          <w:sz w:val="20"/>
          <w:szCs w:val="20"/>
          <w:color w:val="auto"/>
        </w:rPr>
      </w:pPr>
      <w:r>
        <w:rPr>
          <w:rFonts w:ascii="Arial" w:cs="Arial" w:eastAsia="Arial" w:hAnsi="Arial"/>
          <w:sz w:val="16"/>
          <w:szCs w:val="16"/>
          <w:color w:val="FFFFFF"/>
        </w:rPr>
        <w:t xml:space="preserve">Our Board of Directors recommends that you vote </w:t>
      </w:r>
      <w:r>
        <w:rPr>
          <w:rFonts w:ascii="Arial" w:cs="Arial" w:eastAsia="Arial" w:hAnsi="Arial"/>
          <w:sz w:val="16"/>
          <w:szCs w:val="16"/>
          <w:b w:val="1"/>
          <w:bCs w:val="1"/>
          <w:color w:val="FFFFFF"/>
        </w:rPr>
        <w:t>“FOR”</w:t>
      </w:r>
      <w:r>
        <w:rPr>
          <w:rFonts w:ascii="Arial" w:cs="Arial" w:eastAsia="Arial" w:hAnsi="Arial"/>
          <w:sz w:val="16"/>
          <w:szCs w:val="16"/>
          <w:color w:val="FFFFFF"/>
        </w:rPr>
        <w:t xml:space="preserve"> the ratification of the appointment of PricewaterhouseCoopers LLP as our independent auditor.</w:t>
      </w:r>
    </w:p>
    <w:p>
      <w:pPr>
        <w:spacing w:after="0" w:line="34" w:lineRule="exact"/>
        <w:rPr>
          <w:sz w:val="20"/>
          <w:szCs w:val="20"/>
          <w:color w:val="auto"/>
        </w:rPr>
      </w:pPr>
    </w:p>
    <w:p>
      <w:pPr>
        <w:ind w:left="1660"/>
        <w:spacing w:after="0"/>
        <w:rPr>
          <w:sz w:val="20"/>
          <w:szCs w:val="20"/>
          <w:color w:val="auto"/>
        </w:rPr>
      </w:pPr>
      <w:r>
        <w:rPr>
          <w:rFonts w:ascii="Arial" w:cs="Arial" w:eastAsia="Arial" w:hAnsi="Arial"/>
          <w:sz w:val="16"/>
          <w:szCs w:val="16"/>
          <w:color w:val="FFFFFF"/>
        </w:rPr>
        <w:t xml:space="preserve">Proxies solicited by our Board will be voted </w:t>
      </w:r>
      <w:r>
        <w:rPr>
          <w:rFonts w:ascii="Arial" w:cs="Arial" w:eastAsia="Arial" w:hAnsi="Arial"/>
          <w:sz w:val="16"/>
          <w:szCs w:val="16"/>
          <w:b w:val="1"/>
          <w:bCs w:val="1"/>
          <w:color w:val="FFFFFF"/>
        </w:rPr>
        <w:t>“FOR”</w:t>
      </w:r>
      <w:r>
        <w:rPr>
          <w:rFonts w:ascii="Arial" w:cs="Arial" w:eastAsia="Arial" w:hAnsi="Arial"/>
          <w:sz w:val="16"/>
          <w:szCs w:val="16"/>
          <w:color w:val="FFFFFF"/>
        </w:rPr>
        <w:t xml:space="preserve"> this ratification unless otherwise instructed.</w:t>
      </w:r>
    </w:p>
    <w:p>
      <w:pPr>
        <w:spacing w:after="0" w:line="200" w:lineRule="exact"/>
        <w:rPr>
          <w:sz w:val="20"/>
          <w:szCs w:val="20"/>
          <w:color w:val="auto"/>
        </w:rPr>
      </w:pPr>
    </w:p>
    <w:p>
      <w:pPr>
        <w:spacing w:after="0" w:line="210" w:lineRule="exact"/>
        <w:rPr>
          <w:sz w:val="20"/>
          <w:szCs w:val="20"/>
          <w:color w:val="auto"/>
        </w:rPr>
      </w:pPr>
    </w:p>
    <w:p>
      <w:pPr>
        <w:ind w:left="120"/>
        <w:spacing w:after="0" w:line="292" w:lineRule="auto"/>
        <w:rPr>
          <w:sz w:val="20"/>
          <w:szCs w:val="20"/>
          <w:color w:val="auto"/>
        </w:rPr>
      </w:pPr>
      <w:r>
        <w:rPr>
          <w:rFonts w:ascii="Arial" w:cs="Arial" w:eastAsia="Arial" w:hAnsi="Arial"/>
          <w:sz w:val="16"/>
          <w:szCs w:val="16"/>
          <w:color w:val="auto"/>
        </w:rPr>
        <w:t>The Audit Committee appointed PricewaterhouseCoopers LLP (“PwC”) as independent auditor for 2025 and presents this selection to the shareholders for ratification. PwC will audit our consolidated financial statements for the year ended December 31, 2025 and perform other permissible pre-approved services.</w:t>
      </w:r>
    </w:p>
    <w:p>
      <w:pPr>
        <w:spacing w:after="0" w:line="71"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A PwC representative will attend the 2025 Annual Meeting to respond to your questions and will have the opportunity to make a statement if he or she desires to do so. If our shareholders fail to ratify the appointment of PwC, it will be regarded as notice to the Board and the Audit Committee to consider the selection of a different firm. Even if shareholders ratify the selection of PwC, the Audit Committee, in its discretion, may select a new independent auditor at any time during the year if it believes that the change would be in the best interest of the Company.</w:t>
      </w:r>
    </w:p>
    <w:p>
      <w:pPr>
        <w:spacing w:after="0" w:line="5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The Audit Committee periodically reviews the engagement of the independent auditor to assess, among other things, the skills, experience, service levels and costs associated with conducting the annual audit of the Company’s financial statements. PwC has served as our independent auditor since March 2014. The Audit Committee believes that the tenure of our independent auditor since March 2014 provides significant benefits, including deep institutional knowledge and expertise of our operations and business, enhanced audit quality, and efficiencies that contribute to the integrity and reliability of our financial reporting.</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1A3FD6"/>
        </w:rPr>
        <w:t>VOTE REQUIRED AND RECOMMENDATION</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affirmative vote of a majority of the votes cast at our 2025 Annual Meeting, at which a quorum is present, is required to approve Proposal No. 4.</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Abstentions shall not be treated as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977900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20" w:top="292" w:right="55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7240"/>
              <w:spacing w:after="0"/>
              <w:rPr>
                <w:sz w:val="20"/>
                <w:szCs w:val="20"/>
                <w:color w:val="auto"/>
              </w:rPr>
            </w:pPr>
            <w:r>
              <w:rPr>
                <w:rFonts w:ascii="Arial" w:cs="Arial" w:eastAsia="Arial" w:hAnsi="Arial"/>
                <w:sz w:val="14"/>
                <w:szCs w:val="14"/>
                <w:b w:val="1"/>
                <w:bCs w:val="1"/>
                <w:color w:val="1A3FD6"/>
              </w:rPr>
              <w:t>Beneficial Ownership of Common Stock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113</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0" w:lineRule="exact"/>
        <w:rPr>
          <w:sz w:val="20"/>
          <w:szCs w:val="20"/>
          <w:color w:val="auto"/>
        </w:rPr>
      </w:pPr>
    </w:p>
    <w:p>
      <w:pPr>
        <w:spacing w:after="0" w:line="291" w:lineRule="exact"/>
        <w:rPr>
          <w:sz w:val="20"/>
          <w:szCs w:val="20"/>
          <w:color w:val="auto"/>
        </w:rPr>
      </w:pPr>
    </w:p>
    <w:p>
      <w:pPr>
        <w:ind w:left="1380" w:right="4120"/>
        <w:spacing w:after="0" w:line="281" w:lineRule="auto"/>
        <w:rPr>
          <w:sz w:val="20"/>
          <w:szCs w:val="20"/>
          <w:color w:val="auto"/>
        </w:rPr>
      </w:pPr>
      <w:r>
        <w:rPr>
          <w:rFonts w:ascii="Arial" w:cs="Arial" w:eastAsia="Arial" w:hAnsi="Arial"/>
          <w:sz w:val="50"/>
          <w:szCs w:val="50"/>
          <w:b w:val="1"/>
          <w:bCs w:val="1"/>
          <w:color w:val="1A3FD6"/>
        </w:rPr>
        <w:t>Beneficial Ownership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-797560</wp:posOffset>
            </wp:positionV>
            <wp:extent cx="488315" cy="61722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88315" cy="61722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Stock Ownership of Executive Officers and Directors</w:t>
      </w:r>
    </w:p>
    <w:p>
      <w:pPr>
        <w:spacing w:after="0" w:line="181"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We require members of our Executive Committee (which includes all of our executive officers) and our directors to comply with our stock ownership guidelines to further align their interests with the interests of our shareholders. As of the date of this Proxy Statement, all of the members of our Executive Committee and our directors are in compliance with the applicable stock ownership guidelines. See “Compensation Matters—Compensation Discussion and Analysis—Stock Ownership Guidelines” on page 80 of this Proxy Statement and “Director Compensation and Stock Ownership Guidelines—Non-Employee Director Stock Ownership Guidelines” on page 55 of this Proxy Statement for additional information regarding our stock ownership guidelines for the members of our Executive Committee and our directors, respectively.</w:t>
      </w:r>
    </w:p>
    <w:p>
      <w:pPr>
        <w:spacing w:after="0" w:line="66" w:lineRule="exact"/>
        <w:rPr>
          <w:sz w:val="20"/>
          <w:szCs w:val="20"/>
          <w:color w:val="auto"/>
        </w:rPr>
      </w:pPr>
    </w:p>
    <w:p>
      <w:pPr>
        <w:jc w:val="both"/>
        <w:ind w:right="260"/>
        <w:spacing w:after="0" w:line="289" w:lineRule="auto"/>
        <w:rPr>
          <w:sz w:val="20"/>
          <w:szCs w:val="20"/>
          <w:color w:val="auto"/>
        </w:rPr>
      </w:pPr>
      <w:r>
        <w:rPr>
          <w:rFonts w:ascii="Arial" w:cs="Arial" w:eastAsia="Arial" w:hAnsi="Arial"/>
          <w:sz w:val="16"/>
          <w:szCs w:val="16"/>
          <w:color w:val="auto"/>
        </w:rPr>
        <w:t>The following table sets forth the beneficial ownership of our common stock by each of our NEOs and directors, and by all of our directors and executive officers as of February 28, 2025 as a group. The address for each of our executive officers and directors is 7 World Trade Center, 250 Greenwich Street, 49th Floor, New York, New York 10007. Percentage of share ownership amounts are based on 77,601,625 shares of our common stock outstanding as of February 28,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Right to</w:t>
            </w:r>
          </w:p>
        </w:tc>
        <w:tc>
          <w:tcPr>
            <w:tcW w:w="1340" w:type="dxa"/>
            <w:vAlign w:val="bottom"/>
          </w:tcPr>
          <w:p>
            <w:pPr>
              <w:jc w:val="right"/>
              <w:ind w:right="260"/>
              <w:spacing w:after="0"/>
              <w:rPr>
                <w:sz w:val="20"/>
                <w:szCs w:val="20"/>
                <w:color w:val="auto"/>
              </w:rPr>
            </w:pPr>
            <w:r>
              <w:rPr>
                <w:rFonts w:ascii="Arial" w:cs="Arial" w:eastAsia="Arial" w:hAnsi="Arial"/>
                <w:sz w:val="14"/>
                <w:szCs w:val="14"/>
                <w:b w:val="1"/>
                <w:bCs w:val="1"/>
                <w:color w:val="auto"/>
              </w:rPr>
              <w:t>Beneficial</w:t>
            </w: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60"/>
        </w:trPr>
        <w:tc>
          <w:tcPr>
            <w:tcW w:w="6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340" w:type="dxa"/>
            <w:vAlign w:val="bottom"/>
          </w:tcPr>
          <w:p>
            <w:pPr>
              <w:jc w:val="right"/>
              <w:ind w:right="260"/>
              <w:spacing w:after="0" w:line="159" w:lineRule="exact"/>
              <w:rPr>
                <w:sz w:val="20"/>
                <w:szCs w:val="20"/>
                <w:color w:val="auto"/>
              </w:rPr>
            </w:pPr>
            <w:r>
              <w:rPr>
                <w:rFonts w:ascii="Arial" w:cs="Arial" w:eastAsia="Arial" w:hAnsi="Arial"/>
                <w:sz w:val="14"/>
                <w:szCs w:val="14"/>
                <w:b w:val="1"/>
                <w:bCs w:val="1"/>
                <w:color w:val="auto"/>
              </w:rPr>
              <w:t>Ownership</w:t>
            </w: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10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Named Executive Officers</w:t>
            </w:r>
          </w:p>
        </w:tc>
        <w:tc>
          <w:tcPr>
            <w:tcW w:w="1540" w:type="dxa"/>
            <w:vAlign w:val="bottom"/>
            <w:tcBorders>
              <w:bottom w:val="single" w:sz="8" w:color="1A3FD6"/>
            </w:tcBorders>
          </w:tcPr>
          <w:p>
            <w:pPr>
              <w:jc w:val="right"/>
              <w:ind w:right="220"/>
              <w:spacing w:after="0"/>
              <w:rPr>
                <w:sz w:val="20"/>
                <w:szCs w:val="20"/>
                <w:color w:val="auto"/>
              </w:rPr>
            </w:pPr>
            <w:r>
              <w:rPr>
                <w:rFonts w:ascii="Arial" w:cs="Arial" w:eastAsia="Arial" w:hAnsi="Arial"/>
                <w:sz w:val="14"/>
                <w:szCs w:val="14"/>
                <w:b w:val="1"/>
                <w:bCs w:val="1"/>
                <w:color w:val="auto"/>
              </w:rPr>
              <w:t>Shares</w:t>
            </w:r>
            <w:r>
              <w:rPr>
                <w:rFonts w:ascii="Arial" w:cs="Arial" w:eastAsia="Arial" w:hAnsi="Arial"/>
                <w:sz w:val="18"/>
                <w:szCs w:val="18"/>
                <w:b w:val="1"/>
                <w:bCs w:val="1"/>
                <w:color w:val="auto"/>
                <w:vertAlign w:val="superscript"/>
              </w:rPr>
              <w:t>(1)</w:t>
            </w:r>
          </w:p>
        </w:tc>
        <w:tc>
          <w:tcPr>
            <w:tcW w:w="1200" w:type="dxa"/>
            <w:vAlign w:val="bottom"/>
            <w:tcBorders>
              <w:bottom w:val="single" w:sz="8" w:color="1A3FD6"/>
            </w:tcBorders>
          </w:tcPr>
          <w:p>
            <w:pPr>
              <w:jc w:val="right"/>
              <w:ind w:right="180"/>
              <w:spacing w:after="0"/>
              <w:rPr>
                <w:sz w:val="20"/>
                <w:szCs w:val="20"/>
                <w:color w:val="auto"/>
              </w:rPr>
            </w:pPr>
            <w:r>
              <w:rPr>
                <w:rFonts w:ascii="Arial" w:cs="Arial" w:eastAsia="Arial" w:hAnsi="Arial"/>
                <w:sz w:val="14"/>
                <w:szCs w:val="14"/>
                <w:b w:val="1"/>
                <w:bCs w:val="1"/>
                <w:color w:val="auto"/>
              </w:rPr>
              <w:t>Acquire</w:t>
            </w:r>
            <w:r>
              <w:rPr>
                <w:rFonts w:ascii="Arial" w:cs="Arial" w:eastAsia="Arial" w:hAnsi="Arial"/>
                <w:sz w:val="18"/>
                <w:szCs w:val="18"/>
                <w:b w:val="1"/>
                <w:bCs w:val="1"/>
                <w:color w:val="auto"/>
                <w:vertAlign w:val="superscript"/>
              </w:rPr>
              <w:t>(2)</w:t>
            </w:r>
          </w:p>
        </w:tc>
        <w:tc>
          <w:tcPr>
            <w:tcW w:w="1340" w:type="dxa"/>
            <w:vAlign w:val="bottom"/>
            <w:tcBorders>
              <w:bottom w:val="single" w:sz="8" w:color="1A3FD6"/>
            </w:tcBorders>
          </w:tcPr>
          <w:p>
            <w:pPr>
              <w:jc w:val="right"/>
              <w:ind w:right="26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9"/>
                <w:szCs w:val="9"/>
                <w:b w:val="1"/>
                <w:bCs w:val="1"/>
                <w:color w:val="auto"/>
              </w:rPr>
              <w:t>(3)</w:t>
            </w:r>
          </w:p>
        </w:tc>
        <w:tc>
          <w:tcPr>
            <w:tcW w:w="106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Class</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236"/>
        </w:trPr>
        <w:tc>
          <w:tcPr>
            <w:tcW w:w="6100" w:type="dxa"/>
            <w:vAlign w:val="bottom"/>
          </w:tcPr>
          <w:p>
            <w:pPr>
              <w:ind w:left="20"/>
              <w:spacing w:after="0" w:line="237" w:lineRule="exact"/>
              <w:rPr>
                <w:sz w:val="20"/>
                <w:szCs w:val="20"/>
                <w:color w:val="auto"/>
              </w:rPr>
            </w:pPr>
            <w:r>
              <w:rPr>
                <w:rFonts w:ascii="Arial" w:cs="Arial" w:eastAsia="Arial" w:hAnsi="Arial"/>
                <w:sz w:val="16"/>
                <w:szCs w:val="16"/>
                <w:b w:val="1"/>
                <w:bCs w:val="1"/>
                <w:color w:val="1A3FD6"/>
              </w:rPr>
              <w:t>Henry A. Fernandez</w:t>
            </w:r>
            <w:r>
              <w:rPr>
                <w:rFonts w:ascii="Arial" w:cs="Arial" w:eastAsia="Arial" w:hAnsi="Arial"/>
                <w:sz w:val="21"/>
                <w:szCs w:val="21"/>
                <w:b w:val="1"/>
                <w:bCs w:val="1"/>
                <w:color w:val="1A3FD6"/>
                <w:vertAlign w:val="superscript"/>
              </w:rPr>
              <w:t>(5)</w:t>
            </w:r>
          </w:p>
        </w:tc>
        <w:tc>
          <w:tcPr>
            <w:tcW w:w="1540" w:type="dxa"/>
            <w:vAlign w:val="bottom"/>
          </w:tcPr>
          <w:p>
            <w:pPr>
              <w:jc w:val="right"/>
              <w:ind w:right="260"/>
              <w:spacing w:after="0"/>
              <w:rPr>
                <w:sz w:val="20"/>
                <w:szCs w:val="20"/>
                <w:color w:val="auto"/>
              </w:rPr>
            </w:pPr>
            <w:r>
              <w:rPr>
                <w:rFonts w:ascii="Arial" w:cs="Arial" w:eastAsia="Arial" w:hAnsi="Arial"/>
                <w:sz w:val="16"/>
                <w:szCs w:val="16"/>
                <w:color w:val="auto"/>
              </w:rPr>
              <w:t>2,153,237</w:t>
            </w: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29,564</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2,182,801</w:t>
            </w:r>
          </w:p>
        </w:tc>
        <w:tc>
          <w:tcPr>
            <w:tcW w:w="1060" w:type="dxa"/>
            <w:vAlign w:val="bottom"/>
          </w:tcPr>
          <w:p>
            <w:pPr>
              <w:jc w:val="right"/>
              <w:spacing w:after="0"/>
              <w:rPr>
                <w:sz w:val="20"/>
                <w:szCs w:val="20"/>
                <w:color w:val="auto"/>
              </w:rPr>
            </w:pPr>
            <w:r>
              <w:rPr>
                <w:rFonts w:ascii="Arial" w:cs="Arial" w:eastAsia="Arial" w:hAnsi="Arial"/>
                <w:sz w:val="16"/>
                <w:szCs w:val="16"/>
                <w:color w:val="auto"/>
              </w:rPr>
              <w:t>2.77 %</w:t>
            </w:r>
          </w:p>
        </w:tc>
        <w:tc>
          <w:tcPr>
            <w:tcW w:w="0" w:type="dxa"/>
            <w:vAlign w:val="bottom"/>
          </w:tcPr>
          <w:p>
            <w:pPr>
              <w:spacing w:after="0"/>
              <w:rPr>
                <w:sz w:val="1"/>
                <w:szCs w:val="1"/>
                <w:color w:val="auto"/>
              </w:rPr>
            </w:pPr>
          </w:p>
        </w:tc>
      </w:tr>
      <w:tr>
        <w:trPr>
          <w:trHeight w:val="243"/>
        </w:trPr>
        <w:tc>
          <w:tcPr>
            <w:tcW w:w="610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Andrew C. Wiechmann</w:t>
            </w:r>
          </w:p>
        </w:tc>
        <w:tc>
          <w:tcPr>
            <w:tcW w:w="1540" w:type="dxa"/>
            <w:vAlign w:val="bottom"/>
            <w:shd w:val="clear" w:color="auto" w:fill="EDF0FC"/>
          </w:tcPr>
          <w:p>
            <w:pPr>
              <w:jc w:val="right"/>
              <w:ind w:right="260"/>
              <w:spacing w:after="0"/>
              <w:rPr>
                <w:sz w:val="20"/>
                <w:szCs w:val="20"/>
                <w:color w:val="auto"/>
              </w:rPr>
            </w:pPr>
            <w:r>
              <w:rPr>
                <w:rFonts w:ascii="Arial" w:cs="Arial" w:eastAsia="Arial" w:hAnsi="Arial"/>
                <w:sz w:val="16"/>
                <w:szCs w:val="16"/>
                <w:color w:val="auto"/>
              </w:rPr>
              <w:t>18,099</w:t>
            </w:r>
          </w:p>
        </w:tc>
        <w:tc>
          <w:tcPr>
            <w:tcW w:w="1200" w:type="dxa"/>
            <w:vAlign w:val="bottom"/>
            <w:shd w:val="clear" w:color="auto" w:fill="EDF0FC"/>
          </w:tcPr>
          <w:p>
            <w:pPr>
              <w:jc w:val="right"/>
              <w:ind w:right="220"/>
              <w:spacing w:after="0"/>
              <w:rPr>
                <w:sz w:val="20"/>
                <w:szCs w:val="20"/>
                <w:color w:val="auto"/>
              </w:rPr>
            </w:pPr>
            <w:r>
              <w:rPr>
                <w:rFonts w:ascii="Arial" w:cs="Arial" w:eastAsia="Arial" w:hAnsi="Arial"/>
                <w:sz w:val="16"/>
                <w:szCs w:val="16"/>
                <w:color w:val="auto"/>
              </w:rPr>
              <w:t>2,691</w:t>
            </w:r>
          </w:p>
        </w:tc>
        <w:tc>
          <w:tcPr>
            <w:tcW w:w="1340" w:type="dxa"/>
            <w:vAlign w:val="bottom"/>
            <w:shd w:val="clear" w:color="auto" w:fill="EDF0FC"/>
          </w:tcPr>
          <w:p>
            <w:pPr>
              <w:jc w:val="right"/>
              <w:ind w:right="300"/>
              <w:spacing w:after="0"/>
              <w:rPr>
                <w:sz w:val="20"/>
                <w:szCs w:val="20"/>
                <w:color w:val="auto"/>
              </w:rPr>
            </w:pPr>
            <w:r>
              <w:rPr>
                <w:rFonts w:ascii="Arial" w:cs="Arial" w:eastAsia="Arial" w:hAnsi="Arial"/>
                <w:sz w:val="16"/>
                <w:szCs w:val="16"/>
                <w:color w:val="auto"/>
              </w:rPr>
              <w:t>20,790</w:t>
            </w:r>
          </w:p>
        </w:tc>
        <w:tc>
          <w:tcPr>
            <w:tcW w:w="1060" w:type="dxa"/>
            <w:vAlign w:val="bottom"/>
            <w:shd w:val="clear" w:color="auto" w:fill="EDF0FC"/>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9"/>
        </w:trPr>
        <w:tc>
          <w:tcPr>
            <w:tcW w:w="6100" w:type="dxa"/>
            <w:vAlign w:val="bottom"/>
          </w:tcPr>
          <w:p>
            <w:pPr>
              <w:ind w:left="20"/>
              <w:spacing w:after="0"/>
              <w:rPr>
                <w:sz w:val="20"/>
                <w:szCs w:val="20"/>
                <w:color w:val="auto"/>
              </w:rPr>
            </w:pPr>
            <w:r>
              <w:rPr>
                <w:rFonts w:ascii="Arial" w:cs="Arial" w:eastAsia="Arial" w:hAnsi="Arial"/>
                <w:sz w:val="16"/>
                <w:szCs w:val="16"/>
                <w:b w:val="1"/>
                <w:bCs w:val="1"/>
                <w:color w:val="1A3FD6"/>
              </w:rPr>
              <w:t>C.D. Baer Pettit</w:t>
            </w:r>
          </w:p>
        </w:tc>
        <w:tc>
          <w:tcPr>
            <w:tcW w:w="1540" w:type="dxa"/>
            <w:vAlign w:val="bottom"/>
          </w:tcPr>
          <w:p>
            <w:pPr>
              <w:jc w:val="right"/>
              <w:ind w:right="260"/>
              <w:spacing w:after="0"/>
              <w:rPr>
                <w:sz w:val="20"/>
                <w:szCs w:val="20"/>
                <w:color w:val="auto"/>
              </w:rPr>
            </w:pPr>
            <w:r>
              <w:rPr>
                <w:rFonts w:ascii="Arial" w:cs="Arial" w:eastAsia="Arial" w:hAnsi="Arial"/>
                <w:sz w:val="16"/>
                <w:szCs w:val="16"/>
                <w:color w:val="auto"/>
              </w:rPr>
              <w:t>304,787</w:t>
            </w: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16,260</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321,047</w:t>
            </w:r>
          </w:p>
        </w:tc>
        <w:tc>
          <w:tcPr>
            <w:tcW w:w="10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47"/>
        </w:trPr>
        <w:tc>
          <w:tcPr>
            <w:tcW w:w="610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Scott A. Crum</w:t>
            </w:r>
          </w:p>
        </w:tc>
        <w:tc>
          <w:tcPr>
            <w:tcW w:w="1540" w:type="dxa"/>
            <w:vAlign w:val="bottom"/>
            <w:shd w:val="clear" w:color="auto" w:fill="EDF0FC"/>
          </w:tcPr>
          <w:p>
            <w:pPr>
              <w:jc w:val="right"/>
              <w:ind w:right="260"/>
              <w:spacing w:after="0"/>
              <w:rPr>
                <w:sz w:val="20"/>
                <w:szCs w:val="20"/>
                <w:color w:val="auto"/>
              </w:rPr>
            </w:pPr>
            <w:r>
              <w:rPr>
                <w:rFonts w:ascii="Arial" w:cs="Arial" w:eastAsia="Arial" w:hAnsi="Arial"/>
                <w:sz w:val="16"/>
                <w:szCs w:val="16"/>
                <w:color w:val="auto"/>
              </w:rPr>
              <w:t>12,675</w:t>
            </w:r>
          </w:p>
        </w:tc>
        <w:tc>
          <w:tcPr>
            <w:tcW w:w="1200" w:type="dxa"/>
            <w:vAlign w:val="bottom"/>
            <w:shd w:val="clear" w:color="auto" w:fill="EDF0FC"/>
          </w:tcPr>
          <w:p>
            <w:pPr>
              <w:jc w:val="right"/>
              <w:ind w:right="220"/>
              <w:spacing w:after="0"/>
              <w:rPr>
                <w:sz w:val="20"/>
                <w:szCs w:val="20"/>
                <w:color w:val="auto"/>
              </w:rPr>
            </w:pPr>
            <w:r>
              <w:rPr>
                <w:rFonts w:ascii="Arial" w:cs="Arial" w:eastAsia="Arial" w:hAnsi="Arial"/>
                <w:sz w:val="16"/>
                <w:szCs w:val="16"/>
                <w:color w:val="auto"/>
              </w:rPr>
              <w:t>3,415</w:t>
            </w:r>
          </w:p>
        </w:tc>
        <w:tc>
          <w:tcPr>
            <w:tcW w:w="1340" w:type="dxa"/>
            <w:vAlign w:val="bottom"/>
            <w:shd w:val="clear" w:color="auto" w:fill="EDF0FC"/>
          </w:tcPr>
          <w:p>
            <w:pPr>
              <w:jc w:val="right"/>
              <w:ind w:right="300"/>
              <w:spacing w:after="0"/>
              <w:rPr>
                <w:sz w:val="20"/>
                <w:szCs w:val="20"/>
                <w:color w:val="auto"/>
              </w:rPr>
            </w:pPr>
            <w:r>
              <w:rPr>
                <w:rFonts w:ascii="Arial" w:cs="Arial" w:eastAsia="Arial" w:hAnsi="Arial"/>
                <w:sz w:val="16"/>
                <w:szCs w:val="16"/>
                <w:color w:val="auto"/>
              </w:rPr>
              <w:t>16,090</w:t>
            </w:r>
          </w:p>
        </w:tc>
        <w:tc>
          <w:tcPr>
            <w:tcW w:w="1060" w:type="dxa"/>
            <w:vAlign w:val="bottom"/>
            <w:shd w:val="clear" w:color="auto" w:fill="EDF0FC"/>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9"/>
        </w:trPr>
        <w:tc>
          <w:tcPr>
            <w:tcW w:w="6100" w:type="dxa"/>
            <w:vAlign w:val="bottom"/>
          </w:tcPr>
          <w:p>
            <w:pPr>
              <w:ind w:left="20"/>
              <w:spacing w:after="0"/>
              <w:rPr>
                <w:sz w:val="20"/>
                <w:szCs w:val="20"/>
                <w:color w:val="auto"/>
              </w:rPr>
            </w:pPr>
            <w:r>
              <w:rPr>
                <w:rFonts w:ascii="Arial" w:cs="Arial" w:eastAsia="Arial" w:hAnsi="Arial"/>
                <w:sz w:val="16"/>
                <w:szCs w:val="16"/>
                <w:b w:val="1"/>
                <w:bCs w:val="1"/>
                <w:color w:val="1A3FD6"/>
              </w:rPr>
              <w:t>Robert J. Gutowski</w:t>
            </w:r>
          </w:p>
        </w:tc>
        <w:tc>
          <w:tcPr>
            <w:tcW w:w="1540" w:type="dxa"/>
            <w:vAlign w:val="bottom"/>
          </w:tcPr>
          <w:p>
            <w:pPr>
              <w:jc w:val="right"/>
              <w:ind w:right="260"/>
              <w:spacing w:after="0"/>
              <w:rPr>
                <w:sz w:val="20"/>
                <w:szCs w:val="20"/>
                <w:color w:val="auto"/>
              </w:rPr>
            </w:pPr>
            <w:r>
              <w:rPr>
                <w:rFonts w:ascii="Arial" w:cs="Arial" w:eastAsia="Arial" w:hAnsi="Arial"/>
                <w:sz w:val="16"/>
                <w:szCs w:val="16"/>
                <w:color w:val="auto"/>
              </w:rPr>
              <w:t>16,309</w:t>
            </w: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2,484</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18,793</w:t>
            </w:r>
          </w:p>
        </w:tc>
        <w:tc>
          <w:tcPr>
            <w:tcW w:w="10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47"/>
        </w:trPr>
        <w:tc>
          <w:tcPr>
            <w:tcW w:w="610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auto"/>
              </w:rPr>
              <w:t>Directors</w:t>
            </w:r>
          </w:p>
        </w:tc>
        <w:tc>
          <w:tcPr>
            <w:tcW w:w="1540" w:type="dxa"/>
            <w:vAlign w:val="bottom"/>
            <w:shd w:val="clear" w:color="auto" w:fill="EDF0FC"/>
          </w:tcPr>
          <w:p>
            <w:pPr>
              <w:spacing w:after="0"/>
              <w:rPr>
                <w:sz w:val="21"/>
                <w:szCs w:val="21"/>
                <w:color w:val="auto"/>
              </w:rPr>
            </w:pPr>
          </w:p>
        </w:tc>
        <w:tc>
          <w:tcPr>
            <w:tcW w:w="1200" w:type="dxa"/>
            <w:vAlign w:val="bottom"/>
            <w:shd w:val="clear" w:color="auto" w:fill="EDF0FC"/>
          </w:tcPr>
          <w:p>
            <w:pPr>
              <w:spacing w:after="0"/>
              <w:rPr>
                <w:sz w:val="21"/>
                <w:szCs w:val="21"/>
                <w:color w:val="auto"/>
              </w:rPr>
            </w:pPr>
          </w:p>
        </w:tc>
        <w:tc>
          <w:tcPr>
            <w:tcW w:w="1340" w:type="dxa"/>
            <w:vAlign w:val="bottom"/>
            <w:shd w:val="clear" w:color="auto" w:fill="EDF0FC"/>
          </w:tcPr>
          <w:p>
            <w:pPr>
              <w:spacing w:after="0"/>
              <w:rPr>
                <w:sz w:val="21"/>
                <w:szCs w:val="21"/>
                <w:color w:val="auto"/>
              </w:rPr>
            </w:pPr>
          </w:p>
        </w:tc>
        <w:tc>
          <w:tcPr>
            <w:tcW w:w="1060" w:type="dxa"/>
            <w:vAlign w:val="bottom"/>
            <w:shd w:val="clear" w:color="auto" w:fill="ED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6"/>
                <w:szCs w:val="16"/>
                <w:b w:val="1"/>
                <w:bCs w:val="1"/>
                <w:color w:val="1A3FD6"/>
              </w:rPr>
              <w:t>Robert G. Ashe</w:t>
            </w:r>
            <w:r>
              <w:rPr>
                <w:rFonts w:ascii="Arial" w:cs="Arial" w:eastAsia="Arial" w:hAnsi="Arial"/>
                <w:sz w:val="21"/>
                <w:szCs w:val="21"/>
                <w:b w:val="1"/>
                <w:bCs w:val="1"/>
                <w:color w:val="1A3FD6"/>
                <w:vertAlign w:val="superscript"/>
              </w:rPr>
              <w:t>(6)</w:t>
            </w:r>
          </w:p>
        </w:tc>
        <w:tc>
          <w:tcPr>
            <w:tcW w:w="1540" w:type="dxa"/>
            <w:vAlign w:val="bottom"/>
          </w:tcPr>
          <w:p>
            <w:pPr>
              <w:jc w:val="right"/>
              <w:ind w:right="260"/>
              <w:spacing w:after="0"/>
              <w:rPr>
                <w:sz w:val="20"/>
                <w:szCs w:val="20"/>
                <w:color w:val="auto"/>
              </w:rPr>
            </w:pPr>
            <w:r>
              <w:rPr>
                <w:rFonts w:ascii="Arial" w:cs="Arial" w:eastAsia="Arial" w:hAnsi="Arial"/>
                <w:sz w:val="16"/>
                <w:szCs w:val="16"/>
                <w:color w:val="auto"/>
              </w:rPr>
              <w:t>17,850</w:t>
            </w: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17,850</w:t>
            </w:r>
          </w:p>
        </w:tc>
        <w:tc>
          <w:tcPr>
            <w:tcW w:w="10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43"/>
        </w:trPr>
        <w:tc>
          <w:tcPr>
            <w:tcW w:w="610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Wayne Edmunds</w:t>
            </w:r>
            <w:r>
              <w:rPr>
                <w:rFonts w:ascii="Arial" w:cs="Arial" w:eastAsia="Arial" w:hAnsi="Arial"/>
                <w:sz w:val="21"/>
                <w:szCs w:val="21"/>
                <w:b w:val="1"/>
                <w:bCs w:val="1"/>
                <w:color w:val="1A3FD6"/>
                <w:vertAlign w:val="superscript"/>
              </w:rPr>
              <w:t>(7)</w:t>
            </w:r>
          </w:p>
        </w:tc>
        <w:tc>
          <w:tcPr>
            <w:tcW w:w="1540" w:type="dxa"/>
            <w:vAlign w:val="bottom"/>
            <w:shd w:val="clear" w:color="auto" w:fill="EDF0FC"/>
          </w:tcPr>
          <w:p>
            <w:pPr>
              <w:jc w:val="right"/>
              <w:ind w:right="260"/>
              <w:spacing w:after="0"/>
              <w:rPr>
                <w:sz w:val="20"/>
                <w:szCs w:val="20"/>
                <w:color w:val="auto"/>
              </w:rPr>
            </w:pPr>
            <w:r>
              <w:rPr>
                <w:rFonts w:ascii="Arial" w:cs="Arial" w:eastAsia="Arial" w:hAnsi="Arial"/>
                <w:sz w:val="16"/>
                <w:szCs w:val="16"/>
                <w:color w:val="auto"/>
              </w:rPr>
              <w:t>9,256</w:t>
            </w:r>
          </w:p>
        </w:tc>
        <w:tc>
          <w:tcPr>
            <w:tcW w:w="1200" w:type="dxa"/>
            <w:vAlign w:val="bottom"/>
            <w:shd w:val="clear" w:color="auto" w:fill="EDF0FC"/>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DF0FC"/>
          </w:tcPr>
          <w:p>
            <w:pPr>
              <w:jc w:val="right"/>
              <w:ind w:right="300"/>
              <w:spacing w:after="0"/>
              <w:rPr>
                <w:sz w:val="20"/>
                <w:szCs w:val="20"/>
                <w:color w:val="auto"/>
              </w:rPr>
            </w:pPr>
            <w:r>
              <w:rPr>
                <w:rFonts w:ascii="Arial" w:cs="Arial" w:eastAsia="Arial" w:hAnsi="Arial"/>
                <w:sz w:val="16"/>
                <w:szCs w:val="16"/>
                <w:color w:val="auto"/>
              </w:rPr>
              <w:t>9,256</w:t>
            </w:r>
          </w:p>
        </w:tc>
        <w:tc>
          <w:tcPr>
            <w:tcW w:w="1060" w:type="dxa"/>
            <w:vAlign w:val="bottom"/>
            <w:shd w:val="clear" w:color="auto" w:fill="EDF0FC"/>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9"/>
        </w:trPr>
        <w:tc>
          <w:tcPr>
            <w:tcW w:w="6100" w:type="dxa"/>
            <w:vAlign w:val="bottom"/>
          </w:tcPr>
          <w:p>
            <w:pPr>
              <w:ind w:left="20"/>
              <w:spacing w:after="0"/>
              <w:rPr>
                <w:sz w:val="20"/>
                <w:szCs w:val="20"/>
                <w:color w:val="auto"/>
              </w:rPr>
            </w:pPr>
            <w:r>
              <w:rPr>
                <w:rFonts w:ascii="Arial" w:cs="Arial" w:eastAsia="Arial" w:hAnsi="Arial"/>
                <w:sz w:val="16"/>
                <w:szCs w:val="16"/>
                <w:b w:val="1"/>
                <w:bCs w:val="1"/>
                <w:color w:val="1A3FD6"/>
              </w:rPr>
              <w:t>Robin Matlock</w:t>
            </w:r>
          </w:p>
        </w:tc>
        <w:tc>
          <w:tcPr>
            <w:tcW w:w="1540" w:type="dxa"/>
            <w:vAlign w:val="bottom"/>
          </w:tcPr>
          <w:p>
            <w:pPr>
              <w:jc w:val="right"/>
              <w:ind w:right="260"/>
              <w:spacing w:after="0"/>
              <w:rPr>
                <w:sz w:val="20"/>
                <w:szCs w:val="20"/>
                <w:color w:val="auto"/>
              </w:rPr>
            </w:pPr>
            <w:r>
              <w:rPr>
                <w:rFonts w:ascii="Arial" w:cs="Arial" w:eastAsia="Arial" w:hAnsi="Arial"/>
                <w:sz w:val="16"/>
                <w:szCs w:val="16"/>
                <w:color w:val="auto"/>
              </w:rPr>
              <w:t>785</w:t>
            </w: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785</w:t>
            </w:r>
          </w:p>
        </w:tc>
        <w:tc>
          <w:tcPr>
            <w:tcW w:w="10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47"/>
        </w:trPr>
        <w:tc>
          <w:tcPr>
            <w:tcW w:w="610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Jacques P. Perold</w:t>
            </w:r>
          </w:p>
        </w:tc>
        <w:tc>
          <w:tcPr>
            <w:tcW w:w="1540" w:type="dxa"/>
            <w:vAlign w:val="bottom"/>
            <w:shd w:val="clear" w:color="auto" w:fill="EDF0FC"/>
          </w:tcPr>
          <w:p>
            <w:pPr>
              <w:jc w:val="right"/>
              <w:ind w:right="260"/>
              <w:spacing w:after="0"/>
              <w:rPr>
                <w:sz w:val="20"/>
                <w:szCs w:val="20"/>
                <w:color w:val="auto"/>
              </w:rPr>
            </w:pPr>
            <w:r>
              <w:rPr>
                <w:rFonts w:ascii="Arial" w:cs="Arial" w:eastAsia="Arial" w:hAnsi="Arial"/>
                <w:sz w:val="16"/>
                <w:szCs w:val="16"/>
                <w:color w:val="auto"/>
              </w:rPr>
              <w:t>5,049</w:t>
            </w:r>
          </w:p>
        </w:tc>
        <w:tc>
          <w:tcPr>
            <w:tcW w:w="1200" w:type="dxa"/>
            <w:vAlign w:val="bottom"/>
            <w:shd w:val="clear" w:color="auto" w:fill="EDF0FC"/>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DF0FC"/>
          </w:tcPr>
          <w:p>
            <w:pPr>
              <w:jc w:val="right"/>
              <w:ind w:right="300"/>
              <w:spacing w:after="0"/>
              <w:rPr>
                <w:sz w:val="20"/>
                <w:szCs w:val="20"/>
                <w:color w:val="auto"/>
              </w:rPr>
            </w:pPr>
            <w:r>
              <w:rPr>
                <w:rFonts w:ascii="Arial" w:cs="Arial" w:eastAsia="Arial" w:hAnsi="Arial"/>
                <w:sz w:val="16"/>
                <w:szCs w:val="16"/>
                <w:color w:val="auto"/>
              </w:rPr>
              <w:t>5,049</w:t>
            </w:r>
          </w:p>
        </w:tc>
        <w:tc>
          <w:tcPr>
            <w:tcW w:w="1060" w:type="dxa"/>
            <w:vAlign w:val="bottom"/>
            <w:shd w:val="clear" w:color="auto" w:fill="EDF0FC"/>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9"/>
        </w:trPr>
        <w:tc>
          <w:tcPr>
            <w:tcW w:w="6100" w:type="dxa"/>
            <w:vAlign w:val="bottom"/>
          </w:tcPr>
          <w:p>
            <w:pPr>
              <w:ind w:left="20"/>
              <w:spacing w:after="0"/>
              <w:rPr>
                <w:sz w:val="20"/>
                <w:szCs w:val="20"/>
                <w:color w:val="auto"/>
              </w:rPr>
            </w:pPr>
            <w:r>
              <w:rPr>
                <w:rFonts w:ascii="Arial" w:cs="Arial" w:eastAsia="Arial" w:hAnsi="Arial"/>
                <w:sz w:val="16"/>
                <w:szCs w:val="16"/>
                <w:b w:val="1"/>
                <w:bCs w:val="1"/>
                <w:color w:val="1A3FD6"/>
              </w:rPr>
              <w:t>Sandy C. Rattray</w:t>
            </w:r>
          </w:p>
        </w:tc>
        <w:tc>
          <w:tcPr>
            <w:tcW w:w="1540" w:type="dxa"/>
            <w:vAlign w:val="bottom"/>
          </w:tcPr>
          <w:p>
            <w:pPr>
              <w:jc w:val="right"/>
              <w:ind w:right="260"/>
              <w:spacing w:after="0"/>
              <w:rPr>
                <w:sz w:val="20"/>
                <w:szCs w:val="20"/>
                <w:color w:val="auto"/>
              </w:rPr>
            </w:pPr>
            <w:r>
              <w:rPr>
                <w:rFonts w:ascii="Arial" w:cs="Arial" w:eastAsia="Arial" w:hAnsi="Arial"/>
                <w:sz w:val="16"/>
                <w:szCs w:val="16"/>
                <w:color w:val="auto"/>
              </w:rPr>
              <w:t>1,655</w:t>
            </w: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1,655</w:t>
            </w:r>
          </w:p>
        </w:tc>
        <w:tc>
          <w:tcPr>
            <w:tcW w:w="10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47"/>
        </w:trPr>
        <w:tc>
          <w:tcPr>
            <w:tcW w:w="610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Linda H. Riefler</w:t>
            </w:r>
          </w:p>
        </w:tc>
        <w:tc>
          <w:tcPr>
            <w:tcW w:w="1540" w:type="dxa"/>
            <w:vAlign w:val="bottom"/>
            <w:shd w:val="clear" w:color="auto" w:fill="EDF0FC"/>
          </w:tcPr>
          <w:p>
            <w:pPr>
              <w:jc w:val="right"/>
              <w:ind w:right="260"/>
              <w:spacing w:after="0"/>
              <w:rPr>
                <w:sz w:val="20"/>
                <w:szCs w:val="20"/>
                <w:color w:val="auto"/>
              </w:rPr>
            </w:pPr>
            <w:r>
              <w:rPr>
                <w:rFonts w:ascii="Arial" w:cs="Arial" w:eastAsia="Arial" w:hAnsi="Arial"/>
                <w:sz w:val="16"/>
                <w:szCs w:val="16"/>
                <w:color w:val="auto"/>
              </w:rPr>
              <w:t>19,736</w:t>
            </w:r>
          </w:p>
        </w:tc>
        <w:tc>
          <w:tcPr>
            <w:tcW w:w="1200" w:type="dxa"/>
            <w:vAlign w:val="bottom"/>
            <w:shd w:val="clear" w:color="auto" w:fill="EDF0FC"/>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DF0FC"/>
          </w:tcPr>
          <w:p>
            <w:pPr>
              <w:jc w:val="right"/>
              <w:ind w:right="300"/>
              <w:spacing w:after="0"/>
              <w:rPr>
                <w:sz w:val="20"/>
                <w:szCs w:val="20"/>
                <w:color w:val="auto"/>
              </w:rPr>
            </w:pPr>
            <w:r>
              <w:rPr>
                <w:rFonts w:ascii="Arial" w:cs="Arial" w:eastAsia="Arial" w:hAnsi="Arial"/>
                <w:sz w:val="16"/>
                <w:szCs w:val="16"/>
                <w:color w:val="auto"/>
              </w:rPr>
              <w:t>19,736</w:t>
            </w:r>
          </w:p>
        </w:tc>
        <w:tc>
          <w:tcPr>
            <w:tcW w:w="1060" w:type="dxa"/>
            <w:vAlign w:val="bottom"/>
            <w:shd w:val="clear" w:color="auto" w:fill="EDF0FC"/>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6"/>
                <w:szCs w:val="16"/>
                <w:b w:val="1"/>
                <w:bCs w:val="1"/>
                <w:color w:val="1A3FD6"/>
              </w:rPr>
              <w:t>Michelle Seitz</w:t>
            </w:r>
            <w:r>
              <w:rPr>
                <w:rFonts w:ascii="Arial" w:cs="Arial" w:eastAsia="Arial" w:hAnsi="Arial"/>
                <w:sz w:val="21"/>
                <w:szCs w:val="21"/>
                <w:b w:val="1"/>
                <w:bCs w:val="1"/>
                <w:color w:val="1A3FD6"/>
                <w:vertAlign w:val="superscript"/>
              </w:rPr>
              <w:t>(8)</w:t>
            </w:r>
          </w:p>
        </w:tc>
        <w:tc>
          <w:tcPr>
            <w:tcW w:w="154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43"/>
        </w:trPr>
        <w:tc>
          <w:tcPr>
            <w:tcW w:w="610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Marcus L. Smith</w:t>
            </w:r>
          </w:p>
        </w:tc>
        <w:tc>
          <w:tcPr>
            <w:tcW w:w="1540" w:type="dxa"/>
            <w:vAlign w:val="bottom"/>
            <w:shd w:val="clear" w:color="auto" w:fill="EDF0FC"/>
          </w:tcPr>
          <w:p>
            <w:pPr>
              <w:jc w:val="right"/>
              <w:ind w:right="260"/>
              <w:spacing w:after="0"/>
              <w:rPr>
                <w:sz w:val="20"/>
                <w:szCs w:val="20"/>
                <w:color w:val="auto"/>
              </w:rPr>
            </w:pPr>
            <w:r>
              <w:rPr>
                <w:rFonts w:ascii="Arial" w:cs="Arial" w:eastAsia="Arial" w:hAnsi="Arial"/>
                <w:sz w:val="16"/>
                <w:szCs w:val="16"/>
                <w:color w:val="auto"/>
              </w:rPr>
              <w:t>4,221</w:t>
            </w:r>
          </w:p>
        </w:tc>
        <w:tc>
          <w:tcPr>
            <w:tcW w:w="1200" w:type="dxa"/>
            <w:vAlign w:val="bottom"/>
            <w:shd w:val="clear" w:color="auto" w:fill="EDF0FC"/>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DF0FC"/>
          </w:tcPr>
          <w:p>
            <w:pPr>
              <w:jc w:val="right"/>
              <w:ind w:right="300"/>
              <w:spacing w:after="0"/>
              <w:rPr>
                <w:sz w:val="20"/>
                <w:szCs w:val="20"/>
                <w:color w:val="auto"/>
              </w:rPr>
            </w:pPr>
            <w:r>
              <w:rPr>
                <w:rFonts w:ascii="Arial" w:cs="Arial" w:eastAsia="Arial" w:hAnsi="Arial"/>
                <w:sz w:val="16"/>
                <w:szCs w:val="16"/>
                <w:color w:val="auto"/>
              </w:rPr>
              <w:t>4,221</w:t>
            </w:r>
          </w:p>
        </w:tc>
        <w:tc>
          <w:tcPr>
            <w:tcW w:w="1060" w:type="dxa"/>
            <w:vAlign w:val="bottom"/>
            <w:shd w:val="clear" w:color="auto" w:fill="EDF0FC"/>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9"/>
        </w:trPr>
        <w:tc>
          <w:tcPr>
            <w:tcW w:w="6100" w:type="dxa"/>
            <w:vAlign w:val="bottom"/>
          </w:tcPr>
          <w:p>
            <w:pPr>
              <w:ind w:left="20"/>
              <w:spacing w:after="0"/>
              <w:rPr>
                <w:sz w:val="20"/>
                <w:szCs w:val="20"/>
                <w:color w:val="auto"/>
              </w:rPr>
            </w:pPr>
            <w:r>
              <w:rPr>
                <w:rFonts w:ascii="Arial" w:cs="Arial" w:eastAsia="Arial" w:hAnsi="Arial"/>
                <w:sz w:val="16"/>
                <w:szCs w:val="16"/>
                <w:b w:val="1"/>
                <w:bCs w:val="1"/>
                <w:color w:val="1A3FD6"/>
              </w:rPr>
              <w:t>Rajat Taneja</w:t>
            </w:r>
          </w:p>
        </w:tc>
        <w:tc>
          <w:tcPr>
            <w:tcW w:w="1540" w:type="dxa"/>
            <w:vAlign w:val="bottom"/>
          </w:tcPr>
          <w:p>
            <w:pPr>
              <w:jc w:val="right"/>
              <w:ind w:right="260"/>
              <w:spacing w:after="0"/>
              <w:rPr>
                <w:sz w:val="20"/>
                <w:szCs w:val="20"/>
                <w:color w:val="auto"/>
              </w:rPr>
            </w:pPr>
            <w:r>
              <w:rPr>
                <w:rFonts w:ascii="Arial" w:cs="Arial" w:eastAsia="Arial" w:hAnsi="Arial"/>
                <w:sz w:val="16"/>
                <w:szCs w:val="16"/>
                <w:color w:val="auto"/>
              </w:rPr>
              <w:t>1,984</w:t>
            </w: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1,984</w:t>
            </w:r>
          </w:p>
        </w:tc>
        <w:tc>
          <w:tcPr>
            <w:tcW w:w="10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47"/>
        </w:trPr>
        <w:tc>
          <w:tcPr>
            <w:tcW w:w="610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1A3FD6"/>
              </w:rPr>
              <w:t>Paula Volent</w:t>
            </w:r>
          </w:p>
        </w:tc>
        <w:tc>
          <w:tcPr>
            <w:tcW w:w="1540" w:type="dxa"/>
            <w:vAlign w:val="bottom"/>
            <w:shd w:val="clear" w:color="auto" w:fill="EDF0FC"/>
          </w:tcPr>
          <w:p>
            <w:pPr>
              <w:jc w:val="right"/>
              <w:ind w:right="260"/>
              <w:spacing w:after="0"/>
              <w:rPr>
                <w:sz w:val="20"/>
                <w:szCs w:val="20"/>
                <w:color w:val="auto"/>
              </w:rPr>
            </w:pPr>
            <w:r>
              <w:rPr>
                <w:rFonts w:ascii="Arial" w:cs="Arial" w:eastAsia="Arial" w:hAnsi="Arial"/>
                <w:sz w:val="16"/>
                <w:szCs w:val="16"/>
                <w:color w:val="auto"/>
              </w:rPr>
              <w:t>2,821</w:t>
            </w:r>
          </w:p>
        </w:tc>
        <w:tc>
          <w:tcPr>
            <w:tcW w:w="1200" w:type="dxa"/>
            <w:vAlign w:val="bottom"/>
            <w:shd w:val="clear" w:color="auto" w:fill="EDF0FC"/>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DF0FC"/>
          </w:tcPr>
          <w:p>
            <w:pPr>
              <w:jc w:val="right"/>
              <w:ind w:right="300"/>
              <w:spacing w:after="0"/>
              <w:rPr>
                <w:sz w:val="20"/>
                <w:szCs w:val="20"/>
                <w:color w:val="auto"/>
              </w:rPr>
            </w:pPr>
            <w:r>
              <w:rPr>
                <w:rFonts w:ascii="Arial" w:cs="Arial" w:eastAsia="Arial" w:hAnsi="Arial"/>
                <w:sz w:val="16"/>
                <w:szCs w:val="16"/>
                <w:color w:val="auto"/>
              </w:rPr>
              <w:t>2,821</w:t>
            </w:r>
          </w:p>
        </w:tc>
        <w:tc>
          <w:tcPr>
            <w:tcW w:w="1060" w:type="dxa"/>
            <w:vAlign w:val="bottom"/>
            <w:shd w:val="clear" w:color="auto" w:fill="EDF0FC"/>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6"/>
                <w:szCs w:val="16"/>
                <w:b w:val="1"/>
                <w:bCs w:val="1"/>
                <w:color w:val="1A3FD6"/>
              </w:rPr>
              <w:t>June Yang</w:t>
            </w:r>
            <w:r>
              <w:rPr>
                <w:rFonts w:ascii="Arial" w:cs="Arial" w:eastAsia="Arial" w:hAnsi="Arial"/>
                <w:sz w:val="21"/>
                <w:szCs w:val="21"/>
                <w:b w:val="1"/>
                <w:bCs w:val="1"/>
                <w:color w:val="1A3FD6"/>
                <w:vertAlign w:val="superscript"/>
              </w:rPr>
              <w:t>(9)</w:t>
            </w:r>
          </w:p>
        </w:tc>
        <w:tc>
          <w:tcPr>
            <w:tcW w:w="154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2"/>
        </w:trPr>
        <w:tc>
          <w:tcPr>
            <w:tcW w:w="610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auto"/>
              </w:rPr>
              <w:t>All Current Executive Officers and Directors as of February 28, 2025 as a</w:t>
            </w:r>
          </w:p>
        </w:tc>
        <w:tc>
          <w:tcPr>
            <w:tcW w:w="1540" w:type="dxa"/>
            <w:vAlign w:val="bottom"/>
            <w:shd w:val="clear" w:color="auto" w:fill="EDF0FC"/>
          </w:tcPr>
          <w:p>
            <w:pPr>
              <w:spacing w:after="0"/>
              <w:rPr>
                <w:sz w:val="17"/>
                <w:szCs w:val="17"/>
                <w:color w:val="auto"/>
              </w:rPr>
            </w:pPr>
          </w:p>
        </w:tc>
        <w:tc>
          <w:tcPr>
            <w:tcW w:w="1200" w:type="dxa"/>
            <w:vAlign w:val="bottom"/>
            <w:shd w:val="clear" w:color="auto" w:fill="EDF0FC"/>
          </w:tcPr>
          <w:p>
            <w:pPr>
              <w:spacing w:after="0"/>
              <w:rPr>
                <w:sz w:val="17"/>
                <w:szCs w:val="17"/>
                <w:color w:val="auto"/>
              </w:rPr>
            </w:pPr>
          </w:p>
        </w:tc>
        <w:tc>
          <w:tcPr>
            <w:tcW w:w="1340" w:type="dxa"/>
            <w:vAlign w:val="bottom"/>
            <w:shd w:val="clear" w:color="auto" w:fill="EDF0FC"/>
          </w:tcPr>
          <w:p>
            <w:pPr>
              <w:spacing w:after="0"/>
              <w:rPr>
                <w:sz w:val="17"/>
                <w:szCs w:val="17"/>
                <w:color w:val="auto"/>
              </w:rPr>
            </w:pPr>
          </w:p>
        </w:tc>
        <w:tc>
          <w:tcPr>
            <w:tcW w:w="1060" w:type="dxa"/>
            <w:vAlign w:val="bottom"/>
            <w:shd w:val="clear" w:color="auto" w:fill="EDF0FC"/>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100" w:type="dxa"/>
            <w:vAlign w:val="bottom"/>
            <w:tcBorders>
              <w:bottom w:val="single" w:sz="8" w:color="auto"/>
            </w:tcBorders>
            <w:shd w:val="clear" w:color="auto" w:fill="EDF0FC"/>
          </w:tcPr>
          <w:p>
            <w:pPr>
              <w:ind w:left="20"/>
              <w:spacing w:after="0"/>
              <w:rPr>
                <w:sz w:val="20"/>
                <w:szCs w:val="20"/>
                <w:color w:val="auto"/>
              </w:rPr>
            </w:pPr>
            <w:r>
              <w:rPr>
                <w:rFonts w:ascii="Arial" w:cs="Arial" w:eastAsia="Arial" w:hAnsi="Arial"/>
                <w:sz w:val="16"/>
                <w:szCs w:val="16"/>
                <w:b w:val="1"/>
                <w:bCs w:val="1"/>
                <w:color w:val="auto"/>
              </w:rPr>
              <w:t>Group (16 Persons)</w:t>
            </w:r>
          </w:p>
        </w:tc>
        <w:tc>
          <w:tcPr>
            <w:tcW w:w="1540" w:type="dxa"/>
            <w:vAlign w:val="bottom"/>
            <w:tcBorders>
              <w:bottom w:val="single" w:sz="8" w:color="auto"/>
            </w:tcBorders>
            <w:shd w:val="clear" w:color="auto" w:fill="EDF0FC"/>
          </w:tcPr>
          <w:p>
            <w:pPr>
              <w:jc w:val="right"/>
              <w:ind w:right="260"/>
              <w:spacing w:after="0"/>
              <w:rPr>
                <w:sz w:val="20"/>
                <w:szCs w:val="20"/>
                <w:color w:val="auto"/>
              </w:rPr>
            </w:pPr>
            <w:r>
              <w:rPr>
                <w:rFonts w:ascii="Arial" w:cs="Arial" w:eastAsia="Arial" w:hAnsi="Arial"/>
                <w:sz w:val="16"/>
                <w:szCs w:val="16"/>
                <w:color w:val="auto"/>
              </w:rPr>
              <w:t>2,568,464</w:t>
            </w:r>
          </w:p>
        </w:tc>
        <w:tc>
          <w:tcPr>
            <w:tcW w:w="1200" w:type="dxa"/>
            <w:vAlign w:val="bottom"/>
            <w:tcBorders>
              <w:bottom w:val="single" w:sz="8" w:color="auto"/>
            </w:tcBorders>
            <w:shd w:val="clear" w:color="auto" w:fill="EDF0FC"/>
          </w:tcPr>
          <w:p>
            <w:pPr>
              <w:jc w:val="right"/>
              <w:ind w:right="220"/>
              <w:spacing w:after="0"/>
              <w:rPr>
                <w:sz w:val="20"/>
                <w:szCs w:val="20"/>
                <w:color w:val="auto"/>
              </w:rPr>
            </w:pPr>
            <w:r>
              <w:rPr>
                <w:rFonts w:ascii="Arial" w:cs="Arial" w:eastAsia="Arial" w:hAnsi="Arial"/>
                <w:sz w:val="16"/>
                <w:szCs w:val="16"/>
                <w:color w:val="auto"/>
              </w:rPr>
              <w:t>54,414</w:t>
            </w:r>
          </w:p>
        </w:tc>
        <w:tc>
          <w:tcPr>
            <w:tcW w:w="1340" w:type="dxa"/>
            <w:vAlign w:val="bottom"/>
            <w:tcBorders>
              <w:bottom w:val="single" w:sz="8" w:color="auto"/>
            </w:tcBorders>
            <w:shd w:val="clear" w:color="auto" w:fill="EDF0FC"/>
          </w:tcPr>
          <w:p>
            <w:pPr>
              <w:jc w:val="right"/>
              <w:ind w:right="300"/>
              <w:spacing w:after="0"/>
              <w:rPr>
                <w:sz w:val="20"/>
                <w:szCs w:val="20"/>
                <w:color w:val="auto"/>
              </w:rPr>
            </w:pPr>
            <w:r>
              <w:rPr>
                <w:rFonts w:ascii="Arial" w:cs="Arial" w:eastAsia="Arial" w:hAnsi="Arial"/>
                <w:sz w:val="16"/>
                <w:szCs w:val="16"/>
                <w:color w:val="auto"/>
              </w:rPr>
              <w:t>2,622,878</w:t>
            </w:r>
          </w:p>
        </w:tc>
        <w:tc>
          <w:tcPr>
            <w:tcW w:w="1060" w:type="dxa"/>
            <w:vAlign w:val="bottom"/>
            <w:tcBorders>
              <w:bottom w:val="single" w:sz="8" w:color="auto"/>
            </w:tcBorders>
            <w:shd w:val="clear" w:color="auto" w:fill="EDF0FC"/>
          </w:tcPr>
          <w:p>
            <w:pPr>
              <w:jc w:val="right"/>
              <w:spacing w:after="0"/>
              <w:rPr>
                <w:sz w:val="20"/>
                <w:szCs w:val="20"/>
                <w:color w:val="auto"/>
              </w:rPr>
            </w:pPr>
            <w:r>
              <w:rPr>
                <w:rFonts w:ascii="Arial" w:cs="Arial" w:eastAsia="Arial" w:hAnsi="Arial"/>
                <w:sz w:val="16"/>
                <w:szCs w:val="16"/>
                <w:color w:val="auto"/>
              </w:rPr>
              <w:t>3.31 %</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0" w:right="60" w:hanging="192"/>
        <w:spacing w:after="0" w:line="275" w:lineRule="auto"/>
        <w:tabs>
          <w:tab w:leader="none" w:pos="187" w:val="left"/>
        </w:tabs>
        <w:numPr>
          <w:ilvl w:val="0"/>
          <w:numId w:val="136"/>
        </w:numPr>
        <w:rPr>
          <w:rFonts w:ascii="Arial" w:cs="Arial" w:eastAsia="Arial" w:hAnsi="Arial"/>
          <w:sz w:val="9"/>
          <w:szCs w:val="9"/>
          <w:color w:val="auto"/>
        </w:rPr>
      </w:pPr>
      <w:r>
        <w:rPr>
          <w:rFonts w:ascii="Arial" w:cs="Arial" w:eastAsia="Arial" w:hAnsi="Arial"/>
          <w:sz w:val="14"/>
          <w:szCs w:val="14"/>
          <w:color w:val="auto"/>
        </w:rPr>
        <w:t>Excludes shares of our common stock that may be acquired through the vesting of RSUs, PSUs and PSOs. Includes 785 shares of common stock for which Ms. Matlock has elected to defer receipt of such shares until the earlier of (i) June 1, 2033 and (ii) the 60</w:t>
      </w:r>
      <w:r>
        <w:rPr>
          <w:rFonts w:ascii="Arial" w:cs="Arial" w:eastAsia="Arial" w:hAnsi="Arial"/>
          <w:sz w:val="9"/>
          <w:szCs w:val="9"/>
          <w:color w:val="auto"/>
        </w:rPr>
        <w:t>th</w:t>
      </w:r>
      <w:r>
        <w:rPr>
          <w:rFonts w:ascii="Arial" w:cs="Arial" w:eastAsia="Arial" w:hAnsi="Arial"/>
          <w:sz w:val="14"/>
          <w:szCs w:val="14"/>
          <w:color w:val="auto"/>
        </w:rPr>
        <w:t xml:space="preserve"> day after her “separation from service” as a director; 1,191 shares of our common stock for which Ms. Riefler has elected to defer receipt of such shares until the 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after her “separation from service” as a director; and 1,984 shares of our common stock for which Mr. Taneja has elected to defer receipt of such shares until the earlier of (i) June 1, 2025 and (ii) the 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after his “separation from service”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657860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15" w:name="page116"/>
    <w:bookmarkEnd w:id="115"/>
    <w:p>
      <w:pPr>
        <w:ind w:left="92"/>
        <w:spacing w:after="0"/>
        <w:tabs>
          <w:tab w:leader="none" w:pos="772"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114</w:t>
      </w:r>
      <w:r>
        <w:rPr>
          <w:sz w:val="20"/>
          <w:szCs w:val="20"/>
          <w:color w:val="auto"/>
        </w:rPr>
        <w:tab/>
      </w:r>
      <w:r>
        <w:rPr>
          <w:rFonts w:ascii="Arial" w:cs="Arial" w:eastAsia="Arial" w:hAnsi="Arial"/>
          <w:sz w:val="14"/>
          <w:szCs w:val="14"/>
          <w:b w:val="1"/>
          <w:bCs w:val="1"/>
          <w:color w:val="1A3FD6"/>
        </w:rPr>
        <w:t>2025 PROXY STATEMENT</w:t>
      </w:r>
    </w:p>
    <w:p>
      <w:pPr>
        <w:sectPr>
          <w:pgSz w:w="11900" w:h="16838" w:orient="portrait"/>
          <w:cols w:equalWidth="0" w:num="1">
            <w:col w:w="11232"/>
          </w:cols>
          <w:pgMar w:left="328"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92" w:hanging="192"/>
        <w:spacing w:after="0" w:line="258" w:lineRule="auto"/>
        <w:tabs>
          <w:tab w:leader="none" w:pos="179" w:val="left"/>
        </w:tabs>
        <w:numPr>
          <w:ilvl w:val="0"/>
          <w:numId w:val="137"/>
        </w:numPr>
        <w:rPr>
          <w:rFonts w:ascii="Arial" w:cs="Arial" w:eastAsia="Arial" w:hAnsi="Arial"/>
          <w:sz w:val="19"/>
          <w:szCs w:val="19"/>
          <w:color w:val="auto"/>
          <w:vertAlign w:val="superscript"/>
        </w:rPr>
      </w:pPr>
      <w:r>
        <w:rPr>
          <w:rFonts w:ascii="Arial" w:cs="Arial" w:eastAsia="Arial" w:hAnsi="Arial"/>
          <w:sz w:val="14"/>
          <w:szCs w:val="14"/>
          <w:color w:val="auto"/>
        </w:rPr>
        <w:t>Includes shares of our common stock that can be acquired through the exercise of stock options or the vesting of RSUs within 60 days of the date of this table (i.e., through April 29, 2025). See the “Outstanding Equity Awards at Fiscal Year-End” Table included herein for additional information regarding RSUs and stock options held by each NEO as of December 31, 2024. As of February 28, 2025, each of our NEOs had the following shares of our common stock issuable upon the exercise of stock options: Mr. Fernandez had 29,564 shares issuable upon the exercise of stock options, Mr. Wiechmann had 2,691 shares issuable upon the exercise of stock options, Mr. Pettit had 16,260 shares issuable upon the exercise of stock options, Mr. Crum had 3,415 shares issuable upon the exercise of stock options and Mr. Gutowski had 2,484 shares issuable upon the exercise of stock options. As of February 28, 2025, each of our non-employee directors had the following outstanding stock awards, all of which are in the form of RSUs scheduled to vest on May 1, 2025: Messrs. Edmunds, Perold, Rattray, Smith and Taneja and Mmes. Matlock, Riefler, and Volent each had 450 RSUs outstanding, Mr. Ashe had 558 RSUs outstanding, Ms. Seitz had 286 RSUs outstanding and Ms. Yang had 125 RSUs outstanding. Ms. Matlock elected to defer receipt of such RSUs until the earlier of (i) June 1, 2033 and (ii) the 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after her “separation from service” as a director. Ms. Riefler elected to defer receipt of such RSUs until the 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after her “separation from service” as a director. Mr. Taneja elected to defer receipt of such RSUs until the earlier of (i) June 1, 2025 and (ii) the 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after his “separation from service” as a director. Ms. Yang elected to defer receipt of such RSUs until the 60</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day after her “separation from service” as a director.</w:t>
      </w:r>
    </w:p>
    <w:p>
      <w:pPr>
        <w:spacing w:after="0" w:line="6" w:lineRule="exact"/>
        <w:rPr>
          <w:rFonts w:ascii="Arial" w:cs="Arial" w:eastAsia="Arial" w:hAnsi="Arial"/>
          <w:sz w:val="19"/>
          <w:szCs w:val="19"/>
          <w:color w:val="auto"/>
          <w:vertAlign w:val="superscript"/>
        </w:rPr>
      </w:pPr>
    </w:p>
    <w:p>
      <w:pPr>
        <w:ind w:left="192" w:right="100" w:hanging="192"/>
        <w:spacing w:after="0" w:line="293" w:lineRule="auto"/>
        <w:tabs>
          <w:tab w:leader="none" w:pos="179" w:val="left"/>
        </w:tabs>
        <w:numPr>
          <w:ilvl w:val="0"/>
          <w:numId w:val="137"/>
        </w:numPr>
        <w:rPr>
          <w:rFonts w:ascii="Arial" w:cs="Arial" w:eastAsia="Arial" w:hAnsi="Arial"/>
          <w:sz w:val="9"/>
          <w:szCs w:val="9"/>
          <w:color w:val="auto"/>
        </w:rPr>
      </w:pPr>
      <w:r>
        <w:rPr>
          <w:rFonts w:ascii="Arial" w:cs="Arial" w:eastAsia="Arial" w:hAnsi="Arial"/>
          <w:sz w:val="14"/>
          <w:szCs w:val="14"/>
          <w:color w:val="auto"/>
        </w:rPr>
        <w:t>Except as indicated in the footnotes to this table, to our knowledge each executive officer and director, as of February 28, 2025, had sole voting and investment power with respect to his or her shares of our common stock. Beneficial Ownership Totals may differ from those set forth in Statements of Changes in Beneficial Ownership reported on Form 4 filed with the SEC due to the exclusion herein of RSUs granted by the Company, as described in footnote (1) to this table.</w:t>
      </w:r>
    </w:p>
    <w:p>
      <w:pPr>
        <w:spacing w:after="0" w:line="17" w:lineRule="exact"/>
        <w:rPr>
          <w:rFonts w:ascii="Arial" w:cs="Arial" w:eastAsia="Arial" w:hAnsi="Arial"/>
          <w:sz w:val="9"/>
          <w:szCs w:val="9"/>
          <w:color w:val="auto"/>
        </w:rPr>
      </w:pPr>
    </w:p>
    <w:p>
      <w:pPr>
        <w:ind w:left="192" w:right="80" w:hanging="192"/>
        <w:spacing w:after="0" w:line="264" w:lineRule="auto"/>
        <w:tabs>
          <w:tab w:leader="none" w:pos="179" w:val="left"/>
        </w:tabs>
        <w:numPr>
          <w:ilvl w:val="0"/>
          <w:numId w:val="137"/>
        </w:numPr>
        <w:rPr>
          <w:rFonts w:ascii="Arial" w:cs="Arial" w:eastAsia="Arial" w:hAnsi="Arial"/>
          <w:sz w:val="19"/>
          <w:szCs w:val="19"/>
          <w:color w:val="auto"/>
          <w:vertAlign w:val="superscript"/>
        </w:rPr>
      </w:pPr>
      <w:r>
        <w:rPr>
          <w:rFonts w:ascii="Arial" w:cs="Arial" w:eastAsia="Arial" w:hAnsi="Arial"/>
          <w:sz w:val="14"/>
          <w:szCs w:val="14"/>
          <w:color w:val="auto"/>
        </w:rPr>
        <w:t>All executive officers and directors (other than Mr. Fernandez) each beneficially owned less than 1.0% of the shares of our outstanding common stock. Percentages for each beneficial owner are calculated in accordance with Rule 13d-3(d)(1) under the Exchange Act. Percentages for each NEO, executive officer and director as of February 28, 2025 and collectively as a group are based on the number of our shares outstanding as of February 28, 2025, which excludes shares of our common stock that can be acquired through vesting of RSUs or through the exercise of stock options within 60 days of the date of this table (i.e., through April 29, 2025).</w:t>
      </w:r>
    </w:p>
    <w:p>
      <w:pPr>
        <w:spacing w:after="0" w:line="24" w:lineRule="exact"/>
        <w:rPr>
          <w:rFonts w:ascii="Arial" w:cs="Arial" w:eastAsia="Arial" w:hAnsi="Arial"/>
          <w:sz w:val="19"/>
          <w:szCs w:val="19"/>
          <w:color w:val="auto"/>
          <w:vertAlign w:val="superscript"/>
        </w:rPr>
      </w:pPr>
    </w:p>
    <w:p>
      <w:pPr>
        <w:ind w:left="192" w:right="280" w:hanging="192"/>
        <w:spacing w:after="0" w:line="303" w:lineRule="auto"/>
        <w:tabs>
          <w:tab w:leader="none" w:pos="179" w:val="left"/>
        </w:tabs>
        <w:numPr>
          <w:ilvl w:val="0"/>
          <w:numId w:val="137"/>
        </w:numPr>
        <w:rPr>
          <w:rFonts w:ascii="Arial" w:cs="Arial" w:eastAsia="Arial" w:hAnsi="Arial"/>
          <w:sz w:val="9"/>
          <w:szCs w:val="9"/>
          <w:color w:val="auto"/>
        </w:rPr>
      </w:pPr>
      <w:r>
        <w:rPr>
          <w:rFonts w:ascii="Arial" w:cs="Arial" w:eastAsia="Arial" w:hAnsi="Arial"/>
          <w:sz w:val="14"/>
          <w:szCs w:val="14"/>
          <w:color w:val="auto"/>
        </w:rPr>
        <w:t>Includes 330,379 shares of our common stock held by the Fernandez 2007 Children’s Trust of which the spouse of Mr. Fernandez is the trustee, 506,707 shares of our common stock held by the Henry Fernandez 2024 MSCI Annuity Trust of which Mr. Fernandez is the trustee, and 15,400 shares of our common stock held by each of Mr. Fernandez’s three children.</w:t>
      </w:r>
    </w:p>
    <w:p>
      <w:pPr>
        <w:spacing w:after="0" w:line="11" w:lineRule="exact"/>
        <w:rPr>
          <w:rFonts w:ascii="Arial" w:cs="Arial" w:eastAsia="Arial" w:hAnsi="Arial"/>
          <w:sz w:val="9"/>
          <w:szCs w:val="9"/>
          <w:color w:val="auto"/>
        </w:rPr>
      </w:pPr>
    </w:p>
    <w:p>
      <w:pPr>
        <w:ind w:left="192" w:right="200" w:hanging="192"/>
        <w:spacing w:after="0" w:line="257" w:lineRule="auto"/>
        <w:tabs>
          <w:tab w:leader="none" w:pos="179" w:val="left"/>
        </w:tabs>
        <w:numPr>
          <w:ilvl w:val="0"/>
          <w:numId w:val="137"/>
        </w:numPr>
        <w:rPr>
          <w:rFonts w:ascii="Arial" w:cs="Arial" w:eastAsia="Arial" w:hAnsi="Arial"/>
          <w:sz w:val="19"/>
          <w:szCs w:val="19"/>
          <w:color w:val="auto"/>
          <w:vertAlign w:val="superscript"/>
        </w:rPr>
      </w:pPr>
      <w:r>
        <w:rPr>
          <w:rFonts w:ascii="Arial" w:cs="Arial" w:eastAsia="Arial" w:hAnsi="Arial"/>
          <w:sz w:val="14"/>
          <w:szCs w:val="14"/>
          <w:color w:val="auto"/>
        </w:rPr>
        <w:t>Includes 17,850 shares of our common stock directly held by 1000396766 Ontario Inc., an entity over which Mr. Ashe retains sole investment and voting control. The common shares of 1000396766 Ontario Inc. are held by the Ashe (2022) Family Trust, a trust of which Mr. Ashe and his spouse are trustees and Mr. Ashe, his spouse and his children are beneficiaries.</w:t>
      </w:r>
    </w:p>
    <w:p>
      <w:pPr>
        <w:spacing w:after="0" w:line="13" w:lineRule="exact"/>
        <w:rPr>
          <w:rFonts w:ascii="Arial" w:cs="Arial" w:eastAsia="Arial" w:hAnsi="Arial"/>
          <w:sz w:val="19"/>
          <w:szCs w:val="19"/>
          <w:color w:val="auto"/>
          <w:vertAlign w:val="superscript"/>
        </w:rPr>
      </w:pPr>
    </w:p>
    <w:p>
      <w:pPr>
        <w:ind w:left="172" w:hanging="172"/>
        <w:spacing w:after="0"/>
        <w:tabs>
          <w:tab w:leader="none" w:pos="172" w:val="left"/>
        </w:tabs>
        <w:numPr>
          <w:ilvl w:val="0"/>
          <w:numId w:val="137"/>
        </w:numPr>
        <w:rPr>
          <w:rFonts w:ascii="Arial" w:cs="Arial" w:eastAsia="Arial" w:hAnsi="Arial"/>
          <w:sz w:val="19"/>
          <w:szCs w:val="19"/>
          <w:color w:val="auto"/>
          <w:vertAlign w:val="superscript"/>
        </w:rPr>
      </w:pPr>
      <w:r>
        <w:rPr>
          <w:rFonts w:ascii="Arial" w:cs="Arial" w:eastAsia="Arial" w:hAnsi="Arial"/>
          <w:sz w:val="14"/>
          <w:szCs w:val="14"/>
          <w:color w:val="auto"/>
        </w:rPr>
        <w:t>Mr. Edmunds is not standing for re-election at the 2025 Annual Meeting but will remain on the Board through the date of the meeting.</w:t>
      </w:r>
    </w:p>
    <w:p>
      <w:pPr>
        <w:spacing w:after="0" w:line="53" w:lineRule="exact"/>
        <w:rPr>
          <w:rFonts w:ascii="Arial" w:cs="Arial" w:eastAsia="Arial" w:hAnsi="Arial"/>
          <w:sz w:val="19"/>
          <w:szCs w:val="19"/>
          <w:color w:val="auto"/>
          <w:vertAlign w:val="superscript"/>
        </w:rPr>
      </w:pPr>
    </w:p>
    <w:p>
      <w:pPr>
        <w:ind w:left="172" w:hanging="172"/>
        <w:spacing w:after="0"/>
        <w:tabs>
          <w:tab w:leader="none" w:pos="172" w:val="left"/>
        </w:tabs>
        <w:numPr>
          <w:ilvl w:val="0"/>
          <w:numId w:val="137"/>
        </w:numPr>
        <w:rPr>
          <w:rFonts w:ascii="Arial" w:cs="Arial" w:eastAsia="Arial" w:hAnsi="Arial"/>
          <w:sz w:val="9"/>
          <w:szCs w:val="9"/>
          <w:color w:val="auto"/>
        </w:rPr>
      </w:pPr>
      <w:r>
        <w:rPr>
          <w:rFonts w:ascii="Arial" w:cs="Arial" w:eastAsia="Arial" w:hAnsi="Arial"/>
          <w:sz w:val="14"/>
          <w:szCs w:val="14"/>
          <w:color w:val="auto"/>
        </w:rPr>
        <w:t>Ms. Seitz was appointed to the Board, effective August 5, 2024.</w:t>
      </w:r>
    </w:p>
    <w:p>
      <w:pPr>
        <w:spacing w:after="0" w:line="68" w:lineRule="exact"/>
        <w:rPr>
          <w:rFonts w:ascii="Arial" w:cs="Arial" w:eastAsia="Arial" w:hAnsi="Arial"/>
          <w:sz w:val="9"/>
          <w:szCs w:val="9"/>
          <w:color w:val="auto"/>
        </w:rPr>
      </w:pPr>
    </w:p>
    <w:p>
      <w:pPr>
        <w:ind w:left="172" w:hanging="172"/>
        <w:spacing w:after="0"/>
        <w:tabs>
          <w:tab w:leader="none" w:pos="172" w:val="left"/>
        </w:tabs>
        <w:numPr>
          <w:ilvl w:val="0"/>
          <w:numId w:val="137"/>
        </w:numPr>
        <w:rPr>
          <w:rFonts w:ascii="Arial" w:cs="Arial" w:eastAsia="Arial" w:hAnsi="Arial"/>
          <w:sz w:val="9"/>
          <w:szCs w:val="9"/>
          <w:color w:val="auto"/>
        </w:rPr>
      </w:pPr>
      <w:r>
        <w:rPr>
          <w:rFonts w:ascii="Arial" w:cs="Arial" w:eastAsia="Arial" w:hAnsi="Arial"/>
          <w:sz w:val="14"/>
          <w:szCs w:val="14"/>
          <w:color w:val="auto"/>
        </w:rPr>
        <w:t>Ms. Yang was appointed to the Board, effective December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730885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292" w:right="339" w:bottom="144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7240"/>
              <w:spacing w:after="0"/>
              <w:rPr>
                <w:sz w:val="20"/>
                <w:szCs w:val="20"/>
                <w:color w:val="auto"/>
              </w:rPr>
            </w:pPr>
            <w:r>
              <w:rPr>
                <w:rFonts w:ascii="Arial" w:cs="Arial" w:eastAsia="Arial" w:hAnsi="Arial"/>
                <w:sz w:val="14"/>
                <w:szCs w:val="14"/>
                <w:b w:val="1"/>
                <w:bCs w:val="1"/>
                <w:color w:val="1A3FD6"/>
              </w:rPr>
              <w:t>Beneficial Ownership of Common Stock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115</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Stock Ownership of Principal Shareholders</w:t>
      </w:r>
    </w:p>
    <w:p>
      <w:pPr>
        <w:spacing w:after="0" w:line="181" w:lineRule="exact"/>
        <w:rPr>
          <w:sz w:val="20"/>
          <w:szCs w:val="20"/>
          <w:color w:val="auto"/>
        </w:rPr>
      </w:pPr>
    </w:p>
    <w:p>
      <w:pPr>
        <w:ind w:right="360"/>
        <w:spacing w:after="0" w:line="321" w:lineRule="auto"/>
        <w:rPr>
          <w:sz w:val="20"/>
          <w:szCs w:val="20"/>
          <w:color w:val="auto"/>
        </w:rPr>
      </w:pPr>
      <w:r>
        <w:rPr>
          <w:rFonts w:ascii="Arial" w:cs="Arial" w:eastAsia="Arial" w:hAnsi="Arial"/>
          <w:sz w:val="16"/>
          <w:szCs w:val="16"/>
          <w:color w:val="auto"/>
        </w:rPr>
        <w:t>The following table contains information regarding the only persons we know of that beneficially own more than 5% of our common stock. Percentage of class amounts are based on 77,601,625 shares of our common stock outstanding as of February 28, 2025.</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00" w:type="dxa"/>
            <w:vAlign w:val="bottom"/>
          </w:tcPr>
          <w:p>
            <w:pPr>
              <w:spacing w:after="0"/>
              <w:rPr>
                <w:sz w:val="15"/>
                <w:szCs w:val="15"/>
                <w:color w:val="auto"/>
              </w:rPr>
            </w:pPr>
          </w:p>
        </w:tc>
        <w:tc>
          <w:tcPr>
            <w:tcW w:w="3040" w:type="dxa"/>
            <w:vAlign w:val="bottom"/>
            <w:gridSpan w:val="2"/>
          </w:tcPr>
          <w:p>
            <w:pPr>
              <w:jc w:val="right"/>
              <w:ind w:right="564"/>
              <w:spacing w:after="0"/>
              <w:rPr>
                <w:sz w:val="20"/>
                <w:szCs w:val="20"/>
                <w:color w:val="auto"/>
              </w:rPr>
            </w:pPr>
            <w:r>
              <w:rPr>
                <w:rFonts w:ascii="Arial" w:cs="Arial" w:eastAsia="Arial" w:hAnsi="Arial"/>
                <w:sz w:val="14"/>
                <w:szCs w:val="14"/>
                <w:b w:val="1"/>
                <w:bCs w:val="1"/>
                <w:color w:val="auto"/>
              </w:rPr>
              <w:t>Shares of Common Stock</w:t>
            </w:r>
          </w:p>
        </w:tc>
      </w:tr>
      <w:tr>
        <w:trPr>
          <w:trHeight w:val="205"/>
        </w:trPr>
        <w:tc>
          <w:tcPr>
            <w:tcW w:w="8200" w:type="dxa"/>
            <w:vAlign w:val="bottom"/>
          </w:tcPr>
          <w:p>
            <w:pPr>
              <w:spacing w:after="0"/>
              <w:rPr>
                <w:sz w:val="17"/>
                <w:szCs w:val="17"/>
                <w:color w:val="auto"/>
              </w:rPr>
            </w:pPr>
          </w:p>
        </w:tc>
        <w:tc>
          <w:tcPr>
            <w:tcW w:w="222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Beneficially Owned</w:t>
            </w:r>
          </w:p>
        </w:tc>
        <w:tc>
          <w:tcPr>
            <w:tcW w:w="820" w:type="dxa"/>
            <w:vAlign w:val="bottom"/>
            <w:tcBorders>
              <w:bottom w:val="single" w:sz="8" w:color="1A3FD6"/>
            </w:tcBorders>
          </w:tcPr>
          <w:p>
            <w:pPr>
              <w:spacing w:after="0"/>
              <w:rPr>
                <w:sz w:val="17"/>
                <w:szCs w:val="17"/>
                <w:color w:val="auto"/>
              </w:rPr>
            </w:pPr>
          </w:p>
        </w:tc>
      </w:tr>
      <w:tr>
        <w:trPr>
          <w:trHeight w:val="191"/>
        </w:trPr>
        <w:tc>
          <w:tcPr>
            <w:tcW w:w="8200" w:type="dxa"/>
            <w:vAlign w:val="bottom"/>
          </w:tcPr>
          <w:p>
            <w:pPr>
              <w:spacing w:after="0"/>
              <w:rPr>
                <w:sz w:val="16"/>
                <w:szCs w:val="16"/>
                <w:color w:val="auto"/>
              </w:rPr>
            </w:pPr>
          </w:p>
        </w:tc>
        <w:tc>
          <w:tcPr>
            <w:tcW w:w="2220" w:type="dxa"/>
            <w:vAlign w:val="bottom"/>
          </w:tcPr>
          <w:p>
            <w:pPr>
              <w:jc w:val="right"/>
              <w:ind w:right="525"/>
              <w:spacing w:after="0"/>
              <w:rPr>
                <w:sz w:val="20"/>
                <w:szCs w:val="20"/>
                <w:color w:val="auto"/>
              </w:rPr>
            </w:pPr>
            <w:r>
              <w:rPr>
                <w:rFonts w:ascii="Arial" w:cs="Arial" w:eastAsia="Arial" w:hAnsi="Arial"/>
                <w:sz w:val="14"/>
                <w:szCs w:val="14"/>
                <w:b w:val="1"/>
                <w:bCs w:val="1"/>
                <w:color w:val="auto"/>
              </w:rPr>
              <w:t>Number of</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Percentage</w:t>
            </w:r>
          </w:p>
        </w:tc>
      </w:tr>
      <w:tr>
        <w:trPr>
          <w:trHeight w:val="214"/>
        </w:trPr>
        <w:tc>
          <w:tcPr>
            <w:tcW w:w="820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Name and Address</w:t>
            </w:r>
          </w:p>
        </w:tc>
        <w:tc>
          <w:tcPr>
            <w:tcW w:w="2220" w:type="dxa"/>
            <w:vAlign w:val="bottom"/>
            <w:tcBorders>
              <w:bottom w:val="single" w:sz="8" w:color="1A3FD6"/>
            </w:tcBorders>
          </w:tcPr>
          <w:p>
            <w:pPr>
              <w:jc w:val="right"/>
              <w:ind w:right="525"/>
              <w:spacing w:after="0"/>
              <w:rPr>
                <w:sz w:val="20"/>
                <w:szCs w:val="20"/>
                <w:color w:val="auto"/>
              </w:rPr>
            </w:pPr>
            <w:r>
              <w:rPr>
                <w:rFonts w:ascii="Arial" w:cs="Arial" w:eastAsia="Arial" w:hAnsi="Arial"/>
                <w:sz w:val="14"/>
                <w:szCs w:val="14"/>
                <w:b w:val="1"/>
                <w:bCs w:val="1"/>
                <w:color w:val="auto"/>
              </w:rPr>
              <w:t>Shares</w:t>
            </w:r>
          </w:p>
        </w:tc>
        <w:tc>
          <w:tcPr>
            <w:tcW w:w="82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of Class</w:t>
            </w:r>
            <w:r>
              <w:rPr>
                <w:rFonts w:ascii="Arial" w:cs="Arial" w:eastAsia="Arial" w:hAnsi="Arial"/>
                <w:sz w:val="18"/>
                <w:szCs w:val="18"/>
                <w:b w:val="1"/>
                <w:bCs w:val="1"/>
                <w:color w:val="auto"/>
                <w:vertAlign w:val="superscript"/>
              </w:rPr>
              <w:t>(1)</w:t>
            </w:r>
          </w:p>
        </w:tc>
      </w:tr>
      <w:tr>
        <w:trPr>
          <w:trHeight w:val="209"/>
        </w:trPr>
        <w:tc>
          <w:tcPr>
            <w:tcW w:w="8200" w:type="dxa"/>
            <w:vAlign w:val="bottom"/>
          </w:tcPr>
          <w:p>
            <w:pPr>
              <w:ind w:left="20"/>
              <w:spacing w:after="0"/>
              <w:rPr>
                <w:sz w:val="20"/>
                <w:szCs w:val="20"/>
                <w:color w:val="auto"/>
              </w:rPr>
            </w:pPr>
            <w:r>
              <w:rPr>
                <w:rFonts w:ascii="Arial" w:cs="Arial" w:eastAsia="Arial" w:hAnsi="Arial"/>
                <w:sz w:val="16"/>
                <w:szCs w:val="16"/>
                <w:color w:val="auto"/>
              </w:rPr>
              <w:t>The Vanguard Group</w:t>
            </w:r>
          </w:p>
        </w:tc>
        <w:tc>
          <w:tcPr>
            <w:tcW w:w="2220" w:type="dxa"/>
            <w:vAlign w:val="bottom"/>
          </w:tcPr>
          <w:p>
            <w:pPr>
              <w:jc w:val="right"/>
              <w:ind w:right="685"/>
              <w:spacing w:after="0" w:line="209" w:lineRule="exact"/>
              <w:rPr>
                <w:sz w:val="20"/>
                <w:szCs w:val="20"/>
                <w:color w:val="auto"/>
              </w:rPr>
            </w:pPr>
            <w:r>
              <w:rPr>
                <w:rFonts w:ascii="Arial" w:cs="Arial" w:eastAsia="Arial" w:hAnsi="Arial"/>
                <w:sz w:val="16"/>
                <w:szCs w:val="16"/>
                <w:color w:val="auto"/>
              </w:rPr>
              <w:t xml:space="preserve">8,683,305 </w:t>
            </w:r>
            <w:r>
              <w:rPr>
                <w:rFonts w:ascii="Arial" w:cs="Arial" w:eastAsia="Arial" w:hAnsi="Arial"/>
                <w:sz w:val="21"/>
                <w:szCs w:val="21"/>
                <w:color w:val="auto"/>
                <w:vertAlign w:val="superscript"/>
              </w:rPr>
              <w:t>(2)</w:t>
            </w:r>
          </w:p>
        </w:tc>
        <w:tc>
          <w:tcPr>
            <w:tcW w:w="820" w:type="dxa"/>
            <w:vAlign w:val="bottom"/>
          </w:tcPr>
          <w:p>
            <w:pPr>
              <w:jc w:val="right"/>
              <w:spacing w:after="0"/>
              <w:rPr>
                <w:sz w:val="20"/>
                <w:szCs w:val="20"/>
                <w:color w:val="auto"/>
              </w:rPr>
            </w:pPr>
            <w:r>
              <w:rPr>
                <w:rFonts w:ascii="Arial" w:cs="Arial" w:eastAsia="Arial" w:hAnsi="Arial"/>
                <w:sz w:val="16"/>
                <w:szCs w:val="16"/>
                <w:color w:val="auto"/>
              </w:rPr>
              <w:t>11.19 %</w:t>
            </w:r>
          </w:p>
        </w:tc>
      </w:tr>
      <w:tr>
        <w:trPr>
          <w:trHeight w:val="189"/>
        </w:trPr>
        <w:tc>
          <w:tcPr>
            <w:tcW w:w="8200" w:type="dxa"/>
            <w:vAlign w:val="bottom"/>
          </w:tcPr>
          <w:p>
            <w:pPr>
              <w:ind w:left="20"/>
              <w:spacing w:after="0"/>
              <w:rPr>
                <w:sz w:val="20"/>
                <w:szCs w:val="20"/>
                <w:color w:val="auto"/>
              </w:rPr>
            </w:pPr>
            <w:r>
              <w:rPr>
                <w:rFonts w:ascii="Arial" w:cs="Arial" w:eastAsia="Arial" w:hAnsi="Arial"/>
                <w:sz w:val="16"/>
                <w:szCs w:val="16"/>
                <w:color w:val="auto"/>
              </w:rPr>
              <w:t>100 Vanguard Blvd.</w:t>
            </w:r>
          </w:p>
        </w:tc>
        <w:tc>
          <w:tcPr>
            <w:tcW w:w="2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2"/>
        </w:trPr>
        <w:tc>
          <w:tcPr>
            <w:tcW w:w="8200" w:type="dxa"/>
            <w:vAlign w:val="bottom"/>
          </w:tcPr>
          <w:p>
            <w:pPr>
              <w:ind w:left="20"/>
              <w:spacing w:after="0"/>
              <w:rPr>
                <w:sz w:val="20"/>
                <w:szCs w:val="20"/>
                <w:color w:val="auto"/>
              </w:rPr>
            </w:pPr>
            <w:r>
              <w:rPr>
                <w:rFonts w:ascii="Arial" w:cs="Arial" w:eastAsia="Arial" w:hAnsi="Arial"/>
                <w:sz w:val="16"/>
                <w:szCs w:val="16"/>
                <w:color w:val="auto"/>
              </w:rPr>
              <w:t>Malvern, PA 19355</w:t>
            </w:r>
          </w:p>
        </w:tc>
        <w:tc>
          <w:tcPr>
            <w:tcW w:w="22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3"/>
        </w:trPr>
        <w:tc>
          <w:tcPr>
            <w:tcW w:w="8200" w:type="dxa"/>
            <w:vAlign w:val="bottom"/>
            <w:shd w:val="clear" w:color="auto" w:fill="EDF0FC"/>
          </w:tcPr>
          <w:p>
            <w:pPr>
              <w:ind w:left="20"/>
              <w:spacing w:after="0"/>
              <w:rPr>
                <w:sz w:val="20"/>
                <w:szCs w:val="20"/>
                <w:color w:val="auto"/>
              </w:rPr>
            </w:pPr>
            <w:r>
              <w:rPr>
                <w:rFonts w:ascii="Arial" w:cs="Arial" w:eastAsia="Arial" w:hAnsi="Arial"/>
                <w:sz w:val="16"/>
                <w:szCs w:val="16"/>
                <w:color w:val="auto"/>
              </w:rPr>
              <w:t>BlackRock, Inc.</w:t>
            </w:r>
          </w:p>
        </w:tc>
        <w:tc>
          <w:tcPr>
            <w:tcW w:w="2220" w:type="dxa"/>
            <w:vAlign w:val="bottom"/>
            <w:shd w:val="clear" w:color="auto" w:fill="EDF0FC"/>
          </w:tcPr>
          <w:p>
            <w:pPr>
              <w:jc w:val="right"/>
              <w:ind w:right="685"/>
              <w:spacing w:after="0" w:line="223" w:lineRule="exact"/>
              <w:rPr>
                <w:sz w:val="20"/>
                <w:szCs w:val="20"/>
                <w:color w:val="auto"/>
              </w:rPr>
            </w:pPr>
            <w:r>
              <w:rPr>
                <w:rFonts w:ascii="Arial" w:cs="Arial" w:eastAsia="Arial" w:hAnsi="Arial"/>
                <w:sz w:val="16"/>
                <w:szCs w:val="16"/>
                <w:color w:val="auto"/>
              </w:rPr>
              <w:t xml:space="preserve">5,942,793 </w:t>
            </w:r>
            <w:r>
              <w:rPr>
                <w:rFonts w:ascii="Arial" w:cs="Arial" w:eastAsia="Arial" w:hAnsi="Arial"/>
                <w:sz w:val="21"/>
                <w:szCs w:val="21"/>
                <w:color w:val="auto"/>
                <w:vertAlign w:val="superscript"/>
              </w:rPr>
              <w:t>(3)</w:t>
            </w:r>
          </w:p>
        </w:tc>
        <w:tc>
          <w:tcPr>
            <w:tcW w:w="820" w:type="dxa"/>
            <w:vAlign w:val="bottom"/>
            <w:shd w:val="clear" w:color="auto" w:fill="EDF0FC"/>
          </w:tcPr>
          <w:p>
            <w:pPr>
              <w:jc w:val="right"/>
              <w:spacing w:after="0"/>
              <w:rPr>
                <w:sz w:val="20"/>
                <w:szCs w:val="20"/>
                <w:color w:val="auto"/>
              </w:rPr>
            </w:pPr>
            <w:r>
              <w:rPr>
                <w:rFonts w:ascii="Arial" w:cs="Arial" w:eastAsia="Arial" w:hAnsi="Arial"/>
                <w:sz w:val="16"/>
                <w:szCs w:val="16"/>
                <w:color w:val="auto"/>
              </w:rPr>
              <w:t>7.66 %</w:t>
            </w:r>
          </w:p>
        </w:tc>
      </w:tr>
      <w:tr>
        <w:trPr>
          <w:trHeight w:val="189"/>
        </w:trPr>
        <w:tc>
          <w:tcPr>
            <w:tcW w:w="8200" w:type="dxa"/>
            <w:vAlign w:val="bottom"/>
            <w:shd w:val="clear" w:color="auto" w:fill="EDF0FC"/>
          </w:tcPr>
          <w:p>
            <w:pPr>
              <w:ind w:left="20"/>
              <w:spacing w:after="0"/>
              <w:rPr>
                <w:sz w:val="20"/>
                <w:szCs w:val="20"/>
                <w:color w:val="auto"/>
              </w:rPr>
            </w:pPr>
            <w:r>
              <w:rPr>
                <w:rFonts w:ascii="Arial" w:cs="Arial" w:eastAsia="Arial" w:hAnsi="Arial"/>
                <w:sz w:val="16"/>
                <w:szCs w:val="16"/>
                <w:color w:val="auto"/>
              </w:rPr>
              <w:t>50 Hudson Yards</w:t>
            </w:r>
          </w:p>
        </w:tc>
        <w:tc>
          <w:tcPr>
            <w:tcW w:w="2220" w:type="dxa"/>
            <w:vAlign w:val="bottom"/>
            <w:shd w:val="clear" w:color="auto" w:fill="EDF0FC"/>
          </w:tcPr>
          <w:p>
            <w:pPr>
              <w:spacing w:after="0"/>
              <w:rPr>
                <w:sz w:val="16"/>
                <w:szCs w:val="16"/>
                <w:color w:val="auto"/>
              </w:rPr>
            </w:pPr>
          </w:p>
        </w:tc>
        <w:tc>
          <w:tcPr>
            <w:tcW w:w="820" w:type="dxa"/>
            <w:vAlign w:val="bottom"/>
            <w:shd w:val="clear" w:color="auto" w:fill="EDF0FC"/>
          </w:tcPr>
          <w:p>
            <w:pPr>
              <w:spacing w:after="0"/>
              <w:rPr>
                <w:sz w:val="16"/>
                <w:szCs w:val="16"/>
                <w:color w:val="auto"/>
              </w:rPr>
            </w:pPr>
          </w:p>
        </w:tc>
      </w:tr>
      <w:tr>
        <w:trPr>
          <w:trHeight w:val="224"/>
        </w:trPr>
        <w:tc>
          <w:tcPr>
            <w:tcW w:w="8200" w:type="dxa"/>
            <w:vAlign w:val="bottom"/>
            <w:tcBorders>
              <w:bottom w:val="single" w:sz="8" w:color="auto"/>
            </w:tcBorders>
            <w:shd w:val="clear" w:color="auto" w:fill="EDF0FC"/>
          </w:tcPr>
          <w:p>
            <w:pPr>
              <w:ind w:left="20"/>
              <w:spacing w:after="0"/>
              <w:rPr>
                <w:sz w:val="20"/>
                <w:szCs w:val="20"/>
                <w:color w:val="auto"/>
              </w:rPr>
            </w:pPr>
            <w:r>
              <w:rPr>
                <w:rFonts w:ascii="Arial" w:cs="Arial" w:eastAsia="Arial" w:hAnsi="Arial"/>
                <w:sz w:val="16"/>
                <w:szCs w:val="16"/>
                <w:color w:val="auto"/>
              </w:rPr>
              <w:t>New York, NY 10001</w:t>
            </w:r>
          </w:p>
        </w:tc>
        <w:tc>
          <w:tcPr>
            <w:tcW w:w="2220" w:type="dxa"/>
            <w:vAlign w:val="bottom"/>
            <w:tcBorders>
              <w:bottom w:val="single" w:sz="8" w:color="auto"/>
            </w:tcBorders>
            <w:shd w:val="clear" w:color="auto" w:fill="EDF0FC"/>
          </w:tcPr>
          <w:p>
            <w:pPr>
              <w:spacing w:after="0"/>
              <w:rPr>
                <w:sz w:val="19"/>
                <w:szCs w:val="19"/>
                <w:color w:val="auto"/>
              </w:rPr>
            </w:pPr>
          </w:p>
        </w:tc>
        <w:tc>
          <w:tcPr>
            <w:tcW w:w="820" w:type="dxa"/>
            <w:vAlign w:val="bottom"/>
            <w:tcBorders>
              <w:bottom w:val="single" w:sz="8" w:color="auto"/>
            </w:tcBorders>
            <w:shd w:val="clear" w:color="auto" w:fill="EDF0FC"/>
          </w:tcPr>
          <w:p>
            <w:pPr>
              <w:spacing w:after="0"/>
              <w:rPr>
                <w:sz w:val="19"/>
                <w:szCs w:val="19"/>
                <w:color w:val="auto"/>
              </w:rPr>
            </w:pPr>
          </w:p>
        </w:tc>
      </w:tr>
    </w:tbl>
    <w:p>
      <w:pPr>
        <w:spacing w:after="0" w:line="193" w:lineRule="exact"/>
        <w:rPr>
          <w:sz w:val="20"/>
          <w:szCs w:val="20"/>
          <w:color w:val="auto"/>
        </w:rPr>
      </w:pPr>
    </w:p>
    <w:p>
      <w:pPr>
        <w:ind w:left="200" w:right="120" w:hanging="192"/>
        <w:spacing w:after="0" w:line="257" w:lineRule="auto"/>
        <w:tabs>
          <w:tab w:leader="none" w:pos="187" w:val="left"/>
        </w:tabs>
        <w:numPr>
          <w:ilvl w:val="0"/>
          <w:numId w:val="138"/>
        </w:numPr>
        <w:rPr>
          <w:rFonts w:ascii="Arial" w:cs="Arial" w:eastAsia="Arial" w:hAnsi="Arial"/>
          <w:sz w:val="19"/>
          <w:szCs w:val="19"/>
          <w:color w:val="auto"/>
          <w:vertAlign w:val="superscript"/>
        </w:rPr>
      </w:pPr>
      <w:r>
        <w:rPr>
          <w:rFonts w:ascii="Arial" w:cs="Arial" w:eastAsia="Arial" w:hAnsi="Arial"/>
          <w:sz w:val="14"/>
          <w:szCs w:val="14"/>
          <w:color w:val="auto"/>
        </w:rPr>
        <w:t>Because percentage of class ownership is based on the total number of shares of our common stock outstanding as of a date that differs from the date used by the principal shareholders to calculate the percentages for purposes of filing the applicable Schedule 13G or 13G/A, percentages of class ownership presented herein may differ from amounts reported in the applicable Schedule 13G or 13G/A filed with the SEC by the relevant principal shareholder.</w:t>
      </w:r>
    </w:p>
    <w:p>
      <w:pPr>
        <w:spacing w:after="0" w:line="42" w:lineRule="exact"/>
        <w:rPr>
          <w:rFonts w:ascii="Arial" w:cs="Arial" w:eastAsia="Arial" w:hAnsi="Arial"/>
          <w:sz w:val="19"/>
          <w:szCs w:val="19"/>
          <w:color w:val="auto"/>
          <w:vertAlign w:val="superscript"/>
        </w:rPr>
      </w:pPr>
    </w:p>
    <w:p>
      <w:pPr>
        <w:ind w:left="200" w:right="80" w:hanging="192"/>
        <w:spacing w:after="0" w:line="264" w:lineRule="auto"/>
        <w:tabs>
          <w:tab w:leader="none" w:pos="187" w:val="left"/>
        </w:tabs>
        <w:numPr>
          <w:ilvl w:val="0"/>
          <w:numId w:val="138"/>
        </w:numPr>
        <w:rPr>
          <w:rFonts w:ascii="Arial" w:cs="Arial" w:eastAsia="Arial" w:hAnsi="Arial"/>
          <w:sz w:val="19"/>
          <w:szCs w:val="19"/>
          <w:color w:val="auto"/>
          <w:vertAlign w:val="superscript"/>
        </w:rPr>
      </w:pPr>
      <w:r>
        <w:rPr>
          <w:rFonts w:ascii="Arial" w:cs="Arial" w:eastAsia="Arial" w:hAnsi="Arial"/>
          <w:sz w:val="14"/>
          <w:szCs w:val="14"/>
          <w:color w:val="auto"/>
        </w:rPr>
        <w:t>Based on information in a Schedule 13G/A (Amendment No. 11) filed with the SEC on February 13, 2024. The Schedule 13G/A discloses that The Vanguard Group had sole voting power as to 0 shares of our common stock, shared voting power as to 99,008 shares of our common stock, sole dispositive power as to 8,352,025 shares of our common stock and shared dispositive power as to 331,280 shares of our common stock. In addition, the Schedule 13G/A discloses that the person filing the report is an investment adviser in accordance with §240.13d-1(b)(1)(ii)(E) and the identification and classification of the subsidiaries which acquired the securities being reported on therein are set forth on Appendix A thereto.</w:t>
      </w:r>
    </w:p>
    <w:p>
      <w:pPr>
        <w:spacing w:after="0" w:line="36" w:lineRule="exact"/>
        <w:rPr>
          <w:rFonts w:ascii="Arial" w:cs="Arial" w:eastAsia="Arial" w:hAnsi="Arial"/>
          <w:sz w:val="19"/>
          <w:szCs w:val="19"/>
          <w:color w:val="auto"/>
          <w:vertAlign w:val="superscript"/>
        </w:rPr>
      </w:pPr>
    </w:p>
    <w:p>
      <w:pPr>
        <w:ind w:left="200" w:right="80" w:hanging="192"/>
        <w:spacing w:after="0" w:line="258" w:lineRule="auto"/>
        <w:tabs>
          <w:tab w:leader="none" w:pos="187" w:val="left"/>
        </w:tabs>
        <w:numPr>
          <w:ilvl w:val="0"/>
          <w:numId w:val="138"/>
        </w:numPr>
        <w:rPr>
          <w:rFonts w:ascii="Arial" w:cs="Arial" w:eastAsia="Arial" w:hAnsi="Arial"/>
          <w:sz w:val="19"/>
          <w:szCs w:val="19"/>
          <w:color w:val="auto"/>
          <w:vertAlign w:val="superscript"/>
        </w:rPr>
      </w:pPr>
      <w:r>
        <w:rPr>
          <w:rFonts w:ascii="Arial" w:cs="Arial" w:eastAsia="Arial" w:hAnsi="Arial"/>
          <w:sz w:val="14"/>
          <w:szCs w:val="14"/>
          <w:color w:val="auto"/>
        </w:rPr>
        <w:t>Based on information in a Schedule 13G/A (Amendment No. 13) filed with the SEC on February 5, 2025. The Schedule 13G/A discloses that BlackRock, Inc. had sole voting power as to 5,400,012 shares of our common stock and sole dispositive power as to 5,942,793 shares of our common stock. In addition, the Schedule 13G/A discloses that the person filing the report is a parent holding company or control person in accordance with §240.13d-1(b)(1)(ii)(G) and the identification and classification of the subsidiaries which acquired the securities being reported on therein are set forth on Exhibit 99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706120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17" w:name="page118"/>
    <w:bookmarkEnd w:id="117"/>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116</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380"/>
        <w:spacing w:after="0"/>
        <w:rPr>
          <w:sz w:val="20"/>
          <w:szCs w:val="20"/>
          <w:color w:val="auto"/>
        </w:rPr>
      </w:pPr>
      <w:r>
        <w:rPr>
          <w:rFonts w:ascii="Arial" w:cs="Arial" w:eastAsia="Arial" w:hAnsi="Arial"/>
          <w:sz w:val="50"/>
          <w:szCs w:val="50"/>
          <w:b w:val="1"/>
          <w:bCs w:val="1"/>
          <w:color w:val="1A3FD6"/>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-307340</wp:posOffset>
            </wp:positionV>
            <wp:extent cx="488315" cy="6172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88315" cy="617220"/>
                    </a:xfrm>
                    <a:prstGeom prst="rect">
                      <a:avLst/>
                    </a:prstGeom>
                    <a:noFill/>
                  </pic:spPr>
                </pic:pic>
              </a:graphicData>
            </a:graphic>
          </wp:anchor>
        </w:drawing>
      </w:r>
    </w:p>
    <w:p>
      <w:pPr>
        <w:spacing w:after="0" w:line="11" w:lineRule="exact"/>
        <w:rPr>
          <w:sz w:val="20"/>
          <w:szCs w:val="20"/>
          <w:color w:val="auto"/>
        </w:rPr>
      </w:pPr>
    </w:p>
    <w:p>
      <w:pPr>
        <w:ind w:left="1380"/>
        <w:spacing w:after="0"/>
        <w:rPr>
          <w:sz w:val="20"/>
          <w:szCs w:val="20"/>
          <w:color w:val="auto"/>
        </w:rPr>
      </w:pPr>
      <w:r>
        <w:rPr>
          <w:rFonts w:ascii="Arial" w:cs="Arial" w:eastAsia="Arial" w:hAnsi="Arial"/>
          <w:sz w:val="50"/>
          <w:szCs w:val="50"/>
          <w:b w:val="1"/>
          <w:bCs w:val="1"/>
          <w:color w:val="1A3FD6"/>
        </w:rPr>
        <w:t>Matters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Additional Policies and Procedures</w:t>
      </w:r>
    </w:p>
    <w:p>
      <w:pPr>
        <w:spacing w:after="0" w:line="181"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MSCI has a corporate governance webpage that can be found under the “Corporate Governance” link under the “Investor Resources” tab on our website’s Investor Relations homepage (</w:t>
      </w:r>
      <w:r>
        <w:rPr>
          <w:rFonts w:ascii="Arial" w:cs="Arial" w:eastAsia="Arial" w:hAnsi="Arial"/>
          <w:sz w:val="16"/>
          <w:szCs w:val="16"/>
          <w:color w:val="1A3FD6"/>
        </w:rPr>
        <w:t>https://ir.msci.com</w:t>
      </w:r>
      <w:r>
        <w:rPr>
          <w:rFonts w:ascii="Arial" w:cs="Arial" w:eastAsia="Arial" w:hAnsi="Arial"/>
          <w:sz w:val="16"/>
          <w:szCs w:val="16"/>
          <w:color w:val="auto"/>
        </w:rPr>
        <w:t>).</w:t>
      </w:r>
    </w:p>
    <w:p>
      <w:pPr>
        <w:spacing w:after="0" w:line="60"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Our Corporate Governance Policies (including our Director Independence Standards), Code of Ethics and Business Conduct and committee charters are available electronically, without charge, on or through our website. To access these documents, click on the “Corporate Governance” link under the “Investor Resources” tab found on our website’s Investor Relations homepage (</w:t>
      </w:r>
      <w:r>
        <w:rPr>
          <w:rFonts w:ascii="Arial" w:cs="Arial" w:eastAsia="Arial" w:hAnsi="Arial"/>
          <w:sz w:val="16"/>
          <w:szCs w:val="16"/>
          <w:color w:val="1A3FD6"/>
        </w:rPr>
        <w:t>https://ir.msci.com</w:t>
      </w:r>
      <w:r>
        <w:rPr>
          <w:rFonts w:ascii="Arial" w:cs="Arial" w:eastAsia="Arial" w:hAnsi="Arial"/>
          <w:sz w:val="16"/>
          <w:szCs w:val="16"/>
          <w:color w:val="auto"/>
        </w:rPr>
        <w:t>). These documents are also available, without charge, to any shareholder who requests them by writing to us at c/o Corporate Secretary, MSCI Inc., 7 World Trade Center, 250 Greenwich Street, 49th Floor, New York, New York 10007 or via email at investor.relations@msci.com.</w:t>
      </w:r>
    </w:p>
    <w:p>
      <w:pPr>
        <w:spacing w:after="0" w:line="80"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Our Code of Ethics and Business Conduct applies to our directors, executive officers and employees. Our Head of Compliance is principally responsible for administering compliance with our Code of Ethics and Business Conduct, with the support of a team of global professionals. The Head of Compliance reports directly to MSCI’s General Counsel and Head of Corporate Affairs. If we make any substantive amendment to, or grant a waiver to, a provision of the Code of Ethics and Business Conduct for our CEO, CFO, Principal Accounting Officer and Global Controller or persons performing similar functions, we will satisfy the applicable SEC disclosure requirement by promptly disclosing the nature of the amendment or waiver on our website’s Investor Relations homepage (</w:t>
      </w:r>
      <w:r>
        <w:rPr>
          <w:rFonts w:ascii="Arial" w:cs="Arial" w:eastAsia="Arial" w:hAnsi="Arial"/>
          <w:sz w:val="16"/>
          <w:szCs w:val="16"/>
          <w:color w:val="1A3FD6"/>
        </w:rPr>
        <w:t>https://ir.msci.com</w:t>
      </w:r>
      <w:r>
        <w:rPr>
          <w:rFonts w:ascii="Arial" w:cs="Arial" w:eastAsia="Arial" w:hAnsi="Arial"/>
          <w:sz w:val="16"/>
          <w:szCs w:val="16"/>
          <w:color w:val="auto"/>
        </w:rPr>
        <w:t>).</w:t>
      </w:r>
    </w:p>
    <w:p>
      <w:pPr>
        <w:spacing w:after="0" w:line="80"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We maintain insider trading policies and procedures governing the purchase, sale and/or other dispositions of our securities by directors, officers and employees that we believe are reasonably designed to promote compliance with insider trading laws, rules and regulations, as well as NYSE listing standards. In addition, it is our policy to comply with applicable securities and state laws, including insider trading laws, when engaging in transactions in our securities. A copy of our insider trading policy is filed as Exhibit 19.1 to our Annual Report on Form 10-K for the fiscal year ending December 31, 2024.</w:t>
      </w:r>
    </w:p>
    <w:p>
      <w:pPr>
        <w:spacing w:after="0" w:line="7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Certain Transactions</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Transactions with Shareholders</w:t>
      </w:r>
    </w:p>
    <w:p>
      <w:pPr>
        <w:spacing w:after="0" w:line="200"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From time to time, shareholders that own more than 5% of our common stock subscribe to, license or otherwise purchase, in the normal course of business, certain of our products and services. These transactions are negotiated on an arm’s-length basis and are subject to review under our Related Person Transactions Policy described below.</w:t>
      </w:r>
    </w:p>
    <w:p>
      <w:pPr>
        <w:spacing w:after="0" w:line="7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During 2024, BlackRock, Inc. and The Vanguard Group and/or their respective affiliates subscribed to, licensed or otherwise purchased in the normal course of business, certain of our products and services. For purposes of full disclosure, revenues recognized by us from subscriptions, licenses and other fees related to our products and services in 2024 from each of these shareholders and/or their respective affiliates are set forth in the table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6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Name</w:t>
            </w:r>
          </w:p>
        </w:tc>
        <w:tc>
          <w:tcPr>
            <w:tcW w:w="5380" w:type="dxa"/>
            <w:vAlign w:val="bottom"/>
            <w:tcBorders>
              <w:bottom w:val="single" w:sz="8" w:color="1A3FD6"/>
            </w:tcBorders>
          </w:tcPr>
          <w:p>
            <w:pPr>
              <w:jc w:val="right"/>
              <w:spacing w:after="0"/>
              <w:rPr>
                <w:sz w:val="20"/>
                <w:szCs w:val="20"/>
                <w:color w:val="auto"/>
              </w:rPr>
            </w:pPr>
            <w:r>
              <w:rPr>
                <w:rFonts w:ascii="Arial" w:cs="Arial" w:eastAsia="Arial" w:hAnsi="Arial"/>
                <w:sz w:val="14"/>
                <w:szCs w:val="14"/>
                <w:b w:val="1"/>
                <w:bCs w:val="1"/>
                <w:color w:val="auto"/>
              </w:rPr>
              <w:t>2024 Revenues</w:t>
            </w:r>
          </w:p>
        </w:tc>
      </w:tr>
      <w:tr>
        <w:trPr>
          <w:trHeight w:val="235"/>
        </w:trPr>
        <w:tc>
          <w:tcPr>
            <w:tcW w:w="5860" w:type="dxa"/>
            <w:vAlign w:val="bottom"/>
          </w:tcPr>
          <w:p>
            <w:pPr>
              <w:ind w:left="20"/>
              <w:spacing w:after="0"/>
              <w:rPr>
                <w:sz w:val="20"/>
                <w:szCs w:val="20"/>
                <w:color w:val="auto"/>
              </w:rPr>
            </w:pPr>
            <w:r>
              <w:rPr>
                <w:rFonts w:ascii="Arial" w:cs="Arial" w:eastAsia="Arial" w:hAnsi="Arial"/>
                <w:sz w:val="16"/>
                <w:szCs w:val="16"/>
                <w:color w:val="auto"/>
              </w:rPr>
              <w:t>BlackRock, Inc.</w:t>
            </w:r>
          </w:p>
        </w:tc>
        <w:tc>
          <w:tcPr>
            <w:tcW w:w="5380" w:type="dxa"/>
            <w:vAlign w:val="bottom"/>
          </w:tcPr>
          <w:p>
            <w:pPr>
              <w:jc w:val="right"/>
              <w:spacing w:after="0"/>
              <w:rPr>
                <w:sz w:val="20"/>
                <w:szCs w:val="20"/>
                <w:color w:val="auto"/>
              </w:rPr>
            </w:pPr>
            <w:r>
              <w:rPr>
                <w:rFonts w:ascii="Arial" w:cs="Arial" w:eastAsia="Arial" w:hAnsi="Arial"/>
                <w:sz w:val="16"/>
                <w:szCs w:val="16"/>
                <w:color w:val="auto"/>
              </w:rPr>
              <w:t>$290.4 million</w:t>
            </w:r>
          </w:p>
        </w:tc>
      </w:tr>
      <w:tr>
        <w:trPr>
          <w:trHeight w:val="244"/>
        </w:trPr>
        <w:tc>
          <w:tcPr>
            <w:tcW w:w="5860" w:type="dxa"/>
            <w:vAlign w:val="bottom"/>
            <w:tcBorders>
              <w:bottom w:val="single" w:sz="8" w:color="auto"/>
            </w:tcBorders>
            <w:shd w:val="clear" w:color="auto" w:fill="EDF0FC"/>
          </w:tcPr>
          <w:p>
            <w:pPr>
              <w:ind w:left="20"/>
              <w:spacing w:after="0"/>
              <w:rPr>
                <w:sz w:val="20"/>
                <w:szCs w:val="20"/>
                <w:color w:val="auto"/>
              </w:rPr>
            </w:pPr>
            <w:r>
              <w:rPr>
                <w:rFonts w:ascii="Arial" w:cs="Arial" w:eastAsia="Arial" w:hAnsi="Arial"/>
                <w:sz w:val="16"/>
                <w:szCs w:val="16"/>
                <w:color w:val="auto"/>
              </w:rPr>
              <w:t>The Vanguard Group</w:t>
            </w:r>
          </w:p>
        </w:tc>
        <w:tc>
          <w:tcPr>
            <w:tcW w:w="5380" w:type="dxa"/>
            <w:vAlign w:val="bottom"/>
            <w:tcBorders>
              <w:bottom w:val="single" w:sz="8" w:color="auto"/>
            </w:tcBorders>
            <w:shd w:val="clear" w:color="auto" w:fill="EDF0FC"/>
          </w:tcPr>
          <w:p>
            <w:pPr>
              <w:jc w:val="right"/>
              <w:spacing w:after="0"/>
              <w:rPr>
                <w:sz w:val="20"/>
                <w:szCs w:val="20"/>
                <w:color w:val="auto"/>
              </w:rPr>
            </w:pPr>
            <w:r>
              <w:rPr>
                <w:rFonts w:ascii="Arial" w:cs="Arial" w:eastAsia="Arial" w:hAnsi="Arial"/>
                <w:sz w:val="16"/>
                <w:szCs w:val="16"/>
                <w:color w:val="auto"/>
              </w:rPr>
              <w:t>$22.1 million</w:t>
            </w:r>
          </w:p>
        </w:tc>
      </w:tr>
      <w:tr>
        <w:trPr>
          <w:trHeight w:val="1290"/>
        </w:trPr>
        <w:tc>
          <w:tcPr>
            <w:tcW w:w="586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9040"/>
              <w:spacing w:after="0"/>
              <w:rPr>
                <w:sz w:val="20"/>
                <w:szCs w:val="20"/>
                <w:color w:val="auto"/>
              </w:rPr>
            </w:pPr>
            <w:r>
              <w:rPr>
                <w:rFonts w:ascii="Arial" w:cs="Arial" w:eastAsia="Arial" w:hAnsi="Arial"/>
                <w:sz w:val="14"/>
                <w:szCs w:val="14"/>
                <w:b w:val="1"/>
                <w:bCs w:val="1"/>
                <w:color w:val="1A3FD6"/>
              </w:rPr>
              <w:t>Other Matters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117</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384"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Transactions with Directors and Related Entities</w:t>
      </w:r>
    </w:p>
    <w:p>
      <w:pPr>
        <w:spacing w:after="0" w:line="200" w:lineRule="exact"/>
        <w:rPr>
          <w:sz w:val="20"/>
          <w:szCs w:val="20"/>
          <w:color w:val="auto"/>
        </w:rPr>
      </w:pPr>
    </w:p>
    <w:p>
      <w:pPr>
        <w:jc w:val="both"/>
        <w:ind w:right="200"/>
        <w:spacing w:after="0" w:line="292" w:lineRule="auto"/>
        <w:rPr>
          <w:sz w:val="20"/>
          <w:szCs w:val="20"/>
          <w:color w:val="auto"/>
        </w:rPr>
      </w:pPr>
      <w:r>
        <w:rPr>
          <w:rFonts w:ascii="Arial" w:cs="Arial" w:eastAsia="Arial" w:hAnsi="Arial"/>
          <w:sz w:val="16"/>
          <w:szCs w:val="16"/>
          <w:color w:val="auto"/>
        </w:rPr>
        <w:t>During 2024, in the ordinary course of business, The Rockefeller University subscribed to, licensed or purchased certain MSCI products and services. The Company recognized approximately $0.3 million in revenue from these transactions. Paula Volent, one of our directors, has served as Vice President and Chief Investment Officer of The Rockefeller University since August 2021.</w:t>
      </w:r>
    </w:p>
    <w:p>
      <w:pPr>
        <w:spacing w:after="0" w:line="57"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During 2024, in the ordinary course of business, the Company purchased software product licenses from ServiceNow, Inc. on arm’s length terms, totaling approximately $0.8 million. Our former director Chirantan Desai was the former President and Chief Operating Officer for ServiceNow, Inc.</w:t>
      </w:r>
    </w:p>
    <w:p>
      <w:pPr>
        <w:spacing w:after="0" w:line="4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Related Person Transactions Policy</w:t>
      </w:r>
    </w:p>
    <w:p>
      <w:pPr>
        <w:spacing w:after="0" w:line="18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Board recognizes that related party transactions can present a heightened risk of potential or actual conflicts of interest and may create the appearance that Company decisions are based on considerations other than the best interests of the Company and its shareholders. Accordingly, the Company maintains a written Related Person Transactions Policy (the “Policy”), which governs the approval of related person transactions to ensure that they are fair and in the best interests of the Company. The Governance Committee administers the Policy. It is the responsibility of each director, director nominee and executive officer to promptly notify the legal department of transactions in which he or she may be involved. The legal department also conducts diligence and maintains controls and procedures to identify and submit for review and approval any such transactions.</w:t>
      </w:r>
    </w:p>
    <w:p>
      <w:pPr>
        <w:spacing w:after="0" w:line="68"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Under the Policy, the legal department determines whether the proposed transaction constitutes a related person transaction requiring review under the Policy and/or disclosure. If the legal department determines that (i) the proposed transaction constitutes a related person transaction or (ii) it would be beneficial to further review the transaction under the Policy, then the legal department may review and approve certain transactions pursuant to delegation from the Governance Committee or refer the transactions to the Governance Committee. No director may participate in any discussion or approval of a transaction for which he or she or a member of his or her immediate family is a related person.</w:t>
      </w:r>
    </w:p>
    <w:p>
      <w:pPr>
        <w:spacing w:after="0" w:line="6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When evaluating a proposed Related Person Transaction, the legal department or the Governance Committee, as applicable, will consider all relevant facts and circumstances, including: (1) the dollar amount of the transaction, the commercial reasonableness of the terms and the purpose of the transaction, as well as the benefit to the Company; (2) the nature of the negotiations, including (i) whether negotiations were at arm’s length and the result of fair dealing and (ii) whether the related person was involved in the negotiations; (3) the terms and conditions of comparable or similar transactions; (4) whether the transaction is provided on terms that may be more favorable than those available to others; (5) the materiality and character of the related person’s interest in the transaction and whether there may be any conflicts of interest; (6) whether the transaction would be considered unusual for one or both of the parties and (7) whether the transaction may impact director independence if applicable. Related person transactions will not be approved if the legal department or the Governance Committee, as applicable, determines the transaction to be inconsistent with the interests of the Company and its shareholders.</w:t>
      </w:r>
    </w:p>
    <w:p>
      <w:pPr>
        <w:spacing w:after="0" w:line="6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Other Business</w:t>
      </w:r>
    </w:p>
    <w:p>
      <w:pPr>
        <w:spacing w:after="0" w:line="181"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We do not know of any matters that may be presented for action at the meeting other than those described in this Proxy Statement. If any other matter is properly brought before the meeting, the proxy holders will vote on such matter in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7454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32320" cy="745490"/>
                    </a:xfrm>
                    <a:prstGeom prst="rect">
                      <a:avLst/>
                    </a:prstGeom>
                    <a:noFill/>
                  </pic:spPr>
                </pic:pic>
              </a:graphicData>
            </a:graphic>
          </wp:anchor>
        </w:drawing>
      </w:r>
    </w:p>
    <w:p>
      <w:pPr>
        <w:spacing w:after="0" w:line="337" w:lineRule="exact"/>
        <w:rPr>
          <w:sz w:val="20"/>
          <w:szCs w:val="20"/>
          <w:color w:val="auto"/>
        </w:rPr>
      </w:pPr>
    </w:p>
    <w:p>
      <w:pPr>
        <w:jc w:val="both"/>
        <w:ind w:left="220" w:right="340"/>
        <w:spacing w:after="0" w:line="275" w:lineRule="auto"/>
        <w:rPr>
          <w:sz w:val="20"/>
          <w:szCs w:val="20"/>
          <w:color w:val="auto"/>
        </w:rPr>
      </w:pPr>
      <w:r>
        <w:rPr>
          <w:rFonts w:ascii="Arial" w:cs="Arial" w:eastAsia="Arial" w:hAnsi="Arial"/>
          <w:sz w:val="16"/>
          <w:szCs w:val="16"/>
          <w:color w:val="auto"/>
        </w:rPr>
        <w:t xml:space="preserve">Important Notice Regarding the Availability of Proxy Materials for the Shareholder Meeting to be held on April 22, 2025. Our Proxy Statement and our Annual Report on Form 10-K for the fiscal year ended December 31, 2024 are available free of charge at </w:t>
      </w:r>
      <w:r>
        <w:rPr>
          <w:rFonts w:ascii="Arial" w:cs="Arial" w:eastAsia="Arial" w:hAnsi="Arial"/>
          <w:sz w:val="16"/>
          <w:szCs w:val="16"/>
          <w:color w:val="1A3FD6"/>
        </w:rPr>
        <w:t>www.proxyvote.com</w:t>
      </w:r>
      <w:r>
        <w:rPr>
          <w:rFonts w:ascii="Arial" w:cs="Arial" w:eastAsia="Arial" w:hAnsi="Arial"/>
          <w:sz w:val="16"/>
          <w:szCs w:val="16"/>
          <w:color w:val="auto"/>
        </w:rPr>
        <w:t>. Information contained on such website is not incorporated by reference into this Proxy Statement or any other report we file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966470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19" w:name="page120"/>
    <w:bookmarkEnd w:id="119"/>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118</w:t>
      </w:r>
      <w:r>
        <w:rPr>
          <w:sz w:val="20"/>
          <w:szCs w:val="20"/>
          <w:color w:val="auto"/>
        </w:rPr>
        <w:tab/>
      </w:r>
      <w:r>
        <w:rPr>
          <w:rFonts w:ascii="Arial" w:cs="Arial" w:eastAsia="Arial" w:hAnsi="Arial"/>
          <w:sz w:val="14"/>
          <w:szCs w:val="14"/>
          <w:b w:val="1"/>
          <w:bCs w:val="1"/>
          <w:color w:val="1A3FD6"/>
        </w:rPr>
        <w:t>2025 PROXY STATEMENT</w:t>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380"/>
        <w:spacing w:after="0"/>
        <w:rPr>
          <w:sz w:val="20"/>
          <w:szCs w:val="20"/>
          <w:color w:val="auto"/>
        </w:rPr>
      </w:pPr>
      <w:r>
        <w:rPr>
          <w:rFonts w:ascii="Arial" w:cs="Arial" w:eastAsia="Arial" w:hAnsi="Arial"/>
          <w:sz w:val="50"/>
          <w:szCs w:val="50"/>
          <w:b w:val="1"/>
          <w:bCs w:val="1"/>
          <w:color w:val="1A3FD6"/>
        </w:rPr>
        <w:t>Annex A: Frequently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-307340</wp:posOffset>
            </wp:positionV>
            <wp:extent cx="488315" cy="6172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88315" cy="617220"/>
                    </a:xfrm>
                    <a:prstGeom prst="rect">
                      <a:avLst/>
                    </a:prstGeom>
                    <a:noFill/>
                  </pic:spPr>
                </pic:pic>
              </a:graphicData>
            </a:graphic>
          </wp:anchor>
        </w:drawing>
      </w:r>
    </w:p>
    <w:p>
      <w:pPr>
        <w:spacing w:after="0" w:line="11" w:lineRule="exact"/>
        <w:rPr>
          <w:sz w:val="20"/>
          <w:szCs w:val="20"/>
          <w:color w:val="auto"/>
        </w:rPr>
      </w:pPr>
    </w:p>
    <w:p>
      <w:pPr>
        <w:ind w:left="1380"/>
        <w:spacing w:after="0"/>
        <w:rPr>
          <w:sz w:val="20"/>
          <w:szCs w:val="20"/>
          <w:color w:val="auto"/>
        </w:rPr>
      </w:pPr>
      <w:r>
        <w:rPr>
          <w:rFonts w:ascii="Arial" w:cs="Arial" w:eastAsia="Arial" w:hAnsi="Arial"/>
          <w:sz w:val="50"/>
          <w:szCs w:val="50"/>
          <w:b w:val="1"/>
          <w:bCs w:val="1"/>
          <w:color w:val="1A3FD6"/>
        </w:rPr>
        <w:t>Asked Questions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we refer to MSCI Inc. in this Proxy Statement?</w:t>
      </w:r>
    </w:p>
    <w:p>
      <w:pPr>
        <w:spacing w:after="0" w:line="86"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We refer to MSCI Inc. as the “Company,” “MSCI,” “we,” “our” or “us” and the Board of Directors of MSCI Inc. as the “Board.” MSCI is incorporated in Delaware and its shares of common stock are listed on the New York Stock Exchange under the symbol MSCI. References to “Shares,” “shares” or “shares of our common stock” in this Proxy Statement refer to shares of our common stock, par value $0.01 per share.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are the date, time and place of the 2025 Annual Meeting?</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will hold the 2025 Annual Meeting on April 22, 2025 at 2:30 P.M. Eastern Time, via the internet at </w:t>
      </w:r>
      <w:r>
        <w:rPr>
          <w:rFonts w:ascii="Arial" w:cs="Arial" w:eastAsia="Arial" w:hAnsi="Arial"/>
          <w:sz w:val="16"/>
          <w:szCs w:val="16"/>
          <w:color w:val="1A3FD6"/>
        </w:rPr>
        <w:t>www.virtualshareholdermeeting.com/MSCI2025</w:t>
      </w:r>
      <w:r>
        <w:rPr>
          <w:rFonts w:ascii="Arial" w:cs="Arial" w:eastAsia="Arial" w:hAnsi="Arial"/>
          <w:sz w:val="16"/>
          <w:szCs w:val="16"/>
          <w:color w:val="auto"/>
        </w:rPr>
        <w:t>.</w:t>
      </w:r>
    </w:p>
    <w:p>
      <w:pPr>
        <w:spacing w:after="0" w:line="140"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 xml:space="preserve">In order to access the virtual annual meeting, you will be asked to provide your 16-digit control number. Instructions on how to attend and participate via the internet, including how to demonstrate proof of share ownership, are posted at </w:t>
      </w:r>
      <w:r>
        <w:rPr>
          <w:rFonts w:ascii="Arial" w:cs="Arial" w:eastAsia="Arial" w:hAnsi="Arial"/>
          <w:sz w:val="16"/>
          <w:szCs w:val="16"/>
          <w:color w:val="1A3FD6"/>
        </w:rPr>
        <w:t>www.virtualshareholdermeeting.com/MSCI2025</w:t>
      </w:r>
      <w:r>
        <w:rPr>
          <w:rFonts w:ascii="Arial" w:cs="Arial" w:eastAsia="Arial" w:hAnsi="Arial"/>
          <w:sz w:val="16"/>
          <w:szCs w:val="16"/>
          <w:color w:val="auto"/>
        </w:rPr>
        <w:t>. Information contained on this website is not incorporated by reference into this Proxy Statement or any other report we file with the SEC.</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 the 2025 Annual Meeting be webcast?</w:t>
      </w:r>
    </w:p>
    <w:p>
      <w:pPr>
        <w:spacing w:after="0" w:line="86"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 xml:space="preserve">Yes. You may attend the annual meeting virtually at </w:t>
      </w:r>
      <w:r>
        <w:rPr>
          <w:rFonts w:ascii="Arial" w:cs="Arial" w:eastAsia="Arial" w:hAnsi="Arial"/>
          <w:sz w:val="16"/>
          <w:szCs w:val="16"/>
          <w:color w:val="1A3FD6"/>
        </w:rPr>
        <w:t>www.virtualshareholdermeeting.com/MSCI2025</w:t>
      </w:r>
      <w:r>
        <w:rPr>
          <w:rFonts w:ascii="Arial" w:cs="Arial" w:eastAsia="Arial" w:hAnsi="Arial"/>
          <w:sz w:val="16"/>
          <w:szCs w:val="16"/>
          <w:color w:val="auto"/>
        </w:rPr>
        <w:t xml:space="preserve">, where you will be able to vote electronically and submit questions during the meeting. A webcast replay of the 2025 Annual Meeting will also be archived on our Investor Relations website, </w:t>
      </w:r>
      <w:r>
        <w:rPr>
          <w:rFonts w:ascii="Arial" w:cs="Arial" w:eastAsia="Arial" w:hAnsi="Arial"/>
          <w:sz w:val="16"/>
          <w:szCs w:val="16"/>
          <w:color w:val="1A3FD6"/>
        </w:rPr>
        <w:t>https://ir.msci.com/events.cfm</w:t>
      </w:r>
      <w:r>
        <w:rPr>
          <w:rFonts w:ascii="Arial" w:cs="Arial" w:eastAsia="Arial" w:hAnsi="Arial"/>
          <w:sz w:val="16"/>
          <w:szCs w:val="16"/>
          <w:color w:val="000000"/>
        </w:rPr>
        <w:t>, until April 22, 2026.</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submit a question at the 2025 Annual Meeting?</w:t>
      </w:r>
    </w:p>
    <w:p>
      <w:pPr>
        <w:spacing w:after="0" w:line="86"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To submit questions before the 2025 Annual Meeting, please email your question(s) to the Corporate Secretary at corporatesecretary@msci.com no later than April 21, 2025. Please include “Annual Meeting Questions” in the subject line and provide your name, 16-digit control number and, if applicable, indicate the proposal to which your question relates in the body of the email.</w:t>
      </w:r>
    </w:p>
    <w:p>
      <w:pPr>
        <w:spacing w:after="0" w:line="7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You may submit a question during the meeting via our virtual shareholder meeting website, </w:t>
      </w:r>
      <w:r>
        <w:rPr>
          <w:rFonts w:ascii="Arial" w:cs="Arial" w:eastAsia="Arial" w:hAnsi="Arial"/>
          <w:sz w:val="16"/>
          <w:szCs w:val="16"/>
          <w:color w:val="1A3FD6"/>
        </w:rPr>
        <w:t>www.virtualshareholdermeeting.com/MSCI2025</w:t>
      </w:r>
      <w:r>
        <w:rPr>
          <w:rFonts w:ascii="Arial" w:cs="Arial" w:eastAsia="Arial" w:hAnsi="Arial"/>
          <w:sz w:val="16"/>
          <w:szCs w:val="16"/>
          <w:color w:val="auto"/>
        </w:rPr>
        <w:t xml:space="preserve">. If your question is properly submitted during the relevant portion of the meeting agenda, our Chairman intends to respond to your question during the live webcast. Questions on similar topics may be combined and answered together. A webcast replay of the 2025 Annual Meeting, including the Q&amp;A session, will also be archived on our Investor Relations website, </w:t>
      </w:r>
      <w:r>
        <w:rPr>
          <w:rFonts w:ascii="Arial" w:cs="Arial" w:eastAsia="Arial" w:hAnsi="Arial"/>
          <w:sz w:val="16"/>
          <w:szCs w:val="16"/>
          <w:color w:val="1A3FD6"/>
        </w:rPr>
        <w:t>https://ir.msci.com/events.cfm</w:t>
      </w:r>
      <w:r>
        <w:rPr>
          <w:rFonts w:ascii="Arial" w:cs="Arial" w:eastAsia="Arial" w:hAnsi="Arial"/>
          <w:sz w:val="16"/>
          <w:szCs w:val="16"/>
          <w:color w:val="auto"/>
        </w:rPr>
        <w:t>, until April 22, 2026.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if the Company encounters technical difficulties during the 2025 Annual Meeting?</w:t>
      </w:r>
    </w:p>
    <w:p>
      <w:pPr>
        <w:spacing w:after="0" w:line="100"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 xml:space="preserve">If we experience technical difficulties during the meeting (e.g., a temporary or prolonged power outage), our Chairman will determine whether the meeting can be promptly reconvened (if the technical difficulty is temporary) or whether the meeting will need to be reconvened on a later day (if the technical difficulty is more prolonged). In any situation, we will promptly notify shareholders of the decision via </w:t>
      </w:r>
      <w:r>
        <w:rPr>
          <w:rFonts w:ascii="Arial" w:cs="Arial" w:eastAsia="Arial" w:hAnsi="Arial"/>
          <w:sz w:val="16"/>
          <w:szCs w:val="16"/>
          <w:color w:val="1A3FD6"/>
        </w:rPr>
        <w:t>www.virtualshareholdermeeting.com/MSCI2025</w:t>
      </w:r>
      <w:r>
        <w:rPr>
          <w:rFonts w:ascii="Arial" w:cs="Arial" w:eastAsia="Arial" w:hAnsi="Arial"/>
          <w:sz w:val="16"/>
          <w:szCs w:val="16"/>
          <w:color w:val="auto"/>
        </w:rPr>
        <w:t>.</w:t>
      </w:r>
    </w:p>
    <w:p>
      <w:pPr>
        <w:spacing w:after="0" w:line="57"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If you encounter technical difficulties accessing our meeting or asking questions during the meeting, a support line will be available on the login page of the virtual 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712470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120" w:name="page121"/>
    <w:bookmarkEnd w:id="120"/>
    <w:p>
      <w:pPr>
        <w:ind w:left="7360"/>
        <w:spacing w:after="0"/>
        <w:tabs>
          <w:tab w:leader="none" w:pos="1090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Annex A: Frequently Asked Questions | MSCI</w:t>
      </w:r>
      <w:r>
        <w:rPr>
          <w:sz w:val="20"/>
          <w:szCs w:val="20"/>
          <w:color w:val="auto"/>
        </w:rPr>
        <w:tab/>
      </w:r>
      <w:r>
        <w:rPr>
          <w:rFonts w:ascii="Arial" w:cs="Arial" w:eastAsia="Arial" w:hAnsi="Arial"/>
          <w:sz w:val="14"/>
          <w:szCs w:val="14"/>
          <w:b w:val="1"/>
          <w:bCs w:val="1"/>
          <w:color w:val="1A3FD6"/>
        </w:rPr>
        <w:t>119</w:t>
      </w:r>
    </w:p>
    <w:p>
      <w:pPr>
        <w:sectPr>
          <w:pgSz w:w="11900" w:h="16838" w:orient="portrait"/>
          <w:cols w:equalWidth="0" w:num="1">
            <w:col w:w="11220"/>
          </w:cols>
          <w:pgMar w:left="320" w:top="2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may attend the 2025 Annual Meeting?</w:t>
      </w:r>
    </w:p>
    <w:p>
      <w:pPr>
        <w:spacing w:after="0" w:line="8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All shareholders as of February 28, 2025, or their duly appointed proxies, may attend the 2025 Annual Meeting. In order to attend the 2025 Annual Meeting, a shareholder must own MSCI common stock at the close of business on February 28, 2025. If your shares are held in the name of a broker, bank, custodian, nominee or other record holder (“street name”), you must obtain a proxy, executed in your favor, from the holder of record (that is, your broker, bank, custodian, or nominee) to be able to vote at the 2025 Annual Meeting.</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may vote at the 2025 Annual Meeting?</w:t>
      </w:r>
    </w:p>
    <w:p>
      <w:pPr>
        <w:spacing w:after="0" w:line="100" w:lineRule="exact"/>
        <w:rPr>
          <w:sz w:val="20"/>
          <w:szCs w:val="20"/>
          <w:color w:val="auto"/>
        </w:rPr>
      </w:pPr>
    </w:p>
    <w:p>
      <w:pPr>
        <w:jc w:val="both"/>
        <w:ind w:right="60"/>
        <w:spacing w:after="0" w:line="292" w:lineRule="auto"/>
        <w:rPr>
          <w:sz w:val="20"/>
          <w:szCs w:val="20"/>
          <w:color w:val="auto"/>
        </w:rPr>
      </w:pPr>
      <w:r>
        <w:rPr>
          <w:rFonts w:ascii="Arial" w:cs="Arial" w:eastAsia="Arial" w:hAnsi="Arial"/>
          <w:sz w:val="16"/>
          <w:szCs w:val="16"/>
          <w:color w:val="auto"/>
        </w:rPr>
        <w:t>You can vote your shares of MSCI common stock at our 2025 Annual Meeting if you were a shareholder at the close of business on February 28, 2025 (the “record date”). As of February 28, 2025, there were 77,601,625 shares of MSCI common stock outstanding. Each share of MSCI common stock entitles you to one vote on each matter voted on at the annual meeting of shareholders.</w:t>
      </w:r>
    </w:p>
    <w:p>
      <w:pPr>
        <w:spacing w:after="0" w:line="71" w:lineRule="exact"/>
        <w:rPr>
          <w:sz w:val="20"/>
          <w:szCs w:val="20"/>
          <w:color w:val="auto"/>
        </w:rPr>
      </w:pPr>
    </w:p>
    <w:p>
      <w:pPr>
        <w:jc w:val="both"/>
        <w:ind w:right="260"/>
        <w:spacing w:after="0" w:line="292" w:lineRule="auto"/>
        <w:rPr>
          <w:sz w:val="20"/>
          <w:szCs w:val="20"/>
          <w:color w:val="auto"/>
        </w:rPr>
      </w:pPr>
      <w:r>
        <w:rPr>
          <w:rFonts w:ascii="Arial" w:cs="Arial" w:eastAsia="Arial" w:hAnsi="Arial"/>
          <w:sz w:val="16"/>
          <w:szCs w:val="16"/>
          <w:color w:val="auto"/>
        </w:rPr>
        <w:t>A majority of the shares of MSCI common stock outstanding at the close of business on the record date must be present in order to hold the meeting and conduct business. This is called a “quorum.” Your shares are counted as present at the 2025 Annual Meeting if you vote through the internet at the virtual annual meeting of shareholders or properly submit your proxy prior to the 2025 Annual Meeting.</w:t>
      </w:r>
    </w:p>
    <w:p>
      <w:pPr>
        <w:spacing w:after="0" w:line="57" w:lineRule="exact"/>
        <w:rPr>
          <w:sz w:val="20"/>
          <w:szCs w:val="20"/>
          <w:color w:val="auto"/>
        </w:rPr>
      </w:pPr>
    </w:p>
    <w:p>
      <w:pPr>
        <w:ind w:right="800"/>
        <w:spacing w:after="0" w:line="308" w:lineRule="auto"/>
        <w:rPr>
          <w:sz w:val="20"/>
          <w:szCs w:val="20"/>
          <w:color w:val="auto"/>
        </w:rPr>
      </w:pPr>
      <w:r>
        <w:rPr>
          <w:rFonts w:ascii="Arial" w:cs="Arial" w:eastAsia="Arial" w:hAnsi="Arial"/>
          <w:sz w:val="16"/>
          <w:szCs w:val="16"/>
          <w:b w:val="1"/>
          <w:bCs w:val="1"/>
          <w:color w:val="auto"/>
        </w:rPr>
        <w:t>Why did I receive a one-page notice in the mail regarding the internet availability of proxy materials instead of a full set of printed proxy materials?</w:t>
      </w:r>
    </w:p>
    <w:p>
      <w:pPr>
        <w:ind w:right="80"/>
        <w:spacing w:after="0" w:line="282" w:lineRule="auto"/>
        <w:rPr>
          <w:sz w:val="20"/>
          <w:szCs w:val="20"/>
          <w:color w:val="auto"/>
        </w:rPr>
      </w:pPr>
      <w:r>
        <w:rPr>
          <w:rFonts w:ascii="Arial" w:cs="Arial" w:eastAsia="Arial" w:hAnsi="Arial"/>
          <w:sz w:val="16"/>
          <w:szCs w:val="16"/>
          <w:color w:val="auto"/>
        </w:rPr>
        <w:t>Pursuant to the “notice and access” rules adopted by the SEC, we are making this Proxy Statement and our 2024 Annual Report on Form 10-K (including any amendments thereto) available to our shareholders over the internet. As a result, unless you have previously requested electronic access to our proxy materials or the receipt of paper proxy materials, you will receive a Notice of Internet Availability of Proxy Materials containing instructions on how to access this Proxy Statement and our 2024 Annual Report on Form 10-K (including any amendments thereto) over the internet, how to request a free paper copy of these materials and how to vote via the internet. We will mail the Notice of Internet Availability of Proxy Materials on or about March 12, 2025. The Notice of Internet Availability of Proxy Materials is not a proxy card and cannot be used to vote your shares.</w:t>
      </w:r>
    </w:p>
    <w:p>
      <w:pPr>
        <w:spacing w:after="0" w:line="80" w:lineRule="exact"/>
        <w:rPr>
          <w:sz w:val="20"/>
          <w:szCs w:val="20"/>
          <w:color w:val="auto"/>
        </w:rPr>
      </w:pPr>
    </w:p>
    <w:p>
      <w:pPr>
        <w:ind w:right="360"/>
        <w:spacing w:after="0" w:line="282" w:lineRule="auto"/>
        <w:rPr>
          <w:sz w:val="20"/>
          <w:szCs w:val="20"/>
          <w:color w:val="auto"/>
        </w:rPr>
      </w:pPr>
      <w:r>
        <w:rPr>
          <w:rFonts w:ascii="Arial" w:cs="Arial" w:eastAsia="Arial" w:hAnsi="Arial"/>
          <w:sz w:val="16"/>
          <w:szCs w:val="16"/>
          <w:color w:val="auto"/>
        </w:rPr>
        <w:t>In addition, if you are voting online, you will be prompted to consent to receiving proxy materials electronically in future years. Choosing to receive your future proxy materials electronically will save us the cost of printing and mailing documents to you and will reduce the impact of our annual meetings of shareholders on the environment. If you choose to receive future proxy materials electronically, you will receive an email next year with instructions containing a link to those materials and a link to the proxy voting site. Your election to receive proxy materials electronically will remain in effect until you terminate it. See “How do I sign up for electronic delivery of proxy materials?” below for further information on electing to receive proxy materials electronically.</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the difference between holding shares as a “record holder” and as a beneficial owner of shares held in “street name”?</w:t>
      </w:r>
    </w:p>
    <w:p>
      <w:pPr>
        <w:spacing w:after="0" w:line="100"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i w:val="1"/>
          <w:iCs w:val="1"/>
          <w:color w:val="auto"/>
        </w:rPr>
        <w:t>Record Holder</w:t>
      </w:r>
      <w:r>
        <w:rPr>
          <w:rFonts w:ascii="Arial" w:cs="Arial" w:eastAsia="Arial" w:hAnsi="Arial"/>
          <w:sz w:val="16"/>
          <w:szCs w:val="16"/>
          <w:color w:val="auto"/>
        </w:rPr>
        <w:t>. If your shares are registered directly in your name with MSCI’s transfer agent, Broadridge Corporate Issuer Solutions, Inc. (including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“Broadridge”), you are considered a “record holder” with respect to those shares, and the Notice of Internet Availability of Proxy Materials will be sent directly to you.</w:t>
      </w:r>
    </w:p>
    <w:p>
      <w:pPr>
        <w:spacing w:after="0" w:line="57" w:lineRule="exact"/>
        <w:rPr>
          <w:sz w:val="20"/>
          <w:szCs w:val="20"/>
          <w:color w:val="auto"/>
        </w:rPr>
      </w:pPr>
    </w:p>
    <w:p>
      <w:pPr>
        <w:spacing w:after="0" w:line="282" w:lineRule="auto"/>
        <w:rPr>
          <w:sz w:val="20"/>
          <w:szCs w:val="20"/>
          <w:color w:val="auto"/>
        </w:rPr>
      </w:pPr>
      <w:r>
        <w:rPr>
          <w:rFonts w:ascii="Arial" w:cs="Arial" w:eastAsia="Arial" w:hAnsi="Arial"/>
          <w:sz w:val="16"/>
          <w:szCs w:val="16"/>
          <w:i w:val="1"/>
          <w:iCs w:val="1"/>
          <w:color w:val="auto"/>
        </w:rPr>
        <w:t>Beneficial Owner of Shares Held in “Street Name</w:t>
      </w:r>
      <w:r>
        <w:rPr>
          <w:rFonts w:ascii="Arial" w:cs="Arial" w:eastAsia="Arial" w:hAnsi="Arial"/>
          <w:sz w:val="16"/>
          <w:szCs w:val="16"/>
          <w:color w:val="auto"/>
        </w:rPr>
        <w:t>.” If your shares are held in an account with a brokerage firm, bank, broker dealer, or other intermediary,</w:t>
      </w:r>
      <w:r>
        <w:rPr>
          <w:rFonts w:ascii="Arial" w:cs="Arial" w:eastAsia="Arial" w:hAnsi="Arial"/>
          <w:sz w:val="16"/>
          <w:szCs w:val="16"/>
          <w:i w:val="1"/>
          <w:iCs w:val="1"/>
          <w:color w:val="auto"/>
        </w:rPr>
        <w:t xml:space="preserve"> </w:t>
      </w:r>
      <w:r>
        <w:rPr>
          <w:rFonts w:ascii="Arial" w:cs="Arial" w:eastAsia="Arial" w:hAnsi="Arial"/>
          <w:sz w:val="16"/>
          <w:szCs w:val="16"/>
          <w:color w:val="auto"/>
        </w:rPr>
        <w:t>then you are considered a beneficial owner of shares held in “street name,” and the Notice of Internet Availability of Proxy Materials and other proxy materials will be forwarded to you by that intermediary. As a beneficial owner of shares held in “street name,” you have the right to direct that intermediary on how to vote the shares held in your account by following their instructions for voting and using their forms. If you do not provide your brokerage firm, bank, broker dealer or other intermediary with instructions on how to vote your shares, such intermediary or intermediary nominee will be able to vote your shares only with respect to the proposal related to the ratification of the appointment of PricewaterhouseCoopers LLP as our independent auditor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type w:val="continuous"/>
        </w:sectPr>
      </w:pPr>
    </w:p>
    <w:bookmarkStart w:id="121" w:name="page122"/>
    <w:bookmarkEnd w:id="121"/>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120</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vote my shares?</w:t>
      </w:r>
    </w:p>
    <w:p>
      <w:pPr>
        <w:spacing w:after="0" w:line="86"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You may direct your vote by internet, telephone or mail. Your vote must be received by the deadline specified on the proxy card or voting instruction form, as applicable.</w:t>
      </w:r>
    </w:p>
    <w:p>
      <w:pPr>
        <w:spacing w:after="0" w:line="228"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auto"/>
        </w:rPr>
        <w:t>If You are a Beneficial Holder of Shares Held in</w:t>
      </w:r>
    </w:p>
    <w:p>
      <w:pPr>
        <w:spacing w:after="0" w:line="29" w:lineRule="exact"/>
        <w:rPr>
          <w:sz w:val="20"/>
          <w:szCs w:val="20"/>
          <w:color w:val="auto"/>
        </w:rPr>
      </w:pPr>
    </w:p>
    <w:p>
      <w:pPr>
        <w:ind w:left="2420"/>
        <w:spacing w:after="0"/>
        <w:tabs>
          <w:tab w:leader="none" w:pos="7120" w:val="left"/>
        </w:tabs>
        <w:rPr>
          <w:sz w:val="20"/>
          <w:szCs w:val="20"/>
          <w:color w:val="auto"/>
        </w:rPr>
      </w:pPr>
      <w:r>
        <w:rPr>
          <w:rFonts w:ascii="Arial" w:cs="Arial" w:eastAsia="Arial" w:hAnsi="Arial"/>
          <w:sz w:val="14"/>
          <w:szCs w:val="14"/>
          <w:b w:val="1"/>
          <w:bCs w:val="1"/>
          <w:color w:val="auto"/>
        </w:rPr>
        <w:t>If You are a Shareholder of Record</w:t>
      </w:r>
      <w:r>
        <w:rPr>
          <w:sz w:val="20"/>
          <w:szCs w:val="20"/>
          <w:color w:val="auto"/>
        </w:rPr>
        <w:tab/>
      </w:r>
      <w:r>
        <w:rPr>
          <w:rFonts w:ascii="Arial" w:cs="Arial" w:eastAsia="Arial" w:hAnsi="Arial"/>
          <w:sz w:val="14"/>
          <w:szCs w:val="14"/>
          <w:b w:val="1"/>
          <w:bCs w:val="1"/>
          <w:color w:val="auto"/>
        </w:rPr>
        <w:t>“Street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p>
      <w:pPr>
        <w:spacing w:after="0" w:line="63" w:lineRule="exact"/>
        <w:rPr>
          <w:sz w:val="20"/>
          <w:szCs w:val="20"/>
          <w:color w:val="auto"/>
        </w:rPr>
      </w:pPr>
    </w:p>
    <w:p>
      <w:pPr>
        <w:ind w:left="20"/>
        <w:spacing w:after="0" w:line="263" w:lineRule="auto"/>
        <w:rPr>
          <w:sz w:val="20"/>
          <w:szCs w:val="20"/>
          <w:color w:val="auto"/>
        </w:rPr>
      </w:pPr>
      <w:r>
        <w:rPr>
          <w:rFonts w:ascii="Arial" w:cs="Arial" w:eastAsia="Arial" w:hAnsi="Arial"/>
          <w:sz w:val="16"/>
          <w:szCs w:val="16"/>
          <w:color w:val="auto"/>
        </w:rPr>
        <w:t>By Internet Prior to the 2025 Annual Meeting*</w:t>
      </w:r>
    </w:p>
    <w:p>
      <w:pPr>
        <w:ind w:left="20"/>
        <w:spacing w:after="0"/>
        <w:rPr>
          <w:sz w:val="20"/>
          <w:szCs w:val="20"/>
          <w:color w:val="auto"/>
        </w:rPr>
      </w:pPr>
      <w:r>
        <w:rPr>
          <w:rFonts w:ascii="Arial" w:cs="Arial" w:eastAsia="Arial" w:hAnsi="Arial"/>
          <w:sz w:val="16"/>
          <w:szCs w:val="16"/>
          <w:color w:val="auto"/>
        </w:rPr>
        <w:t>(24 hours a day):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By Internet During the 2025</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Annual Meeting*:</w:t>
      </w:r>
    </w:p>
    <w:p>
      <w:pPr>
        <w:spacing w:after="0" w:line="200" w:lineRule="exact"/>
        <w:rPr>
          <w:sz w:val="20"/>
          <w:szCs w:val="20"/>
          <w:color w:val="auto"/>
        </w:rPr>
      </w:pPr>
    </w:p>
    <w:p>
      <w:pPr>
        <w:spacing w:after="0" w:line="302" w:lineRule="exact"/>
        <w:rPr>
          <w:sz w:val="20"/>
          <w:szCs w:val="20"/>
          <w:color w:val="auto"/>
        </w:rPr>
      </w:pPr>
    </w:p>
    <w:p>
      <w:pPr>
        <w:ind w:left="20" w:right="800"/>
        <w:spacing w:after="0" w:line="286" w:lineRule="auto"/>
        <w:rPr>
          <w:sz w:val="20"/>
          <w:szCs w:val="20"/>
          <w:color w:val="auto"/>
        </w:rPr>
      </w:pPr>
      <w:r>
        <w:rPr>
          <w:rFonts w:ascii="Arial" w:cs="Arial" w:eastAsia="Arial" w:hAnsi="Arial"/>
          <w:sz w:val="16"/>
          <w:szCs w:val="16"/>
          <w:color w:val="auto"/>
        </w:rPr>
        <w:t>By Telephone* (24 hours a day):</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1A3FD6"/>
        </w:rPr>
        <w:t>www.proxyvote.com</w:t>
      </w:r>
    </w:p>
    <w:p>
      <w:pPr>
        <w:spacing w:after="0" w:line="3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Use the internet to transmit your voting instructions and for electronic delivery of information up until 11:59 P.M. Eastern Time on April 21, 2025. Have your proxy card in hand when you access the website and follow the instructions to obtain your records and to create an electronic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6985</wp:posOffset>
            </wp:positionV>
            <wp:extent cx="7132320" cy="5657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1A3FD6"/>
        </w:rPr>
        <w:t>www.virtualshareholdermeeting.com/MSCI2025</w:t>
      </w:r>
    </w:p>
    <w:p>
      <w:pPr>
        <w:spacing w:after="0" w:line="3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You may attend the meeting via the internet and vote during the meeting. Have your proxy card in hand when you access the website and follow the instructions.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1-800-690-6903</w:t>
      </w:r>
    </w:p>
    <w:p>
      <w:pPr>
        <w:spacing w:after="0" w:line="21"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Use any touch-tone telephone to transmit your voting instructions up until 11:59 P.M. Eastern Time on April 21, 2025. Have your proxy card in hand when you call and then follow the instructions.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1A3FD6"/>
        </w:rPr>
        <w:t>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1A3FD6"/>
        </w:rPr>
        <w:t>www.virtualshareholdermeeting.com/MSCI2025</w:t>
      </w:r>
    </w:p>
    <w:p>
      <w:pPr>
        <w:spacing w:after="0" w:line="200" w:lineRule="exact"/>
        <w:rPr>
          <w:sz w:val="20"/>
          <w:szCs w:val="20"/>
          <w:color w:val="auto"/>
        </w:rPr>
      </w:pPr>
    </w:p>
    <w:p>
      <w:pPr>
        <w:spacing w:after="0" w:line="399"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Follow the voting instructions you receive from your brokerage firm, bank, broker dealer or other intermediary.</w:t>
      </w:r>
    </w:p>
    <w:p>
      <w:pPr>
        <w:spacing w:after="0" w:line="380" w:lineRule="exact"/>
        <w:rPr>
          <w:sz w:val="20"/>
          <w:szCs w:val="20"/>
          <w:color w:val="auto"/>
        </w:rPr>
      </w:pPr>
    </w:p>
    <w:p>
      <w:pPr>
        <w:sectPr>
          <w:pgSz w:w="11900" w:h="16838" w:orient="portrait"/>
          <w:cols w:equalWidth="0" w:num="3">
            <w:col w:w="2060" w:space="360"/>
            <w:col w:w="4540" w:space="180"/>
            <w:col w:w="4100"/>
          </w:cols>
          <w:pgMar w:left="320" w:top="292"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1500" w:type="dxa"/>
            <w:vAlign w:val="bottom"/>
            <w:shd w:val="clear" w:color="auto" w:fill="EDF0FC"/>
          </w:tcPr>
          <w:p>
            <w:pPr>
              <w:ind w:left="20"/>
              <w:spacing w:after="0"/>
              <w:rPr>
                <w:sz w:val="20"/>
                <w:szCs w:val="20"/>
                <w:color w:val="auto"/>
              </w:rPr>
            </w:pPr>
            <w:r>
              <w:rPr>
                <w:rFonts w:ascii="Arial" w:cs="Arial" w:eastAsia="Arial" w:hAnsi="Arial"/>
                <w:sz w:val="16"/>
                <w:szCs w:val="16"/>
                <w:color w:val="auto"/>
              </w:rPr>
              <w:t>By Mail:</w:t>
            </w:r>
          </w:p>
        </w:tc>
        <w:tc>
          <w:tcPr>
            <w:tcW w:w="5500" w:type="dxa"/>
            <w:vAlign w:val="bottom"/>
            <w:shd w:val="clear" w:color="auto" w:fill="EDF0FC"/>
          </w:tcPr>
          <w:p>
            <w:pPr>
              <w:ind w:left="920"/>
              <w:spacing w:after="0"/>
              <w:rPr>
                <w:sz w:val="20"/>
                <w:szCs w:val="20"/>
                <w:color w:val="auto"/>
              </w:rPr>
            </w:pPr>
            <w:r>
              <w:rPr>
                <w:rFonts w:ascii="Arial" w:cs="Arial" w:eastAsia="Arial" w:hAnsi="Arial"/>
                <w:sz w:val="16"/>
                <w:szCs w:val="16"/>
                <w:color w:val="auto"/>
              </w:rPr>
              <w:t>You can vote by mail by requesting a paper copy of the</w:t>
            </w:r>
          </w:p>
        </w:tc>
        <w:tc>
          <w:tcPr>
            <w:tcW w:w="4240" w:type="dxa"/>
            <w:vAlign w:val="bottom"/>
            <w:shd w:val="clear" w:color="auto" w:fill="EDF0FC"/>
          </w:tcPr>
          <w:p>
            <w:pPr>
              <w:ind w:left="140"/>
              <w:spacing w:after="0"/>
              <w:rPr>
                <w:sz w:val="20"/>
                <w:szCs w:val="20"/>
                <w:color w:val="auto"/>
              </w:rPr>
            </w:pPr>
            <w:r>
              <w:rPr>
                <w:rFonts w:ascii="Arial" w:cs="Arial" w:eastAsia="Arial" w:hAnsi="Arial"/>
                <w:sz w:val="16"/>
                <w:szCs w:val="16"/>
                <w:color w:val="auto"/>
              </w:rPr>
              <w:t>Follow the voting instructions you receive from your</w:t>
            </w:r>
          </w:p>
        </w:tc>
      </w:tr>
      <w:tr>
        <w:trPr>
          <w:trHeight w:val="203"/>
        </w:trPr>
        <w:tc>
          <w:tcPr>
            <w:tcW w:w="1500" w:type="dxa"/>
            <w:vAlign w:val="bottom"/>
            <w:shd w:val="clear" w:color="auto" w:fill="EDF0FC"/>
          </w:tcPr>
          <w:p>
            <w:pPr>
              <w:spacing w:after="0"/>
              <w:rPr>
                <w:sz w:val="17"/>
                <w:szCs w:val="17"/>
                <w:color w:val="auto"/>
              </w:rPr>
            </w:pPr>
          </w:p>
        </w:tc>
        <w:tc>
          <w:tcPr>
            <w:tcW w:w="5500" w:type="dxa"/>
            <w:vAlign w:val="bottom"/>
            <w:shd w:val="clear" w:color="auto" w:fill="EDF0FC"/>
          </w:tcPr>
          <w:p>
            <w:pPr>
              <w:ind w:left="920"/>
              <w:spacing w:after="0"/>
              <w:rPr>
                <w:sz w:val="20"/>
                <w:szCs w:val="20"/>
                <w:color w:val="auto"/>
              </w:rPr>
            </w:pPr>
            <w:r>
              <w:rPr>
                <w:rFonts w:ascii="Arial" w:cs="Arial" w:eastAsia="Arial" w:hAnsi="Arial"/>
                <w:sz w:val="16"/>
                <w:szCs w:val="16"/>
                <w:color w:val="auto"/>
              </w:rPr>
              <w:t>materials, which will include a proxy card. Mark, sign and date</w:t>
            </w:r>
          </w:p>
        </w:tc>
        <w:tc>
          <w:tcPr>
            <w:tcW w:w="4240" w:type="dxa"/>
            <w:vAlign w:val="bottom"/>
            <w:shd w:val="clear" w:color="auto" w:fill="EDF0FC"/>
          </w:tcPr>
          <w:p>
            <w:pPr>
              <w:ind w:left="140"/>
              <w:spacing w:after="0"/>
              <w:rPr>
                <w:sz w:val="20"/>
                <w:szCs w:val="20"/>
                <w:color w:val="auto"/>
              </w:rPr>
            </w:pPr>
            <w:r>
              <w:rPr>
                <w:rFonts w:ascii="Arial" w:cs="Arial" w:eastAsia="Arial" w:hAnsi="Arial"/>
                <w:sz w:val="16"/>
                <w:szCs w:val="16"/>
                <w:color w:val="auto"/>
              </w:rPr>
              <w:t>brokerage firm, bank, broker dealer or other</w:t>
            </w:r>
          </w:p>
        </w:tc>
      </w:tr>
      <w:tr>
        <w:trPr>
          <w:trHeight w:val="189"/>
        </w:trPr>
        <w:tc>
          <w:tcPr>
            <w:tcW w:w="1500" w:type="dxa"/>
            <w:vAlign w:val="bottom"/>
            <w:shd w:val="clear" w:color="auto" w:fill="EDF0FC"/>
          </w:tcPr>
          <w:p>
            <w:pPr>
              <w:spacing w:after="0"/>
              <w:rPr>
                <w:sz w:val="16"/>
                <w:szCs w:val="16"/>
                <w:color w:val="auto"/>
              </w:rPr>
            </w:pPr>
          </w:p>
        </w:tc>
        <w:tc>
          <w:tcPr>
            <w:tcW w:w="5500" w:type="dxa"/>
            <w:vAlign w:val="bottom"/>
            <w:shd w:val="clear" w:color="auto" w:fill="EDF0FC"/>
          </w:tcPr>
          <w:p>
            <w:pPr>
              <w:ind w:left="920"/>
              <w:spacing w:after="0"/>
              <w:rPr>
                <w:sz w:val="20"/>
                <w:szCs w:val="20"/>
                <w:color w:val="auto"/>
              </w:rPr>
            </w:pPr>
            <w:r>
              <w:rPr>
                <w:rFonts w:ascii="Arial" w:cs="Arial" w:eastAsia="Arial" w:hAnsi="Arial"/>
                <w:sz w:val="16"/>
                <w:szCs w:val="16"/>
                <w:color w:val="auto"/>
              </w:rPr>
              <w:t>your proxy card and return it in the postage-paid envelope we</w:t>
            </w:r>
          </w:p>
        </w:tc>
        <w:tc>
          <w:tcPr>
            <w:tcW w:w="4240" w:type="dxa"/>
            <w:vAlign w:val="bottom"/>
            <w:shd w:val="clear" w:color="auto" w:fill="EDF0FC"/>
          </w:tcPr>
          <w:p>
            <w:pPr>
              <w:ind w:left="140"/>
              <w:spacing w:after="0"/>
              <w:rPr>
                <w:sz w:val="20"/>
                <w:szCs w:val="20"/>
                <w:color w:val="auto"/>
              </w:rPr>
            </w:pPr>
            <w:r>
              <w:rPr>
                <w:rFonts w:ascii="Arial" w:cs="Arial" w:eastAsia="Arial" w:hAnsi="Arial"/>
                <w:sz w:val="16"/>
                <w:szCs w:val="16"/>
                <w:color w:val="auto"/>
              </w:rPr>
              <w:t>intermediary.</w:t>
            </w:r>
          </w:p>
        </w:tc>
      </w:tr>
      <w:tr>
        <w:trPr>
          <w:trHeight w:val="189"/>
        </w:trPr>
        <w:tc>
          <w:tcPr>
            <w:tcW w:w="1500" w:type="dxa"/>
            <w:vAlign w:val="bottom"/>
            <w:shd w:val="clear" w:color="auto" w:fill="EDF0FC"/>
          </w:tcPr>
          <w:p>
            <w:pPr>
              <w:spacing w:after="0"/>
              <w:rPr>
                <w:sz w:val="16"/>
                <w:szCs w:val="16"/>
                <w:color w:val="auto"/>
              </w:rPr>
            </w:pPr>
          </w:p>
        </w:tc>
        <w:tc>
          <w:tcPr>
            <w:tcW w:w="5500" w:type="dxa"/>
            <w:vAlign w:val="bottom"/>
            <w:shd w:val="clear" w:color="auto" w:fill="EDF0FC"/>
          </w:tcPr>
          <w:p>
            <w:pPr>
              <w:ind w:left="920"/>
              <w:spacing w:after="0"/>
              <w:rPr>
                <w:sz w:val="20"/>
                <w:szCs w:val="20"/>
                <w:color w:val="auto"/>
              </w:rPr>
            </w:pPr>
            <w:r>
              <w:rPr>
                <w:rFonts w:ascii="Arial" w:cs="Arial" w:eastAsia="Arial" w:hAnsi="Arial"/>
                <w:sz w:val="16"/>
                <w:szCs w:val="16"/>
                <w:color w:val="auto"/>
              </w:rPr>
              <w:t>have provided or return it to Vote Processing, c/o Broadridge,</w:t>
            </w:r>
          </w:p>
        </w:tc>
        <w:tc>
          <w:tcPr>
            <w:tcW w:w="4240" w:type="dxa"/>
            <w:vAlign w:val="bottom"/>
            <w:shd w:val="clear" w:color="auto" w:fill="EDF0FC"/>
          </w:tcPr>
          <w:p>
            <w:pPr>
              <w:spacing w:after="0"/>
              <w:rPr>
                <w:sz w:val="16"/>
                <w:szCs w:val="16"/>
                <w:color w:val="auto"/>
              </w:rPr>
            </w:pPr>
          </w:p>
        </w:tc>
      </w:tr>
      <w:tr>
        <w:trPr>
          <w:trHeight w:val="224"/>
        </w:trPr>
        <w:tc>
          <w:tcPr>
            <w:tcW w:w="1500" w:type="dxa"/>
            <w:vAlign w:val="bottom"/>
            <w:tcBorders>
              <w:bottom w:val="single" w:sz="8" w:color="EDF0FC"/>
            </w:tcBorders>
            <w:shd w:val="clear" w:color="auto" w:fill="EDF0FC"/>
          </w:tcPr>
          <w:p>
            <w:pPr>
              <w:spacing w:after="0"/>
              <w:rPr>
                <w:sz w:val="19"/>
                <w:szCs w:val="19"/>
                <w:color w:val="auto"/>
              </w:rPr>
            </w:pPr>
          </w:p>
        </w:tc>
        <w:tc>
          <w:tcPr>
            <w:tcW w:w="5500" w:type="dxa"/>
            <w:vAlign w:val="bottom"/>
            <w:tcBorders>
              <w:bottom w:val="single" w:sz="8" w:color="EDF0FC"/>
            </w:tcBorders>
            <w:shd w:val="clear" w:color="auto" w:fill="EDF0FC"/>
          </w:tcPr>
          <w:p>
            <w:pPr>
              <w:ind w:left="920"/>
              <w:spacing w:after="0"/>
              <w:rPr>
                <w:sz w:val="20"/>
                <w:szCs w:val="20"/>
                <w:color w:val="auto"/>
              </w:rPr>
            </w:pPr>
            <w:r>
              <w:rPr>
                <w:rFonts w:ascii="Arial" w:cs="Arial" w:eastAsia="Arial" w:hAnsi="Arial"/>
                <w:sz w:val="16"/>
                <w:szCs w:val="16"/>
                <w:color w:val="auto"/>
              </w:rPr>
              <w:t>51 Mercedes Way, Edgewood, NY 11717</w:t>
            </w:r>
          </w:p>
        </w:tc>
        <w:tc>
          <w:tcPr>
            <w:tcW w:w="4240" w:type="dxa"/>
            <w:vAlign w:val="bottom"/>
            <w:tcBorders>
              <w:bottom w:val="single" w:sz="8" w:color="EDF0FC"/>
            </w:tcBorders>
            <w:shd w:val="clear" w:color="auto" w:fill="EDF0FC"/>
          </w:tcPr>
          <w:p>
            <w:pPr>
              <w:spacing w:after="0"/>
              <w:rPr>
                <w:sz w:val="19"/>
                <w:szCs w:val="19"/>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5500" w:type="dxa"/>
            <w:vAlign w:val="bottom"/>
            <w:shd w:val="clear" w:color="auto" w:fill="000000"/>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r>
    </w:tbl>
    <w:p>
      <w:pPr>
        <w:spacing w:after="0" w:line="180" w:lineRule="exact"/>
        <w:rPr>
          <w:sz w:val="20"/>
          <w:szCs w:val="20"/>
          <w:color w:val="auto"/>
        </w:rPr>
      </w:pPr>
    </w:p>
    <w:p>
      <w:pPr>
        <w:ind w:left="200" w:right="200" w:hanging="192"/>
        <w:spacing w:after="0" w:line="305" w:lineRule="auto"/>
        <w:tabs>
          <w:tab w:leader="none" w:pos="222" w:val="left"/>
        </w:tabs>
        <w:numPr>
          <w:ilvl w:val="0"/>
          <w:numId w:val="139"/>
        </w:numPr>
        <w:rPr>
          <w:rFonts w:ascii="Arial" w:cs="Arial" w:eastAsia="Arial" w:hAnsi="Arial"/>
          <w:sz w:val="14"/>
          <w:szCs w:val="14"/>
          <w:color w:val="auto"/>
        </w:rPr>
      </w:pPr>
      <w:r>
        <w:rPr>
          <w:rFonts w:ascii="Arial" w:cs="Arial" w:eastAsia="Arial" w:hAnsi="Arial"/>
          <w:sz w:val="14"/>
          <w:szCs w:val="14"/>
          <w:color w:val="auto"/>
        </w:rPr>
        <w:t>While MSCI and Broadridge do not charge any fees for voting by internet or telephone, there may be related costs from other parties, such as usage charges from internet access providers and telephone companies, for which you are responsible.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does the Board recommend that I vote and what vote is required for adoption or approval of each matter to be voted 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2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Proposal No.</w:t>
            </w:r>
          </w:p>
        </w:tc>
        <w:tc>
          <w:tcPr>
            <w:tcW w:w="2920" w:type="dxa"/>
            <w:vAlign w:val="bottom"/>
            <w:tcBorders>
              <w:bottom w:val="single" w:sz="8" w:color="1A3FD6"/>
            </w:tcBorders>
          </w:tcPr>
          <w:p>
            <w:pPr>
              <w:ind w:left="200"/>
              <w:spacing w:after="0"/>
              <w:rPr>
                <w:sz w:val="20"/>
                <w:szCs w:val="20"/>
                <w:color w:val="auto"/>
              </w:rPr>
            </w:pPr>
            <w:r>
              <w:rPr>
                <w:rFonts w:ascii="Arial" w:cs="Arial" w:eastAsia="Arial" w:hAnsi="Arial"/>
                <w:sz w:val="14"/>
                <w:szCs w:val="14"/>
                <w:b w:val="1"/>
                <w:bCs w:val="1"/>
                <w:color w:val="auto"/>
              </w:rPr>
              <w:t>Proposal</w:t>
            </w:r>
          </w:p>
        </w:tc>
        <w:tc>
          <w:tcPr>
            <w:tcW w:w="4080" w:type="dxa"/>
            <w:vAlign w:val="bottom"/>
            <w:tcBorders>
              <w:bottom w:val="single" w:sz="8" w:color="1A3FD6"/>
            </w:tcBorders>
          </w:tcPr>
          <w:p>
            <w:pPr>
              <w:ind w:left="140"/>
              <w:spacing w:after="0"/>
              <w:rPr>
                <w:sz w:val="20"/>
                <w:szCs w:val="20"/>
                <w:color w:val="auto"/>
              </w:rPr>
            </w:pPr>
            <w:r>
              <w:rPr>
                <w:rFonts w:ascii="Arial" w:cs="Arial" w:eastAsia="Arial" w:hAnsi="Arial"/>
                <w:sz w:val="14"/>
                <w:szCs w:val="14"/>
                <w:b w:val="1"/>
                <w:bCs w:val="1"/>
                <w:color w:val="auto"/>
              </w:rPr>
              <w:t>Vote Required</w:t>
            </w:r>
          </w:p>
        </w:tc>
        <w:tc>
          <w:tcPr>
            <w:tcW w:w="3120" w:type="dxa"/>
            <w:vAlign w:val="bottom"/>
            <w:tcBorders>
              <w:bottom w:val="single" w:sz="8" w:color="1A3FD6"/>
            </w:tcBorders>
          </w:tcPr>
          <w:p>
            <w:pPr>
              <w:ind w:left="100"/>
              <w:spacing w:after="0"/>
              <w:rPr>
                <w:sz w:val="20"/>
                <w:szCs w:val="20"/>
                <w:color w:val="auto"/>
              </w:rPr>
            </w:pPr>
            <w:r>
              <w:rPr>
                <w:rFonts w:ascii="Arial" w:cs="Arial" w:eastAsia="Arial" w:hAnsi="Arial"/>
                <w:sz w:val="14"/>
                <w:szCs w:val="14"/>
                <w:b w:val="1"/>
                <w:bCs w:val="1"/>
                <w:color w:val="auto"/>
              </w:rPr>
              <w:t>Directors’ Recommendation</w:t>
            </w:r>
          </w:p>
        </w:tc>
      </w:tr>
      <w:tr>
        <w:trPr>
          <w:trHeight w:val="215"/>
        </w:trPr>
        <w:tc>
          <w:tcPr>
            <w:tcW w:w="1120" w:type="dxa"/>
            <w:vAlign w:val="bottom"/>
          </w:tcPr>
          <w:p>
            <w:pPr>
              <w:ind w:left="20"/>
              <w:spacing w:after="0"/>
              <w:rPr>
                <w:sz w:val="20"/>
                <w:szCs w:val="20"/>
                <w:color w:val="auto"/>
              </w:rPr>
            </w:pPr>
            <w:r>
              <w:rPr>
                <w:rFonts w:ascii="Arial" w:cs="Arial" w:eastAsia="Arial" w:hAnsi="Arial"/>
                <w:sz w:val="16"/>
                <w:szCs w:val="16"/>
                <w:color w:val="auto"/>
              </w:rPr>
              <w:t>1</w:t>
            </w:r>
          </w:p>
        </w:tc>
        <w:tc>
          <w:tcPr>
            <w:tcW w:w="2920" w:type="dxa"/>
            <w:vAlign w:val="bottom"/>
          </w:tcPr>
          <w:p>
            <w:pPr>
              <w:ind w:left="200"/>
              <w:spacing w:after="0"/>
              <w:rPr>
                <w:sz w:val="20"/>
                <w:szCs w:val="20"/>
                <w:color w:val="auto"/>
              </w:rPr>
            </w:pPr>
            <w:r>
              <w:rPr>
                <w:rFonts w:ascii="Arial" w:cs="Arial" w:eastAsia="Arial" w:hAnsi="Arial"/>
                <w:sz w:val="16"/>
                <w:szCs w:val="16"/>
                <w:color w:val="auto"/>
              </w:rPr>
              <w:t>Election of Directors</w:t>
            </w:r>
          </w:p>
        </w:tc>
        <w:tc>
          <w:tcPr>
            <w:tcW w:w="4080" w:type="dxa"/>
            <w:vAlign w:val="bottom"/>
          </w:tcPr>
          <w:p>
            <w:pPr>
              <w:ind w:left="140"/>
              <w:spacing w:after="0"/>
              <w:rPr>
                <w:sz w:val="20"/>
                <w:szCs w:val="20"/>
                <w:color w:val="auto"/>
              </w:rPr>
            </w:pPr>
            <w:r>
              <w:rPr>
                <w:rFonts w:ascii="Arial" w:cs="Arial" w:eastAsia="Arial" w:hAnsi="Arial"/>
                <w:sz w:val="16"/>
                <w:szCs w:val="16"/>
                <w:color w:val="auto"/>
              </w:rPr>
              <w:t>Number of votes cast “FOR” exceeds number of</w:t>
            </w:r>
          </w:p>
        </w:tc>
        <w:tc>
          <w:tcPr>
            <w:tcW w:w="3120" w:type="dxa"/>
            <w:vAlign w:val="bottom"/>
          </w:tcPr>
          <w:p>
            <w:pPr>
              <w:ind w:left="10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all nominees</w:t>
            </w:r>
          </w:p>
        </w:tc>
      </w:tr>
      <w:tr>
        <w:trPr>
          <w:trHeight w:val="222"/>
        </w:trPr>
        <w:tc>
          <w:tcPr>
            <w:tcW w:w="11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4080" w:type="dxa"/>
            <w:vAlign w:val="bottom"/>
          </w:tcPr>
          <w:p>
            <w:pPr>
              <w:ind w:left="140"/>
              <w:spacing w:after="0"/>
              <w:rPr>
                <w:sz w:val="20"/>
                <w:szCs w:val="20"/>
                <w:color w:val="auto"/>
              </w:rPr>
            </w:pPr>
            <w:r>
              <w:rPr>
                <w:rFonts w:ascii="Arial" w:cs="Arial" w:eastAsia="Arial" w:hAnsi="Arial"/>
                <w:sz w:val="16"/>
                <w:szCs w:val="16"/>
                <w:color w:val="auto"/>
              </w:rPr>
              <w:t>votes cast “AGAINST” for each director</w:t>
            </w:r>
          </w:p>
        </w:tc>
        <w:tc>
          <w:tcPr>
            <w:tcW w:w="3120" w:type="dxa"/>
            <w:vAlign w:val="bottom"/>
          </w:tcPr>
          <w:p>
            <w:pPr>
              <w:spacing w:after="0"/>
              <w:rPr>
                <w:sz w:val="19"/>
                <w:szCs w:val="19"/>
                <w:color w:val="auto"/>
              </w:rPr>
            </w:pPr>
          </w:p>
        </w:tc>
      </w:tr>
      <w:tr>
        <w:trPr>
          <w:trHeight w:val="223"/>
        </w:trPr>
        <w:tc>
          <w:tcPr>
            <w:tcW w:w="1120" w:type="dxa"/>
            <w:vAlign w:val="bottom"/>
            <w:shd w:val="clear" w:color="auto" w:fill="EDF0FC"/>
          </w:tcPr>
          <w:p>
            <w:pPr>
              <w:ind w:left="20"/>
              <w:spacing w:after="0"/>
              <w:rPr>
                <w:sz w:val="20"/>
                <w:szCs w:val="20"/>
                <w:color w:val="auto"/>
              </w:rPr>
            </w:pPr>
            <w:r>
              <w:rPr>
                <w:rFonts w:ascii="Arial" w:cs="Arial" w:eastAsia="Arial" w:hAnsi="Arial"/>
                <w:sz w:val="16"/>
                <w:szCs w:val="16"/>
                <w:color w:val="auto"/>
              </w:rPr>
              <w:t>2</w:t>
            </w:r>
          </w:p>
        </w:tc>
        <w:tc>
          <w:tcPr>
            <w:tcW w:w="2920" w:type="dxa"/>
            <w:vAlign w:val="bottom"/>
            <w:shd w:val="clear" w:color="auto" w:fill="EDF0FC"/>
          </w:tcPr>
          <w:p>
            <w:pPr>
              <w:ind w:left="200"/>
              <w:spacing w:after="0"/>
              <w:rPr>
                <w:sz w:val="20"/>
                <w:szCs w:val="20"/>
                <w:color w:val="auto"/>
              </w:rPr>
            </w:pPr>
            <w:r>
              <w:rPr>
                <w:rFonts w:ascii="Arial" w:cs="Arial" w:eastAsia="Arial" w:hAnsi="Arial"/>
                <w:sz w:val="16"/>
                <w:szCs w:val="16"/>
                <w:color w:val="auto"/>
              </w:rPr>
              <w:t>Advisory Vote to Approve Executive</w:t>
            </w:r>
          </w:p>
        </w:tc>
        <w:tc>
          <w:tcPr>
            <w:tcW w:w="4080" w:type="dxa"/>
            <w:vAlign w:val="bottom"/>
            <w:shd w:val="clear" w:color="auto" w:fill="EDF0FC"/>
          </w:tcPr>
          <w:p>
            <w:pPr>
              <w:ind w:left="140"/>
              <w:spacing w:after="0"/>
              <w:rPr>
                <w:sz w:val="20"/>
                <w:szCs w:val="20"/>
                <w:color w:val="auto"/>
              </w:rPr>
            </w:pPr>
            <w:r>
              <w:rPr>
                <w:rFonts w:ascii="Arial" w:cs="Arial" w:eastAsia="Arial" w:hAnsi="Arial"/>
                <w:sz w:val="16"/>
                <w:szCs w:val="16"/>
                <w:color w:val="auto"/>
              </w:rPr>
              <w:t>Majority of the total votes cast by holders of shares</w:t>
            </w:r>
          </w:p>
        </w:tc>
        <w:tc>
          <w:tcPr>
            <w:tcW w:w="3120" w:type="dxa"/>
            <w:vAlign w:val="bottom"/>
            <w:shd w:val="clear" w:color="auto" w:fill="EDF0FC"/>
          </w:tcPr>
          <w:p>
            <w:pPr>
              <w:ind w:left="10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of the Executive</w:t>
            </w:r>
          </w:p>
        </w:tc>
      </w:tr>
      <w:tr>
        <w:trPr>
          <w:trHeight w:val="189"/>
        </w:trPr>
        <w:tc>
          <w:tcPr>
            <w:tcW w:w="1120" w:type="dxa"/>
            <w:vAlign w:val="bottom"/>
            <w:shd w:val="clear" w:color="auto" w:fill="EDF0FC"/>
          </w:tcPr>
          <w:p>
            <w:pPr>
              <w:spacing w:after="0"/>
              <w:rPr>
                <w:sz w:val="16"/>
                <w:szCs w:val="16"/>
                <w:color w:val="auto"/>
              </w:rPr>
            </w:pPr>
          </w:p>
        </w:tc>
        <w:tc>
          <w:tcPr>
            <w:tcW w:w="2920" w:type="dxa"/>
            <w:vAlign w:val="bottom"/>
            <w:shd w:val="clear" w:color="auto" w:fill="EDF0FC"/>
          </w:tcPr>
          <w:p>
            <w:pPr>
              <w:ind w:left="200"/>
              <w:spacing w:after="0"/>
              <w:rPr>
                <w:sz w:val="20"/>
                <w:szCs w:val="20"/>
                <w:color w:val="auto"/>
              </w:rPr>
            </w:pPr>
            <w:r>
              <w:rPr>
                <w:rFonts w:ascii="Arial" w:cs="Arial" w:eastAsia="Arial" w:hAnsi="Arial"/>
                <w:sz w:val="16"/>
                <w:szCs w:val="16"/>
                <w:color w:val="auto"/>
              </w:rPr>
              <w:t>Compensation</w:t>
            </w:r>
          </w:p>
        </w:tc>
        <w:tc>
          <w:tcPr>
            <w:tcW w:w="4080" w:type="dxa"/>
            <w:vAlign w:val="bottom"/>
            <w:shd w:val="clear" w:color="auto" w:fill="EDF0FC"/>
          </w:tcPr>
          <w:p>
            <w:pPr>
              <w:ind w:left="140"/>
              <w:spacing w:after="0"/>
              <w:rPr>
                <w:sz w:val="20"/>
                <w:szCs w:val="20"/>
                <w:color w:val="auto"/>
              </w:rPr>
            </w:pPr>
            <w:r>
              <w:rPr>
                <w:rFonts w:ascii="Arial" w:cs="Arial" w:eastAsia="Arial" w:hAnsi="Arial"/>
                <w:sz w:val="16"/>
                <w:szCs w:val="16"/>
                <w:color w:val="auto"/>
              </w:rPr>
              <w:t>present through the virtual meeting or represented by</w:t>
            </w:r>
          </w:p>
        </w:tc>
        <w:tc>
          <w:tcPr>
            <w:tcW w:w="3120" w:type="dxa"/>
            <w:vAlign w:val="bottom"/>
            <w:shd w:val="clear" w:color="auto" w:fill="EDF0FC"/>
          </w:tcPr>
          <w:p>
            <w:pPr>
              <w:ind w:left="100"/>
              <w:spacing w:after="0"/>
              <w:rPr>
                <w:sz w:val="20"/>
                <w:szCs w:val="20"/>
                <w:color w:val="auto"/>
              </w:rPr>
            </w:pPr>
            <w:r>
              <w:rPr>
                <w:rFonts w:ascii="Arial" w:cs="Arial" w:eastAsia="Arial" w:hAnsi="Arial"/>
                <w:sz w:val="16"/>
                <w:szCs w:val="16"/>
                <w:color w:val="auto"/>
              </w:rPr>
              <w:t>Compensation of our NEOs</w:t>
            </w:r>
          </w:p>
        </w:tc>
      </w:tr>
      <w:tr>
        <w:trPr>
          <w:trHeight w:val="230"/>
        </w:trPr>
        <w:tc>
          <w:tcPr>
            <w:tcW w:w="1120" w:type="dxa"/>
            <w:vAlign w:val="bottom"/>
            <w:shd w:val="clear" w:color="auto" w:fill="EDF0FC"/>
          </w:tcPr>
          <w:p>
            <w:pPr>
              <w:spacing w:after="0"/>
              <w:rPr>
                <w:sz w:val="20"/>
                <w:szCs w:val="20"/>
                <w:color w:val="auto"/>
              </w:rPr>
            </w:pPr>
          </w:p>
        </w:tc>
        <w:tc>
          <w:tcPr>
            <w:tcW w:w="2920" w:type="dxa"/>
            <w:vAlign w:val="bottom"/>
            <w:shd w:val="clear" w:color="auto" w:fill="EDF0FC"/>
          </w:tcPr>
          <w:p>
            <w:pPr>
              <w:ind w:left="200"/>
              <w:spacing w:after="0"/>
              <w:rPr>
                <w:sz w:val="20"/>
                <w:szCs w:val="20"/>
                <w:color w:val="auto"/>
              </w:rPr>
            </w:pPr>
            <w:r>
              <w:rPr>
                <w:rFonts w:ascii="Arial" w:cs="Arial" w:eastAsia="Arial" w:hAnsi="Arial"/>
                <w:sz w:val="16"/>
                <w:szCs w:val="16"/>
                <w:color w:val="auto"/>
              </w:rPr>
              <w:t>(Say-on-Pay)</w:t>
            </w:r>
          </w:p>
        </w:tc>
        <w:tc>
          <w:tcPr>
            <w:tcW w:w="4080" w:type="dxa"/>
            <w:vAlign w:val="bottom"/>
            <w:shd w:val="clear" w:color="auto" w:fill="EDF0FC"/>
          </w:tcPr>
          <w:p>
            <w:pPr>
              <w:ind w:left="140"/>
              <w:spacing w:after="0"/>
              <w:rPr>
                <w:sz w:val="20"/>
                <w:szCs w:val="20"/>
                <w:color w:val="auto"/>
              </w:rPr>
            </w:pPr>
            <w:r>
              <w:rPr>
                <w:rFonts w:ascii="Arial" w:cs="Arial" w:eastAsia="Arial" w:hAnsi="Arial"/>
                <w:sz w:val="16"/>
                <w:szCs w:val="16"/>
                <w:color w:val="auto"/>
              </w:rPr>
              <w:t>proxy</w:t>
            </w:r>
          </w:p>
        </w:tc>
        <w:tc>
          <w:tcPr>
            <w:tcW w:w="3120" w:type="dxa"/>
            <w:vAlign w:val="bottom"/>
            <w:shd w:val="clear" w:color="auto" w:fill="EDF0FC"/>
          </w:tcPr>
          <w:p>
            <w:pPr>
              <w:spacing w:after="0"/>
              <w:rPr>
                <w:sz w:val="20"/>
                <w:szCs w:val="20"/>
                <w:color w:val="auto"/>
              </w:rPr>
            </w:pPr>
          </w:p>
        </w:tc>
      </w:tr>
    </w:tbl>
    <w:p>
      <w:pPr>
        <w:spacing w:after="0" w:line="13" w:lineRule="exact"/>
        <w:rPr>
          <w:sz w:val="20"/>
          <w:szCs w:val="20"/>
          <w:color w:val="auto"/>
        </w:rPr>
      </w:pPr>
    </w:p>
    <w:p>
      <w:pPr>
        <w:sectPr>
          <w:pgSz w:w="11900" w:h="16838" w:orient="portrait"/>
          <w:cols w:equalWidth="0" w:num="1">
            <w:col w:w="11240"/>
          </w:cols>
          <w:pgMar w:left="320" w:top="292" w:right="339" w:bottom="1440" w:gutter="0" w:footer="0" w:header="0"/>
          <w:type w:val="continuous"/>
        </w:sectPr>
      </w:pPr>
    </w:p>
    <w:tbl>
      <w:tblPr>
        <w:tblLayout w:type="fixed"/>
        <w:tblInd w:w="20" w:type="dxa"/>
        <w:tblCellMar>
          <w:top w:w="0" w:type="dxa"/>
          <w:left w:w="0" w:type="dxa"/>
          <w:bottom w:w="0" w:type="dxa"/>
          <w:right w:w="0" w:type="dxa"/>
        </w:tblCellMar>
      </w:tblPr>
      <w:tr>
        <w:trPr>
          <w:trHeight w:val="203"/>
        </w:trPr>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3</w:t>
            </w:r>
          </w:p>
        </w:tc>
        <w:tc>
          <w:tcPr>
            <w:tcW w:w="3160" w:type="dxa"/>
            <w:vAlign w:val="bottom"/>
          </w:tcPr>
          <w:p>
            <w:pPr>
              <w:ind w:left="600"/>
              <w:spacing w:after="0"/>
              <w:rPr>
                <w:sz w:val="20"/>
                <w:szCs w:val="20"/>
                <w:color w:val="auto"/>
              </w:rPr>
            </w:pPr>
            <w:r>
              <w:rPr>
                <w:rFonts w:ascii="Arial" w:cs="Arial" w:eastAsia="Arial" w:hAnsi="Arial"/>
                <w:sz w:val="16"/>
                <w:szCs w:val="16"/>
                <w:color w:val="auto"/>
              </w:rPr>
              <w:t>Approval of the MSCI Inc. 2025</w:t>
            </w:r>
          </w:p>
        </w:tc>
        <w:tc>
          <w:tcPr>
            <w:tcW w:w="4120" w:type="dxa"/>
            <w:vAlign w:val="bottom"/>
          </w:tcPr>
          <w:p>
            <w:pPr>
              <w:ind w:left="300"/>
              <w:spacing w:after="0"/>
              <w:rPr>
                <w:sz w:val="20"/>
                <w:szCs w:val="20"/>
                <w:color w:val="auto"/>
              </w:rPr>
            </w:pPr>
            <w:r>
              <w:rPr>
                <w:rFonts w:ascii="Arial" w:cs="Arial" w:eastAsia="Arial" w:hAnsi="Arial"/>
                <w:sz w:val="16"/>
                <w:szCs w:val="16"/>
                <w:color w:val="auto"/>
              </w:rPr>
              <w:t>Majority of the total votes cast by holders of shares</w:t>
            </w:r>
          </w:p>
        </w:tc>
      </w:tr>
      <w:tr>
        <w:trPr>
          <w:trHeight w:val="189"/>
        </w:trPr>
        <w:tc>
          <w:tcPr>
            <w:tcW w:w="700" w:type="dxa"/>
            <w:vAlign w:val="bottom"/>
          </w:tcPr>
          <w:p>
            <w:pPr>
              <w:spacing w:after="0"/>
              <w:rPr>
                <w:sz w:val="16"/>
                <w:szCs w:val="16"/>
                <w:color w:val="auto"/>
              </w:rPr>
            </w:pPr>
          </w:p>
        </w:tc>
        <w:tc>
          <w:tcPr>
            <w:tcW w:w="3160" w:type="dxa"/>
            <w:vAlign w:val="bottom"/>
          </w:tcPr>
          <w:p>
            <w:pPr>
              <w:ind w:left="600"/>
              <w:spacing w:after="0"/>
              <w:rPr>
                <w:sz w:val="20"/>
                <w:szCs w:val="20"/>
                <w:color w:val="auto"/>
              </w:rPr>
            </w:pPr>
            <w:r>
              <w:rPr>
                <w:rFonts w:ascii="Arial" w:cs="Arial" w:eastAsia="Arial" w:hAnsi="Arial"/>
                <w:sz w:val="16"/>
                <w:szCs w:val="16"/>
                <w:color w:val="auto"/>
              </w:rPr>
              <w:t>Omnibus Incentive Plan</w:t>
            </w:r>
          </w:p>
        </w:tc>
        <w:tc>
          <w:tcPr>
            <w:tcW w:w="4120" w:type="dxa"/>
            <w:vAlign w:val="bottom"/>
          </w:tcPr>
          <w:p>
            <w:pPr>
              <w:ind w:left="300"/>
              <w:spacing w:after="0"/>
              <w:rPr>
                <w:sz w:val="20"/>
                <w:szCs w:val="20"/>
                <w:color w:val="auto"/>
              </w:rPr>
            </w:pPr>
            <w:r>
              <w:rPr>
                <w:rFonts w:ascii="Arial" w:cs="Arial" w:eastAsia="Arial" w:hAnsi="Arial"/>
                <w:sz w:val="16"/>
                <w:szCs w:val="16"/>
                <w:color w:val="auto"/>
              </w:rPr>
              <w:t>present through the virtual meeting or represented by</w:t>
            </w:r>
          </w:p>
        </w:tc>
      </w:tr>
      <w:tr>
        <w:trPr>
          <w:trHeight w:val="215"/>
        </w:trPr>
        <w:tc>
          <w:tcPr>
            <w:tcW w:w="7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120" w:type="dxa"/>
            <w:vAlign w:val="bottom"/>
          </w:tcPr>
          <w:p>
            <w:pPr>
              <w:ind w:left="300"/>
              <w:spacing w:after="0"/>
              <w:rPr>
                <w:sz w:val="20"/>
                <w:szCs w:val="20"/>
                <w:color w:val="auto"/>
              </w:rPr>
            </w:pPr>
            <w:r>
              <w:rPr>
                <w:rFonts w:ascii="Arial" w:cs="Arial" w:eastAsia="Arial" w:hAnsi="Arial"/>
                <w:sz w:val="16"/>
                <w:szCs w:val="16"/>
                <w:color w:val="auto"/>
              </w:rPr>
              <w:t>proxy</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of the MSCI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2025 Omnibus Incentive Plan</w:t>
      </w:r>
    </w:p>
    <w:p>
      <w:pPr>
        <w:spacing w:after="0" w:line="223" w:lineRule="exact"/>
        <w:rPr>
          <w:sz w:val="20"/>
          <w:szCs w:val="20"/>
          <w:color w:val="auto"/>
        </w:rPr>
      </w:pPr>
    </w:p>
    <w:p>
      <w:pPr>
        <w:sectPr>
          <w:pgSz w:w="11900" w:h="16838" w:orient="portrait"/>
          <w:cols w:equalWidth="0" w:num="2">
            <w:col w:w="8000" w:space="220"/>
            <w:col w:w="3020"/>
          </w:cols>
          <w:pgMar w:left="320" w:top="292" w:right="33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720" w:type="dxa"/>
            <w:vAlign w:val="bottom"/>
            <w:shd w:val="clear" w:color="auto" w:fill="EDF0FC"/>
          </w:tcPr>
          <w:p>
            <w:pPr>
              <w:jc w:val="right"/>
              <w:ind w:right="519"/>
              <w:spacing w:after="0"/>
              <w:rPr>
                <w:sz w:val="20"/>
                <w:szCs w:val="20"/>
                <w:color w:val="auto"/>
              </w:rPr>
            </w:pPr>
            <w:r>
              <w:rPr>
                <w:rFonts w:ascii="Arial" w:cs="Arial" w:eastAsia="Arial" w:hAnsi="Arial"/>
                <w:sz w:val="16"/>
                <w:szCs w:val="16"/>
                <w:color w:val="auto"/>
              </w:rPr>
              <w:t>4</w:t>
            </w:r>
          </w:p>
        </w:tc>
        <w:tc>
          <w:tcPr>
            <w:tcW w:w="3220" w:type="dxa"/>
            <w:vAlign w:val="bottom"/>
            <w:shd w:val="clear" w:color="auto" w:fill="EDF0FC"/>
          </w:tcPr>
          <w:p>
            <w:pPr>
              <w:ind w:left="600"/>
              <w:spacing w:after="0"/>
              <w:rPr>
                <w:sz w:val="20"/>
                <w:szCs w:val="20"/>
                <w:color w:val="auto"/>
              </w:rPr>
            </w:pPr>
            <w:r>
              <w:rPr>
                <w:rFonts w:ascii="Arial" w:cs="Arial" w:eastAsia="Arial" w:hAnsi="Arial"/>
                <w:sz w:val="16"/>
                <w:szCs w:val="16"/>
                <w:color w:val="auto"/>
              </w:rPr>
              <w:t>Ratification of the Appointment of</w:t>
            </w:r>
          </w:p>
        </w:tc>
        <w:tc>
          <w:tcPr>
            <w:tcW w:w="4180" w:type="dxa"/>
            <w:vAlign w:val="bottom"/>
            <w:shd w:val="clear" w:color="auto" w:fill="EDF0FC"/>
          </w:tcPr>
          <w:p>
            <w:pPr>
              <w:ind w:left="240"/>
              <w:spacing w:after="0"/>
              <w:rPr>
                <w:sz w:val="20"/>
                <w:szCs w:val="20"/>
                <w:color w:val="auto"/>
              </w:rPr>
            </w:pPr>
            <w:r>
              <w:rPr>
                <w:rFonts w:ascii="Arial" w:cs="Arial" w:eastAsia="Arial" w:hAnsi="Arial"/>
                <w:sz w:val="16"/>
                <w:szCs w:val="16"/>
                <w:color w:val="auto"/>
              </w:rPr>
              <w:t>Majority of the total votes cast by holders of shares</w:t>
            </w:r>
          </w:p>
        </w:tc>
        <w:tc>
          <w:tcPr>
            <w:tcW w:w="3120" w:type="dxa"/>
            <w:vAlign w:val="bottom"/>
            <w:shd w:val="clear" w:color="auto" w:fill="EDF0FC"/>
          </w:tcPr>
          <w:p>
            <w:pPr>
              <w:ind w:left="10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w:t>
            </w:r>
          </w:p>
        </w:tc>
      </w:tr>
      <w:tr>
        <w:trPr>
          <w:trHeight w:val="189"/>
        </w:trPr>
        <w:tc>
          <w:tcPr>
            <w:tcW w:w="720" w:type="dxa"/>
            <w:vAlign w:val="bottom"/>
            <w:shd w:val="clear" w:color="auto" w:fill="EDF0FC"/>
          </w:tcPr>
          <w:p>
            <w:pPr>
              <w:spacing w:after="0"/>
              <w:rPr>
                <w:sz w:val="16"/>
                <w:szCs w:val="16"/>
                <w:color w:val="auto"/>
              </w:rPr>
            </w:pPr>
          </w:p>
        </w:tc>
        <w:tc>
          <w:tcPr>
            <w:tcW w:w="3220" w:type="dxa"/>
            <w:vAlign w:val="bottom"/>
            <w:shd w:val="clear" w:color="auto" w:fill="EDF0FC"/>
          </w:tcPr>
          <w:p>
            <w:pPr>
              <w:ind w:left="600"/>
              <w:spacing w:after="0"/>
              <w:rPr>
                <w:sz w:val="20"/>
                <w:szCs w:val="20"/>
                <w:color w:val="auto"/>
              </w:rPr>
            </w:pPr>
            <w:r>
              <w:rPr>
                <w:rFonts w:ascii="Arial" w:cs="Arial" w:eastAsia="Arial" w:hAnsi="Arial"/>
                <w:sz w:val="16"/>
                <w:szCs w:val="16"/>
                <w:color w:val="auto"/>
              </w:rPr>
              <w:t>MSCI’s Independent Auditor</w:t>
            </w:r>
          </w:p>
        </w:tc>
        <w:tc>
          <w:tcPr>
            <w:tcW w:w="4180" w:type="dxa"/>
            <w:vAlign w:val="bottom"/>
            <w:shd w:val="clear" w:color="auto" w:fill="EDF0FC"/>
          </w:tcPr>
          <w:p>
            <w:pPr>
              <w:ind w:left="240"/>
              <w:spacing w:after="0"/>
              <w:rPr>
                <w:sz w:val="20"/>
                <w:szCs w:val="20"/>
                <w:color w:val="auto"/>
              </w:rPr>
            </w:pPr>
            <w:r>
              <w:rPr>
                <w:rFonts w:ascii="Arial" w:cs="Arial" w:eastAsia="Arial" w:hAnsi="Arial"/>
                <w:sz w:val="16"/>
                <w:szCs w:val="16"/>
                <w:color w:val="auto"/>
              </w:rPr>
              <w:t>present through the virtual meeting or represented by</w:t>
            </w:r>
          </w:p>
        </w:tc>
        <w:tc>
          <w:tcPr>
            <w:tcW w:w="3120" w:type="dxa"/>
            <w:vAlign w:val="bottom"/>
            <w:shd w:val="clear" w:color="auto" w:fill="EDF0FC"/>
          </w:tcPr>
          <w:p>
            <w:pPr>
              <w:ind w:left="100"/>
              <w:spacing w:after="0"/>
              <w:rPr>
                <w:sz w:val="20"/>
                <w:szCs w:val="20"/>
                <w:color w:val="auto"/>
              </w:rPr>
            </w:pPr>
            <w:r>
              <w:rPr>
                <w:rFonts w:ascii="Arial" w:cs="Arial" w:eastAsia="Arial" w:hAnsi="Arial"/>
                <w:sz w:val="16"/>
                <w:szCs w:val="16"/>
                <w:color w:val="auto"/>
              </w:rPr>
              <w:t>PricewaterhouseCoopers LLP</w:t>
            </w:r>
          </w:p>
        </w:tc>
      </w:tr>
      <w:tr>
        <w:trPr>
          <w:trHeight w:val="224"/>
        </w:trPr>
        <w:tc>
          <w:tcPr>
            <w:tcW w:w="720" w:type="dxa"/>
            <w:vAlign w:val="bottom"/>
            <w:tcBorders>
              <w:bottom w:val="single" w:sz="8" w:color="auto"/>
            </w:tcBorders>
            <w:shd w:val="clear" w:color="auto" w:fill="EDF0FC"/>
          </w:tcPr>
          <w:p>
            <w:pPr>
              <w:spacing w:after="0"/>
              <w:rPr>
                <w:sz w:val="19"/>
                <w:szCs w:val="19"/>
                <w:color w:val="auto"/>
              </w:rPr>
            </w:pPr>
          </w:p>
        </w:tc>
        <w:tc>
          <w:tcPr>
            <w:tcW w:w="3220" w:type="dxa"/>
            <w:vAlign w:val="bottom"/>
            <w:tcBorders>
              <w:bottom w:val="single" w:sz="8" w:color="auto"/>
            </w:tcBorders>
            <w:shd w:val="clear" w:color="auto" w:fill="EDF0FC"/>
          </w:tcPr>
          <w:p>
            <w:pPr>
              <w:spacing w:after="0"/>
              <w:rPr>
                <w:sz w:val="19"/>
                <w:szCs w:val="19"/>
                <w:color w:val="auto"/>
              </w:rPr>
            </w:pPr>
          </w:p>
        </w:tc>
        <w:tc>
          <w:tcPr>
            <w:tcW w:w="4180" w:type="dxa"/>
            <w:vAlign w:val="bottom"/>
            <w:tcBorders>
              <w:bottom w:val="single" w:sz="8" w:color="auto"/>
            </w:tcBorders>
            <w:shd w:val="clear" w:color="auto" w:fill="EDF0FC"/>
          </w:tcPr>
          <w:p>
            <w:pPr>
              <w:ind w:left="240"/>
              <w:spacing w:after="0"/>
              <w:rPr>
                <w:sz w:val="20"/>
                <w:szCs w:val="20"/>
                <w:color w:val="auto"/>
              </w:rPr>
            </w:pPr>
            <w:r>
              <w:rPr>
                <w:rFonts w:ascii="Arial" w:cs="Arial" w:eastAsia="Arial" w:hAnsi="Arial"/>
                <w:sz w:val="16"/>
                <w:szCs w:val="16"/>
                <w:color w:val="auto"/>
              </w:rPr>
              <w:t>proxy</w:t>
            </w:r>
          </w:p>
        </w:tc>
        <w:tc>
          <w:tcPr>
            <w:tcW w:w="3120" w:type="dxa"/>
            <w:vAlign w:val="bottom"/>
            <w:tcBorders>
              <w:bottom w:val="single" w:sz="8" w:color="auto"/>
            </w:tcBorders>
            <w:shd w:val="clear" w:color="auto" w:fill="EDF0FC"/>
          </w:tcPr>
          <w:p>
            <w:pPr>
              <w:spacing w:after="0"/>
              <w:rPr>
                <w:sz w:val="19"/>
                <w:szCs w:val="19"/>
                <w:color w:val="auto"/>
              </w:rPr>
            </w:pPr>
          </w:p>
        </w:tc>
      </w:tr>
      <w:tr>
        <w:trPr>
          <w:trHeight w:val="1290"/>
        </w:trPr>
        <w:tc>
          <w:tcPr>
            <w:tcW w:w="72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7360"/>
              <w:spacing w:after="0"/>
              <w:rPr>
                <w:sz w:val="20"/>
                <w:szCs w:val="20"/>
                <w:color w:val="auto"/>
              </w:rPr>
            </w:pPr>
            <w:r>
              <w:rPr>
                <w:rFonts w:ascii="Arial" w:cs="Arial" w:eastAsia="Arial" w:hAnsi="Arial"/>
                <w:sz w:val="14"/>
                <w:szCs w:val="14"/>
                <w:b w:val="1"/>
                <w:bCs w:val="1"/>
                <w:color w:val="1A3FD6"/>
              </w:rPr>
              <w:t>Annex A: Frequently Asked Questions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121</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will my shares be voted if I do not give specific voting instructions and what are broker non-votes?</w:t>
      </w:r>
    </w:p>
    <w:p>
      <w:pPr>
        <w:spacing w:after="0" w:line="86"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i w:val="1"/>
          <w:iCs w:val="1"/>
          <w:color w:val="auto"/>
        </w:rPr>
        <w:t>Record Holders</w:t>
      </w:r>
      <w:r>
        <w:rPr>
          <w:rFonts w:ascii="Arial" w:cs="Arial" w:eastAsia="Arial" w:hAnsi="Arial"/>
          <w:sz w:val="16"/>
          <w:szCs w:val="16"/>
          <w:color w:val="auto"/>
        </w:rPr>
        <w:t>. If you indicate that you wish to vote as recommended by our Board or if you sign, date and return a proxy card but do not give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voting instructions, then the proxy holders will vote your shares in the manner recommended by our Board on all matters presented in this Proxy Statement (e.g., “FOR” for Proposal No. 1, No. 2, No. 3 and No. 4) and in their discretion regarding any other matters properly presented for a vote at our 2025 Annual Meeting. As of the date of this Proxy Statement, we did not know of any proposals or matters to be raised at the 2025 Annual Meeting other than those presented in this Proxy Statement.</w:t>
      </w:r>
    </w:p>
    <w:p>
      <w:pPr>
        <w:spacing w:after="0" w:line="80"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i w:val="1"/>
          <w:iCs w:val="1"/>
          <w:color w:val="auto"/>
        </w:rPr>
        <w:t xml:space="preserve">Beneficial Owners of Shares Held in “Street Name.” </w:t>
      </w:r>
      <w:r>
        <w:rPr>
          <w:rFonts w:ascii="Arial" w:cs="Arial" w:eastAsia="Arial" w:hAnsi="Arial"/>
          <w:sz w:val="16"/>
          <w:szCs w:val="16"/>
          <w:color w:val="auto"/>
        </w:rPr>
        <w:t>Broker non-votes occurs when your brokerage firm, bank, broker dealer or other intermediary has not</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specific voting instructions from you with respect to shares held in “street name” and the broker does not have discretionary voting authority with respect to a proposal. If you are the beneficial owner of shares held in “street name” and you do not give instructions as to how to vote, your broker may have authority to vote your shares only on discretionary items but not on non-discretionary items, as determined by the NYSE.</w:t>
      </w:r>
    </w:p>
    <w:p>
      <w:pPr>
        <w:spacing w:after="0" w:line="59" w:lineRule="exact"/>
        <w:rPr>
          <w:sz w:val="20"/>
          <w:szCs w:val="20"/>
          <w:color w:val="auto"/>
        </w:rPr>
      </w:pPr>
    </w:p>
    <w:p>
      <w:pPr>
        <w:ind w:left="200" w:right="400" w:hanging="192"/>
        <w:spacing w:after="0" w:line="316" w:lineRule="auto"/>
        <w:tabs>
          <w:tab w:leader="none" w:pos="197" w:val="left"/>
        </w:tabs>
        <w:numPr>
          <w:ilvl w:val="0"/>
          <w:numId w:val="140"/>
        </w:numPr>
        <w:rPr>
          <w:rFonts w:ascii="Arial" w:cs="Arial" w:eastAsia="Arial" w:hAnsi="Arial"/>
          <w:sz w:val="16"/>
          <w:szCs w:val="16"/>
          <w:color w:val="1A3FD6"/>
        </w:rPr>
      </w:pPr>
      <w:r>
        <w:rPr>
          <w:rFonts w:ascii="Arial" w:cs="Arial" w:eastAsia="Arial" w:hAnsi="Arial"/>
          <w:sz w:val="16"/>
          <w:szCs w:val="16"/>
          <w:b w:val="1"/>
          <w:bCs w:val="1"/>
          <w:color w:val="auto"/>
        </w:rPr>
        <w:t xml:space="preserve">Non-discretionary items. </w:t>
      </w:r>
      <w:r>
        <w:rPr>
          <w:rFonts w:ascii="Arial" w:cs="Arial" w:eastAsia="Arial" w:hAnsi="Arial"/>
          <w:sz w:val="16"/>
          <w:szCs w:val="16"/>
          <w:color w:val="auto"/>
        </w:rPr>
        <w:t>The following proposals are considered “non-discretionary” items: Proposal No. 1—election of directors, Proposal No. 2—</w:t>
      </w:r>
      <w:r>
        <w:rPr>
          <w:rFonts w:ascii="Arial" w:cs="Arial" w:eastAsia="Arial" w:hAnsi="Arial"/>
          <w:sz w:val="16"/>
          <w:szCs w:val="16"/>
          <w:b w:val="1"/>
          <w:bCs w:val="1"/>
          <w:color w:val="auto"/>
        </w:rPr>
        <w:t xml:space="preserve"> </w:t>
      </w:r>
      <w:r>
        <w:rPr>
          <w:rFonts w:ascii="Arial" w:cs="Arial" w:eastAsia="Arial" w:hAnsi="Arial"/>
          <w:sz w:val="16"/>
          <w:szCs w:val="16"/>
          <w:color w:val="auto"/>
        </w:rPr>
        <w:t>approve, by non-binding vote, our executive compensation; and Proposal No. 3—approve the MSCI Inc. 2025 Omnibus Incentive Plan.</w:t>
      </w:r>
    </w:p>
    <w:p>
      <w:pPr>
        <w:spacing w:after="0" w:line="1" w:lineRule="exact"/>
        <w:rPr>
          <w:rFonts w:ascii="Arial" w:cs="Arial" w:eastAsia="Arial" w:hAnsi="Arial"/>
          <w:sz w:val="16"/>
          <w:szCs w:val="16"/>
          <w:color w:val="1A3FD6"/>
        </w:rPr>
      </w:pPr>
    </w:p>
    <w:p>
      <w:pPr>
        <w:jc w:val="both"/>
        <w:ind w:left="200" w:right="60" w:hanging="192"/>
        <w:spacing w:after="0" w:line="292" w:lineRule="auto"/>
        <w:tabs>
          <w:tab w:leader="none" w:pos="197" w:val="left"/>
        </w:tabs>
        <w:numPr>
          <w:ilvl w:val="0"/>
          <w:numId w:val="140"/>
        </w:numPr>
        <w:rPr>
          <w:rFonts w:ascii="Arial" w:cs="Arial" w:eastAsia="Arial" w:hAnsi="Arial"/>
          <w:sz w:val="16"/>
          <w:szCs w:val="16"/>
          <w:color w:val="1A3FD6"/>
        </w:rPr>
      </w:pPr>
      <w:r>
        <w:rPr>
          <w:rFonts w:ascii="Arial" w:cs="Arial" w:eastAsia="Arial" w:hAnsi="Arial"/>
          <w:sz w:val="16"/>
          <w:szCs w:val="16"/>
          <w:b w:val="1"/>
          <w:bCs w:val="1"/>
          <w:color w:val="auto"/>
        </w:rPr>
        <w:t xml:space="preserve">Discretionary item. </w:t>
      </w:r>
      <w:r>
        <w:rPr>
          <w:rFonts w:ascii="Arial" w:cs="Arial" w:eastAsia="Arial" w:hAnsi="Arial"/>
          <w:sz w:val="16"/>
          <w:szCs w:val="16"/>
          <w:color w:val="auto"/>
        </w:rPr>
        <w:t>Proposal No. 4—the ratification of the appointment of PricewaterhouseCoopers LLP as the Company’s independent auditor for 2025</w:t>
      </w:r>
      <w:r>
        <w:rPr>
          <w:rFonts w:ascii="Arial" w:cs="Arial" w:eastAsia="Arial" w:hAnsi="Arial"/>
          <w:sz w:val="16"/>
          <w:szCs w:val="16"/>
          <w:b w:val="1"/>
          <w:bCs w:val="1"/>
          <w:color w:val="auto"/>
        </w:rPr>
        <w:t xml:space="preserve"> </w:t>
      </w:r>
      <w:r>
        <w:rPr>
          <w:rFonts w:ascii="Arial" w:cs="Arial" w:eastAsia="Arial" w:hAnsi="Arial"/>
          <w:sz w:val="16"/>
          <w:szCs w:val="16"/>
          <w:color w:val="auto"/>
        </w:rPr>
        <w:t>is a “discretionary” item. NYSE member brokers that do not receive voting instructions from beneficial owners of shares held in “street name” may vote on this proposal in their discretion, subject to any voting policies adopted by the broker holding your shares.</w:t>
      </w:r>
    </w:p>
    <w:p>
      <w:pPr>
        <w:spacing w:after="0" w:line="5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Broker non-votes are counted as present for purposes of determining the presence or absence of a quorum for the transaction of business. However, broker non-votes are not counted for purposes of Proposal Nos. 1, 2 and 3 and will therefore have no effect on the outcome of these proposals. Therefore, if you hold your shares in an account with a brokerage firm, bank, a broker dealer or other intermediary, it is critically important that you submit your voting instructions if you want your shares to count for the non-discretionary items listed above.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are abstentions treated?</w:t>
      </w:r>
    </w:p>
    <w:p>
      <w:pPr>
        <w:spacing w:after="0" w:line="86"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Abstentions are also counted as present for purposes of determining the presence or absence of a quorum for the transaction of business. Abstentions have no effect on the determination of whether a nominee or any of the proposals have received the vote of a majority of all votes cast.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are my choices for casting my vote on each matter to be voted 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2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Proposal No.</w:t>
            </w:r>
          </w:p>
        </w:tc>
        <w:tc>
          <w:tcPr>
            <w:tcW w:w="2920" w:type="dxa"/>
            <w:vAlign w:val="bottom"/>
            <w:tcBorders>
              <w:bottom w:val="single" w:sz="8" w:color="1A3FD6"/>
            </w:tcBorders>
          </w:tcPr>
          <w:p>
            <w:pPr>
              <w:ind w:left="200"/>
              <w:spacing w:after="0"/>
              <w:rPr>
                <w:sz w:val="20"/>
                <w:szCs w:val="20"/>
                <w:color w:val="auto"/>
              </w:rPr>
            </w:pPr>
            <w:r>
              <w:rPr>
                <w:rFonts w:ascii="Arial" w:cs="Arial" w:eastAsia="Arial" w:hAnsi="Arial"/>
                <w:sz w:val="14"/>
                <w:szCs w:val="14"/>
                <w:b w:val="1"/>
                <w:bCs w:val="1"/>
                <w:color w:val="auto"/>
              </w:rPr>
              <w:t>Proposal</w:t>
            </w:r>
          </w:p>
        </w:tc>
        <w:tc>
          <w:tcPr>
            <w:tcW w:w="3200" w:type="dxa"/>
            <w:vAlign w:val="bottom"/>
            <w:tcBorders>
              <w:bottom w:val="single" w:sz="8" w:color="1A3FD6"/>
            </w:tcBorders>
          </w:tcPr>
          <w:p>
            <w:pPr>
              <w:ind w:left="140"/>
              <w:spacing w:after="0"/>
              <w:rPr>
                <w:sz w:val="20"/>
                <w:szCs w:val="20"/>
                <w:color w:val="auto"/>
              </w:rPr>
            </w:pPr>
            <w:r>
              <w:rPr>
                <w:rFonts w:ascii="Arial" w:cs="Arial" w:eastAsia="Arial" w:hAnsi="Arial"/>
                <w:sz w:val="14"/>
                <w:szCs w:val="14"/>
                <w:b w:val="1"/>
                <w:bCs w:val="1"/>
                <w:color w:val="auto"/>
              </w:rPr>
              <w:t>Voting Options</w:t>
            </w:r>
          </w:p>
        </w:tc>
        <w:tc>
          <w:tcPr>
            <w:tcW w:w="4000" w:type="dxa"/>
            <w:vAlign w:val="bottom"/>
            <w:tcBorders>
              <w:bottom w:val="single" w:sz="8" w:color="1A3FD6"/>
            </w:tcBorders>
          </w:tcPr>
          <w:p>
            <w:pPr>
              <w:ind w:left="980"/>
              <w:spacing w:after="0"/>
              <w:rPr>
                <w:sz w:val="20"/>
                <w:szCs w:val="20"/>
                <w:color w:val="auto"/>
              </w:rPr>
            </w:pPr>
            <w:r>
              <w:rPr>
                <w:rFonts w:ascii="Arial" w:cs="Arial" w:eastAsia="Arial" w:hAnsi="Arial"/>
                <w:sz w:val="14"/>
                <w:szCs w:val="14"/>
                <w:b w:val="1"/>
                <w:bCs w:val="1"/>
                <w:color w:val="auto"/>
              </w:rPr>
              <w:t>Effect of Abstentions</w:t>
            </w:r>
          </w:p>
        </w:tc>
      </w:tr>
      <w:tr>
        <w:trPr>
          <w:trHeight w:val="202"/>
        </w:trPr>
        <w:tc>
          <w:tcPr>
            <w:tcW w:w="1120" w:type="dxa"/>
            <w:vAlign w:val="bottom"/>
          </w:tcPr>
          <w:p>
            <w:pPr>
              <w:ind w:left="20"/>
              <w:spacing w:after="0"/>
              <w:rPr>
                <w:sz w:val="20"/>
                <w:szCs w:val="20"/>
                <w:color w:val="auto"/>
              </w:rPr>
            </w:pPr>
            <w:r>
              <w:rPr>
                <w:rFonts w:ascii="Arial" w:cs="Arial" w:eastAsia="Arial" w:hAnsi="Arial"/>
                <w:sz w:val="16"/>
                <w:szCs w:val="16"/>
                <w:color w:val="auto"/>
              </w:rPr>
              <w:t>1</w:t>
            </w:r>
          </w:p>
        </w:tc>
        <w:tc>
          <w:tcPr>
            <w:tcW w:w="2920" w:type="dxa"/>
            <w:vAlign w:val="bottom"/>
          </w:tcPr>
          <w:p>
            <w:pPr>
              <w:ind w:left="200"/>
              <w:spacing w:after="0"/>
              <w:rPr>
                <w:sz w:val="20"/>
                <w:szCs w:val="20"/>
                <w:color w:val="auto"/>
              </w:rPr>
            </w:pPr>
            <w:r>
              <w:rPr>
                <w:rFonts w:ascii="Arial" w:cs="Arial" w:eastAsia="Arial" w:hAnsi="Arial"/>
                <w:sz w:val="16"/>
                <w:szCs w:val="16"/>
                <w:color w:val="auto"/>
              </w:rPr>
              <w:t>Election of Directors</w:t>
            </w:r>
          </w:p>
        </w:tc>
        <w:tc>
          <w:tcPr>
            <w:tcW w:w="3200" w:type="dxa"/>
            <w:vAlign w:val="bottom"/>
          </w:tcPr>
          <w:p>
            <w:pPr>
              <w:ind w:left="140"/>
              <w:spacing w:after="0"/>
              <w:rPr>
                <w:sz w:val="20"/>
                <w:szCs w:val="20"/>
                <w:color w:val="auto"/>
              </w:rPr>
            </w:pPr>
            <w:r>
              <w:rPr>
                <w:rFonts w:ascii="Arial" w:cs="Arial" w:eastAsia="Arial" w:hAnsi="Arial"/>
                <w:sz w:val="16"/>
                <w:szCs w:val="16"/>
                <w:color w:val="auto"/>
              </w:rPr>
              <w:t>FOR, AGAINST or ABSTAIN</w:t>
            </w:r>
          </w:p>
        </w:tc>
        <w:tc>
          <w:tcPr>
            <w:tcW w:w="4000" w:type="dxa"/>
            <w:vAlign w:val="bottom"/>
          </w:tcPr>
          <w:p>
            <w:pPr>
              <w:ind w:left="980"/>
              <w:spacing w:after="0"/>
              <w:rPr>
                <w:sz w:val="20"/>
                <w:szCs w:val="20"/>
                <w:color w:val="auto"/>
              </w:rPr>
            </w:pPr>
            <w:r>
              <w:rPr>
                <w:rFonts w:ascii="Arial" w:cs="Arial" w:eastAsia="Arial" w:hAnsi="Arial"/>
                <w:sz w:val="16"/>
                <w:szCs w:val="16"/>
                <w:color w:val="auto"/>
              </w:rPr>
              <w:t>No effect—not counted as a “vote cast”</w:t>
            </w:r>
          </w:p>
        </w:tc>
      </w:tr>
      <w:tr>
        <w:trPr>
          <w:trHeight w:val="215"/>
        </w:trPr>
        <w:tc>
          <w:tcPr>
            <w:tcW w:w="11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200" w:type="dxa"/>
            <w:vAlign w:val="bottom"/>
          </w:tcPr>
          <w:p>
            <w:pPr>
              <w:ind w:left="140"/>
              <w:spacing w:after="0"/>
              <w:rPr>
                <w:sz w:val="20"/>
                <w:szCs w:val="20"/>
                <w:color w:val="auto"/>
              </w:rPr>
            </w:pPr>
            <w:r>
              <w:rPr>
                <w:rFonts w:ascii="Arial" w:cs="Arial" w:eastAsia="Arial" w:hAnsi="Arial"/>
                <w:sz w:val="16"/>
                <w:szCs w:val="16"/>
                <w:color w:val="auto"/>
              </w:rPr>
              <w:t>(for each director nominee)</w:t>
            </w:r>
          </w:p>
        </w:tc>
        <w:tc>
          <w:tcPr>
            <w:tcW w:w="4000" w:type="dxa"/>
            <w:vAlign w:val="bottom"/>
          </w:tcPr>
          <w:p>
            <w:pPr>
              <w:spacing w:after="0"/>
              <w:rPr>
                <w:sz w:val="18"/>
                <w:szCs w:val="18"/>
                <w:color w:val="auto"/>
              </w:rPr>
            </w:pPr>
          </w:p>
        </w:tc>
      </w:tr>
      <w:tr>
        <w:trPr>
          <w:trHeight w:val="29"/>
        </w:trPr>
        <w:tc>
          <w:tcPr>
            <w:tcW w:w="1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02"/>
        </w:trPr>
        <w:tc>
          <w:tcPr>
            <w:tcW w:w="1120" w:type="dxa"/>
            <w:vAlign w:val="bottom"/>
            <w:shd w:val="clear" w:color="auto" w:fill="EDF0FC"/>
          </w:tcPr>
          <w:p>
            <w:pPr>
              <w:ind w:left="20"/>
              <w:spacing w:after="0"/>
              <w:rPr>
                <w:sz w:val="20"/>
                <w:szCs w:val="20"/>
                <w:color w:val="auto"/>
              </w:rPr>
            </w:pPr>
            <w:r>
              <w:rPr>
                <w:rFonts w:ascii="Arial" w:cs="Arial" w:eastAsia="Arial" w:hAnsi="Arial"/>
                <w:sz w:val="16"/>
                <w:szCs w:val="16"/>
                <w:color w:val="auto"/>
              </w:rPr>
              <w:t>2</w:t>
            </w:r>
          </w:p>
        </w:tc>
        <w:tc>
          <w:tcPr>
            <w:tcW w:w="2920" w:type="dxa"/>
            <w:vAlign w:val="bottom"/>
            <w:shd w:val="clear" w:color="auto" w:fill="EDF0FC"/>
          </w:tcPr>
          <w:p>
            <w:pPr>
              <w:ind w:left="200"/>
              <w:spacing w:after="0"/>
              <w:rPr>
                <w:sz w:val="20"/>
                <w:szCs w:val="20"/>
                <w:color w:val="auto"/>
              </w:rPr>
            </w:pPr>
            <w:r>
              <w:rPr>
                <w:rFonts w:ascii="Arial" w:cs="Arial" w:eastAsia="Arial" w:hAnsi="Arial"/>
                <w:sz w:val="16"/>
                <w:szCs w:val="16"/>
                <w:color w:val="auto"/>
              </w:rPr>
              <w:t>Advisory Vote to Approve Executive</w:t>
            </w:r>
          </w:p>
        </w:tc>
        <w:tc>
          <w:tcPr>
            <w:tcW w:w="3200" w:type="dxa"/>
            <w:vAlign w:val="bottom"/>
            <w:shd w:val="clear" w:color="auto" w:fill="EDF0FC"/>
          </w:tcPr>
          <w:p>
            <w:pPr>
              <w:ind w:left="140"/>
              <w:spacing w:after="0"/>
              <w:rPr>
                <w:sz w:val="20"/>
                <w:szCs w:val="20"/>
                <w:color w:val="auto"/>
              </w:rPr>
            </w:pPr>
            <w:r>
              <w:rPr>
                <w:rFonts w:ascii="Arial" w:cs="Arial" w:eastAsia="Arial" w:hAnsi="Arial"/>
                <w:sz w:val="16"/>
                <w:szCs w:val="16"/>
                <w:color w:val="auto"/>
              </w:rPr>
              <w:t>FOR, AGAINST or ABSTAIN</w:t>
            </w:r>
          </w:p>
        </w:tc>
        <w:tc>
          <w:tcPr>
            <w:tcW w:w="4000" w:type="dxa"/>
            <w:vAlign w:val="bottom"/>
            <w:shd w:val="clear" w:color="auto" w:fill="EDF0FC"/>
          </w:tcPr>
          <w:p>
            <w:pPr>
              <w:ind w:left="980"/>
              <w:spacing w:after="0"/>
              <w:rPr>
                <w:sz w:val="20"/>
                <w:szCs w:val="20"/>
                <w:color w:val="auto"/>
              </w:rPr>
            </w:pPr>
            <w:r>
              <w:rPr>
                <w:rFonts w:ascii="Arial" w:cs="Arial" w:eastAsia="Arial" w:hAnsi="Arial"/>
                <w:sz w:val="16"/>
                <w:szCs w:val="16"/>
                <w:color w:val="auto"/>
              </w:rPr>
              <w:t>No effect—not counted as a “vote cast”</w:t>
            </w:r>
          </w:p>
        </w:tc>
      </w:tr>
      <w:tr>
        <w:trPr>
          <w:trHeight w:val="189"/>
        </w:trPr>
        <w:tc>
          <w:tcPr>
            <w:tcW w:w="1120" w:type="dxa"/>
            <w:vAlign w:val="bottom"/>
            <w:shd w:val="clear" w:color="auto" w:fill="EDF0FC"/>
          </w:tcPr>
          <w:p>
            <w:pPr>
              <w:spacing w:after="0"/>
              <w:rPr>
                <w:sz w:val="16"/>
                <w:szCs w:val="16"/>
                <w:color w:val="auto"/>
              </w:rPr>
            </w:pPr>
          </w:p>
        </w:tc>
        <w:tc>
          <w:tcPr>
            <w:tcW w:w="2920" w:type="dxa"/>
            <w:vAlign w:val="bottom"/>
            <w:shd w:val="clear" w:color="auto" w:fill="EDF0FC"/>
          </w:tcPr>
          <w:p>
            <w:pPr>
              <w:ind w:left="200"/>
              <w:spacing w:after="0"/>
              <w:rPr>
                <w:sz w:val="20"/>
                <w:szCs w:val="20"/>
                <w:color w:val="auto"/>
              </w:rPr>
            </w:pPr>
            <w:r>
              <w:rPr>
                <w:rFonts w:ascii="Arial" w:cs="Arial" w:eastAsia="Arial" w:hAnsi="Arial"/>
                <w:sz w:val="16"/>
                <w:szCs w:val="16"/>
                <w:color w:val="auto"/>
              </w:rPr>
              <w:t>Compensation</w:t>
            </w:r>
          </w:p>
        </w:tc>
        <w:tc>
          <w:tcPr>
            <w:tcW w:w="3200" w:type="dxa"/>
            <w:vAlign w:val="bottom"/>
            <w:shd w:val="clear" w:color="auto" w:fill="EDF0FC"/>
          </w:tcPr>
          <w:p>
            <w:pPr>
              <w:spacing w:after="0"/>
              <w:rPr>
                <w:sz w:val="16"/>
                <w:szCs w:val="16"/>
                <w:color w:val="auto"/>
              </w:rPr>
            </w:pPr>
          </w:p>
        </w:tc>
        <w:tc>
          <w:tcPr>
            <w:tcW w:w="4000" w:type="dxa"/>
            <w:vAlign w:val="bottom"/>
            <w:shd w:val="clear" w:color="auto" w:fill="EDF0FC"/>
          </w:tcPr>
          <w:p>
            <w:pPr>
              <w:spacing w:after="0"/>
              <w:rPr>
                <w:sz w:val="16"/>
                <w:szCs w:val="16"/>
                <w:color w:val="auto"/>
              </w:rPr>
            </w:pPr>
          </w:p>
        </w:tc>
      </w:tr>
      <w:tr>
        <w:trPr>
          <w:trHeight w:val="224"/>
        </w:trPr>
        <w:tc>
          <w:tcPr>
            <w:tcW w:w="1120" w:type="dxa"/>
            <w:vAlign w:val="bottom"/>
            <w:tcBorders>
              <w:bottom w:val="single" w:sz="8" w:color="EDF0FC"/>
            </w:tcBorders>
            <w:shd w:val="clear" w:color="auto" w:fill="EDF0FC"/>
          </w:tcPr>
          <w:p>
            <w:pPr>
              <w:spacing w:after="0"/>
              <w:rPr>
                <w:sz w:val="19"/>
                <w:szCs w:val="19"/>
                <w:color w:val="auto"/>
              </w:rPr>
            </w:pPr>
          </w:p>
        </w:tc>
        <w:tc>
          <w:tcPr>
            <w:tcW w:w="2920" w:type="dxa"/>
            <w:vAlign w:val="bottom"/>
            <w:tcBorders>
              <w:bottom w:val="single" w:sz="8" w:color="EDF0FC"/>
            </w:tcBorders>
            <w:shd w:val="clear" w:color="auto" w:fill="EDF0FC"/>
          </w:tcPr>
          <w:p>
            <w:pPr>
              <w:ind w:left="200"/>
              <w:spacing w:after="0"/>
              <w:rPr>
                <w:sz w:val="20"/>
                <w:szCs w:val="20"/>
                <w:color w:val="auto"/>
              </w:rPr>
            </w:pPr>
            <w:r>
              <w:rPr>
                <w:rFonts w:ascii="Arial" w:cs="Arial" w:eastAsia="Arial" w:hAnsi="Arial"/>
                <w:sz w:val="16"/>
                <w:szCs w:val="16"/>
                <w:color w:val="auto"/>
              </w:rPr>
              <w:t>(Say-on-Pay)</w:t>
            </w:r>
          </w:p>
        </w:tc>
        <w:tc>
          <w:tcPr>
            <w:tcW w:w="3200" w:type="dxa"/>
            <w:vAlign w:val="bottom"/>
            <w:tcBorders>
              <w:bottom w:val="single" w:sz="8" w:color="EDF0FC"/>
            </w:tcBorders>
            <w:shd w:val="clear" w:color="auto" w:fill="EDF0FC"/>
          </w:tcPr>
          <w:p>
            <w:pPr>
              <w:spacing w:after="0"/>
              <w:rPr>
                <w:sz w:val="19"/>
                <w:szCs w:val="19"/>
                <w:color w:val="auto"/>
              </w:rPr>
            </w:pPr>
          </w:p>
        </w:tc>
        <w:tc>
          <w:tcPr>
            <w:tcW w:w="4000" w:type="dxa"/>
            <w:vAlign w:val="bottom"/>
            <w:tcBorders>
              <w:bottom w:val="single" w:sz="8" w:color="EDF0FC"/>
            </w:tcBorders>
            <w:shd w:val="clear" w:color="auto" w:fill="EDF0FC"/>
          </w:tcPr>
          <w:p>
            <w:pPr>
              <w:spacing w:after="0"/>
              <w:rPr>
                <w:sz w:val="19"/>
                <w:szCs w:val="19"/>
                <w:color w:val="auto"/>
              </w:rPr>
            </w:pPr>
          </w:p>
        </w:tc>
      </w:tr>
      <w:tr>
        <w:trPr>
          <w:trHeight w:val="202"/>
        </w:trPr>
        <w:tc>
          <w:tcPr>
            <w:tcW w:w="1120" w:type="dxa"/>
            <w:vAlign w:val="bottom"/>
          </w:tcPr>
          <w:p>
            <w:pPr>
              <w:ind w:left="20"/>
              <w:spacing w:after="0"/>
              <w:rPr>
                <w:sz w:val="20"/>
                <w:szCs w:val="20"/>
                <w:color w:val="auto"/>
              </w:rPr>
            </w:pPr>
            <w:r>
              <w:rPr>
                <w:rFonts w:ascii="Arial" w:cs="Arial" w:eastAsia="Arial" w:hAnsi="Arial"/>
                <w:sz w:val="16"/>
                <w:szCs w:val="16"/>
                <w:color w:val="auto"/>
              </w:rPr>
              <w:t>3</w:t>
            </w:r>
          </w:p>
        </w:tc>
        <w:tc>
          <w:tcPr>
            <w:tcW w:w="2920" w:type="dxa"/>
            <w:vAlign w:val="bottom"/>
          </w:tcPr>
          <w:p>
            <w:pPr>
              <w:ind w:left="200"/>
              <w:spacing w:after="0"/>
              <w:rPr>
                <w:sz w:val="20"/>
                <w:szCs w:val="20"/>
                <w:color w:val="auto"/>
              </w:rPr>
            </w:pPr>
            <w:r>
              <w:rPr>
                <w:rFonts w:ascii="Arial" w:cs="Arial" w:eastAsia="Arial" w:hAnsi="Arial"/>
                <w:sz w:val="16"/>
                <w:szCs w:val="16"/>
                <w:color w:val="auto"/>
              </w:rPr>
              <w:t>Approval of the MSCI Inc. 2025</w:t>
            </w:r>
          </w:p>
        </w:tc>
        <w:tc>
          <w:tcPr>
            <w:tcW w:w="3200" w:type="dxa"/>
            <w:vAlign w:val="bottom"/>
          </w:tcPr>
          <w:p>
            <w:pPr>
              <w:ind w:left="140"/>
              <w:spacing w:after="0"/>
              <w:rPr>
                <w:sz w:val="20"/>
                <w:szCs w:val="20"/>
                <w:color w:val="auto"/>
              </w:rPr>
            </w:pPr>
            <w:r>
              <w:rPr>
                <w:rFonts w:ascii="Arial" w:cs="Arial" w:eastAsia="Arial" w:hAnsi="Arial"/>
                <w:sz w:val="16"/>
                <w:szCs w:val="16"/>
                <w:color w:val="auto"/>
              </w:rPr>
              <w:t>FOR, AGAINST or ABSTAIN</w:t>
            </w:r>
          </w:p>
        </w:tc>
        <w:tc>
          <w:tcPr>
            <w:tcW w:w="4000" w:type="dxa"/>
            <w:vAlign w:val="bottom"/>
          </w:tcPr>
          <w:p>
            <w:pPr>
              <w:ind w:left="980"/>
              <w:spacing w:after="0"/>
              <w:rPr>
                <w:sz w:val="20"/>
                <w:szCs w:val="20"/>
                <w:color w:val="auto"/>
              </w:rPr>
            </w:pPr>
            <w:r>
              <w:rPr>
                <w:rFonts w:ascii="Arial" w:cs="Arial" w:eastAsia="Arial" w:hAnsi="Arial"/>
                <w:sz w:val="16"/>
                <w:szCs w:val="16"/>
                <w:color w:val="auto"/>
              </w:rPr>
              <w:t>No effect—not counted as a “vote cast”</w:t>
            </w:r>
          </w:p>
        </w:tc>
      </w:tr>
      <w:tr>
        <w:trPr>
          <w:trHeight w:val="215"/>
        </w:trPr>
        <w:tc>
          <w:tcPr>
            <w:tcW w:w="1120" w:type="dxa"/>
            <w:vAlign w:val="bottom"/>
          </w:tcPr>
          <w:p>
            <w:pPr>
              <w:spacing w:after="0"/>
              <w:rPr>
                <w:sz w:val="18"/>
                <w:szCs w:val="18"/>
                <w:color w:val="auto"/>
              </w:rPr>
            </w:pPr>
          </w:p>
        </w:tc>
        <w:tc>
          <w:tcPr>
            <w:tcW w:w="2920" w:type="dxa"/>
            <w:vAlign w:val="bottom"/>
          </w:tcPr>
          <w:p>
            <w:pPr>
              <w:ind w:left="200"/>
              <w:spacing w:after="0"/>
              <w:rPr>
                <w:sz w:val="20"/>
                <w:szCs w:val="20"/>
                <w:color w:val="auto"/>
              </w:rPr>
            </w:pPr>
            <w:r>
              <w:rPr>
                <w:rFonts w:ascii="Arial" w:cs="Arial" w:eastAsia="Arial" w:hAnsi="Arial"/>
                <w:sz w:val="16"/>
                <w:szCs w:val="16"/>
                <w:color w:val="auto"/>
              </w:rPr>
              <w:t>Omnibus Incentive Plan</w:t>
            </w:r>
          </w:p>
        </w:tc>
        <w:tc>
          <w:tcPr>
            <w:tcW w:w="320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29"/>
        </w:trPr>
        <w:tc>
          <w:tcPr>
            <w:tcW w:w="1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02"/>
        </w:trPr>
        <w:tc>
          <w:tcPr>
            <w:tcW w:w="1120" w:type="dxa"/>
            <w:vAlign w:val="bottom"/>
            <w:shd w:val="clear" w:color="auto" w:fill="EDF0FC"/>
          </w:tcPr>
          <w:p>
            <w:pPr>
              <w:ind w:left="20"/>
              <w:spacing w:after="0"/>
              <w:rPr>
                <w:sz w:val="20"/>
                <w:szCs w:val="20"/>
                <w:color w:val="auto"/>
              </w:rPr>
            </w:pPr>
            <w:r>
              <w:rPr>
                <w:rFonts w:ascii="Arial" w:cs="Arial" w:eastAsia="Arial" w:hAnsi="Arial"/>
                <w:sz w:val="16"/>
                <w:szCs w:val="16"/>
                <w:color w:val="auto"/>
              </w:rPr>
              <w:t>4</w:t>
            </w:r>
          </w:p>
        </w:tc>
        <w:tc>
          <w:tcPr>
            <w:tcW w:w="2920" w:type="dxa"/>
            <w:vAlign w:val="bottom"/>
            <w:shd w:val="clear" w:color="auto" w:fill="EDF0FC"/>
          </w:tcPr>
          <w:p>
            <w:pPr>
              <w:ind w:left="200"/>
              <w:spacing w:after="0"/>
              <w:rPr>
                <w:sz w:val="20"/>
                <w:szCs w:val="20"/>
                <w:color w:val="auto"/>
              </w:rPr>
            </w:pPr>
            <w:r>
              <w:rPr>
                <w:rFonts w:ascii="Arial" w:cs="Arial" w:eastAsia="Arial" w:hAnsi="Arial"/>
                <w:sz w:val="16"/>
                <w:szCs w:val="16"/>
                <w:color w:val="auto"/>
              </w:rPr>
              <w:t>Ratification of the Appointment of</w:t>
            </w:r>
          </w:p>
        </w:tc>
        <w:tc>
          <w:tcPr>
            <w:tcW w:w="3200" w:type="dxa"/>
            <w:vAlign w:val="bottom"/>
            <w:shd w:val="clear" w:color="auto" w:fill="EDF0FC"/>
          </w:tcPr>
          <w:p>
            <w:pPr>
              <w:ind w:left="140"/>
              <w:spacing w:after="0"/>
              <w:rPr>
                <w:sz w:val="20"/>
                <w:szCs w:val="20"/>
                <w:color w:val="auto"/>
              </w:rPr>
            </w:pPr>
            <w:r>
              <w:rPr>
                <w:rFonts w:ascii="Arial" w:cs="Arial" w:eastAsia="Arial" w:hAnsi="Arial"/>
                <w:sz w:val="16"/>
                <w:szCs w:val="16"/>
                <w:color w:val="auto"/>
              </w:rPr>
              <w:t>FOR, AGAINST or ABSTAIN</w:t>
            </w:r>
          </w:p>
        </w:tc>
        <w:tc>
          <w:tcPr>
            <w:tcW w:w="4000" w:type="dxa"/>
            <w:vAlign w:val="bottom"/>
            <w:shd w:val="clear" w:color="auto" w:fill="EDF0FC"/>
          </w:tcPr>
          <w:p>
            <w:pPr>
              <w:ind w:left="980"/>
              <w:spacing w:after="0"/>
              <w:rPr>
                <w:sz w:val="20"/>
                <w:szCs w:val="20"/>
                <w:color w:val="auto"/>
              </w:rPr>
            </w:pPr>
            <w:r>
              <w:rPr>
                <w:rFonts w:ascii="Arial" w:cs="Arial" w:eastAsia="Arial" w:hAnsi="Arial"/>
                <w:sz w:val="16"/>
                <w:szCs w:val="16"/>
                <w:color w:val="auto"/>
              </w:rPr>
              <w:t>No effect—not counted as a “vote cast”</w:t>
            </w:r>
          </w:p>
        </w:tc>
      </w:tr>
      <w:tr>
        <w:trPr>
          <w:trHeight w:val="249"/>
        </w:trPr>
        <w:tc>
          <w:tcPr>
            <w:tcW w:w="1120" w:type="dxa"/>
            <w:vAlign w:val="bottom"/>
            <w:tcBorders>
              <w:bottom w:val="single" w:sz="8" w:color="EDF0FC"/>
            </w:tcBorders>
            <w:shd w:val="clear" w:color="auto" w:fill="EDF0FC"/>
          </w:tcPr>
          <w:p>
            <w:pPr>
              <w:spacing w:after="0"/>
              <w:rPr>
                <w:sz w:val="21"/>
                <w:szCs w:val="21"/>
                <w:color w:val="auto"/>
              </w:rPr>
            </w:pPr>
          </w:p>
        </w:tc>
        <w:tc>
          <w:tcPr>
            <w:tcW w:w="2920" w:type="dxa"/>
            <w:vAlign w:val="bottom"/>
            <w:tcBorders>
              <w:bottom w:val="single" w:sz="8" w:color="EDF0FC"/>
            </w:tcBorders>
            <w:shd w:val="clear" w:color="auto" w:fill="EDF0FC"/>
          </w:tcPr>
          <w:p>
            <w:pPr>
              <w:ind w:left="200"/>
              <w:spacing w:after="0"/>
              <w:rPr>
                <w:sz w:val="20"/>
                <w:szCs w:val="20"/>
                <w:color w:val="auto"/>
              </w:rPr>
            </w:pPr>
            <w:r>
              <w:rPr>
                <w:rFonts w:ascii="Arial" w:cs="Arial" w:eastAsia="Arial" w:hAnsi="Arial"/>
                <w:sz w:val="16"/>
                <w:szCs w:val="16"/>
                <w:color w:val="auto"/>
              </w:rPr>
              <w:t>MSCI’s Independent Auditor</w:t>
            </w:r>
          </w:p>
        </w:tc>
        <w:tc>
          <w:tcPr>
            <w:tcW w:w="3200" w:type="dxa"/>
            <w:vAlign w:val="bottom"/>
            <w:tcBorders>
              <w:bottom w:val="single" w:sz="8" w:color="EDF0FC"/>
            </w:tcBorders>
            <w:shd w:val="clear" w:color="auto" w:fill="EDF0FC"/>
          </w:tcPr>
          <w:p>
            <w:pPr>
              <w:spacing w:after="0"/>
              <w:rPr>
                <w:sz w:val="21"/>
                <w:szCs w:val="21"/>
                <w:color w:val="auto"/>
              </w:rPr>
            </w:pPr>
          </w:p>
        </w:tc>
        <w:tc>
          <w:tcPr>
            <w:tcW w:w="4000" w:type="dxa"/>
            <w:vAlign w:val="bottom"/>
            <w:tcBorders>
              <w:bottom w:val="single" w:sz="8" w:color="EDF0FC"/>
            </w:tcBorders>
            <w:shd w:val="clear" w:color="auto" w:fill="EDF0FC"/>
          </w:tcPr>
          <w:p>
            <w:pPr>
              <w:spacing w:after="0"/>
              <w:rPr>
                <w:sz w:val="21"/>
                <w:szCs w:val="21"/>
                <w:color w:val="auto"/>
              </w:rPr>
            </w:pPr>
          </w:p>
        </w:tc>
      </w:tr>
      <w:tr>
        <w:trPr>
          <w:trHeight w:val="1269"/>
        </w:trPr>
        <w:tc>
          <w:tcPr>
            <w:tcW w:w="1120" w:type="dxa"/>
            <w:vAlign w:val="bottom"/>
            <w:tcBorders>
              <w:top w:val="single" w:sz="8" w:color="auto"/>
              <w:bottom w:val="single" w:sz="8" w:color="9A9A9A"/>
            </w:tcBorders>
          </w:tcPr>
          <w:p>
            <w:pPr>
              <w:spacing w:after="0"/>
              <w:rPr>
                <w:sz w:val="24"/>
                <w:szCs w:val="24"/>
                <w:color w:val="auto"/>
              </w:rPr>
            </w:pPr>
          </w:p>
        </w:tc>
        <w:tc>
          <w:tcPr>
            <w:tcW w:w="2920" w:type="dxa"/>
            <w:vAlign w:val="bottom"/>
            <w:tcBorders>
              <w:top w:val="single" w:sz="8" w:color="auto"/>
              <w:bottom w:val="single" w:sz="8" w:color="9A9A9A"/>
            </w:tcBorders>
          </w:tcPr>
          <w:p>
            <w:pPr>
              <w:spacing w:after="0"/>
              <w:rPr>
                <w:sz w:val="24"/>
                <w:szCs w:val="24"/>
                <w:color w:val="auto"/>
              </w:rPr>
            </w:pPr>
          </w:p>
        </w:tc>
        <w:tc>
          <w:tcPr>
            <w:tcW w:w="3200" w:type="dxa"/>
            <w:vAlign w:val="bottom"/>
            <w:tcBorders>
              <w:top w:val="single" w:sz="8" w:color="auto"/>
              <w:bottom w:val="single" w:sz="8" w:color="9A9A9A"/>
            </w:tcBorders>
          </w:tcPr>
          <w:p>
            <w:pPr>
              <w:spacing w:after="0"/>
              <w:rPr>
                <w:sz w:val="24"/>
                <w:szCs w:val="24"/>
                <w:color w:val="auto"/>
              </w:rPr>
            </w:pPr>
          </w:p>
        </w:tc>
        <w:tc>
          <w:tcPr>
            <w:tcW w:w="400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23" w:name="page124"/>
    <w:bookmarkEnd w:id="123"/>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122</w:t>
      </w:r>
      <w:r>
        <w:rPr>
          <w:sz w:val="20"/>
          <w:szCs w:val="20"/>
          <w:color w:val="auto"/>
        </w:rPr>
        <w:tab/>
      </w:r>
      <w:r>
        <w:rPr>
          <w:rFonts w:ascii="Arial" w:cs="Arial" w:eastAsia="Arial" w:hAnsi="Arial"/>
          <w:sz w:val="14"/>
          <w:szCs w:val="14"/>
          <w:b w:val="1"/>
          <w:bCs w:val="1"/>
          <w:color w:val="1A3FD6"/>
        </w:rPr>
        <w:t>2025 PROXY STATEMENT</w:t>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many votes are required to elect directors and adopt proposals?</w:t>
      </w:r>
    </w:p>
    <w:p>
      <w:pPr>
        <w:spacing w:after="0" w:line="86"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auto"/>
        </w:rPr>
        <w:t>The election of each director, the approval of the MSCI Inc. 2025 Omnibus Incentive Plan and the ratification of the appointment of PwC as MSCI’s independent auditor require the affirmative vote of a majority of all votes cast. For purposes of the election of directors, a majority of votes cast shall mean that the number of votes cast “for” a director’s election exceeds the number of votes cast “against” the director’s election. The approval of a resolution regarding the compensation of our NEOs as disclosed in this Proxy Statement is a non-binding advisory vote; however, we value the opinions of our shareholders and will take into account the outcome of this vote in considering future compensation arrangements. A majority of the shares entitled to vote on a matter, whether present virtually or by proxy, will constitute a quorum at the meeting.</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happens if a director does not receive a majority of the votes required for his or her re-election?</w:t>
      </w:r>
    </w:p>
    <w:p>
      <w:pPr>
        <w:spacing w:after="0" w:line="86"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Under the laws of Delaware (our state of incorporation), if the director is not elected at the annual meeting, the director will continue to serve on the Board as a “holdover director.” However, our Bylaws provide that, in order for an incumbent director to become a nominee of the Board, the director must submit an irrevocable resignation as director that becomes effective if (i) he or she does not receive a majority of the votes cast in an uncontested election and (ii) the Board accepts the resignation. If a director does not receive a majority of the votes cast in an uncontested election, the Governance Committee will consider the director’s resignation and recommend to the Board whether to accept or reject the resignation. The Board will decide whether to accept or reject the resignation and publicly disclose its decision within 90 days after the election results are certified.</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revoke or change my proxy?</w:t>
      </w:r>
    </w:p>
    <w:p>
      <w:pPr>
        <w:spacing w:after="0" w:line="86"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If you are a “record holder,” you can revoke or change your proxy at any time before your shares are voted, subject to the voting deadlines that are described on the proxy card or voting instruction form, as applicable, by:</w:t>
      </w:r>
    </w:p>
    <w:p>
      <w:pPr>
        <w:spacing w:after="0" w:line="34" w:lineRule="exact"/>
        <w:rPr>
          <w:sz w:val="20"/>
          <w:szCs w:val="20"/>
          <w:color w:val="auto"/>
        </w:rPr>
      </w:pPr>
    </w:p>
    <w:p>
      <w:pPr>
        <w:ind w:left="200" w:hanging="192"/>
        <w:spacing w:after="0"/>
        <w:tabs>
          <w:tab w:leader="none" w:pos="200" w:val="left"/>
        </w:tabs>
        <w:numPr>
          <w:ilvl w:val="0"/>
          <w:numId w:val="141"/>
        </w:numPr>
        <w:rPr>
          <w:rFonts w:ascii="Arial" w:cs="Arial" w:eastAsia="Arial" w:hAnsi="Arial"/>
          <w:sz w:val="16"/>
          <w:szCs w:val="16"/>
          <w:color w:val="1A3FD6"/>
        </w:rPr>
      </w:pPr>
      <w:r>
        <w:rPr>
          <w:rFonts w:ascii="Arial" w:cs="Arial" w:eastAsia="Arial" w:hAnsi="Arial"/>
          <w:sz w:val="16"/>
          <w:szCs w:val="16"/>
          <w:color w:val="auto"/>
        </w:rPr>
        <w:t>Voting again by internet or by telephone (only your last internet or telephone proxy submitted prior to the meeting will be counted);</w:t>
      </w:r>
    </w:p>
    <w:p>
      <w:pPr>
        <w:spacing w:after="0" w:line="86" w:lineRule="exact"/>
        <w:rPr>
          <w:rFonts w:ascii="Arial" w:cs="Arial" w:eastAsia="Arial" w:hAnsi="Arial"/>
          <w:sz w:val="16"/>
          <w:szCs w:val="16"/>
          <w:color w:val="1A3FD6"/>
        </w:rPr>
      </w:pPr>
    </w:p>
    <w:p>
      <w:pPr>
        <w:ind w:left="200" w:hanging="192"/>
        <w:spacing w:after="0"/>
        <w:tabs>
          <w:tab w:leader="none" w:pos="200" w:val="left"/>
        </w:tabs>
        <w:numPr>
          <w:ilvl w:val="0"/>
          <w:numId w:val="141"/>
        </w:numPr>
        <w:rPr>
          <w:rFonts w:ascii="Arial" w:cs="Arial" w:eastAsia="Arial" w:hAnsi="Arial"/>
          <w:sz w:val="16"/>
          <w:szCs w:val="16"/>
          <w:color w:val="1A3FD6"/>
        </w:rPr>
      </w:pPr>
      <w:r>
        <w:rPr>
          <w:rFonts w:ascii="Arial" w:cs="Arial" w:eastAsia="Arial" w:hAnsi="Arial"/>
          <w:sz w:val="16"/>
          <w:szCs w:val="16"/>
          <w:color w:val="auto"/>
        </w:rPr>
        <w:t>Signing and returning a new proxy card with a later date; or</w:t>
      </w:r>
    </w:p>
    <w:p>
      <w:pPr>
        <w:spacing w:after="0" w:line="72" w:lineRule="exact"/>
        <w:rPr>
          <w:rFonts w:ascii="Arial" w:cs="Arial" w:eastAsia="Arial" w:hAnsi="Arial"/>
          <w:sz w:val="16"/>
          <w:szCs w:val="16"/>
          <w:color w:val="1A3FD6"/>
        </w:rPr>
      </w:pPr>
    </w:p>
    <w:p>
      <w:pPr>
        <w:ind w:left="200" w:right="380" w:hanging="192"/>
        <w:spacing w:after="0" w:line="321" w:lineRule="auto"/>
        <w:tabs>
          <w:tab w:leader="none" w:pos="197" w:val="left"/>
        </w:tabs>
        <w:numPr>
          <w:ilvl w:val="0"/>
          <w:numId w:val="141"/>
        </w:numPr>
        <w:rPr>
          <w:rFonts w:ascii="Arial" w:cs="Arial" w:eastAsia="Arial" w:hAnsi="Arial"/>
          <w:sz w:val="16"/>
          <w:szCs w:val="16"/>
          <w:color w:val="1A3FD6"/>
        </w:rPr>
      </w:pPr>
      <w:r>
        <w:rPr>
          <w:rFonts w:ascii="Arial" w:cs="Arial" w:eastAsia="Arial" w:hAnsi="Arial"/>
          <w:sz w:val="16"/>
          <w:szCs w:val="16"/>
          <w:color w:val="auto"/>
        </w:rPr>
        <w:t>Voting by internet while attending the virtual annual meeting (attending the annual meeting by internet does not revoke your proxy unless you vote by internet during the virtual annual meeting).</w:t>
      </w:r>
    </w:p>
    <w:p>
      <w:pPr>
        <w:spacing w:after="0" w:line="48" w:lineRule="exact"/>
        <w:rPr>
          <w:sz w:val="20"/>
          <w:szCs w:val="20"/>
          <w:color w:val="auto"/>
        </w:rPr>
      </w:pPr>
    </w:p>
    <w:p>
      <w:pPr>
        <w:jc w:val="both"/>
        <w:ind w:right="420"/>
        <w:spacing w:after="0" w:line="304" w:lineRule="auto"/>
        <w:rPr>
          <w:sz w:val="20"/>
          <w:szCs w:val="20"/>
          <w:color w:val="auto"/>
        </w:rPr>
      </w:pPr>
      <w:r>
        <w:rPr>
          <w:rFonts w:ascii="Arial" w:cs="Arial" w:eastAsia="Arial" w:hAnsi="Arial"/>
          <w:sz w:val="16"/>
          <w:szCs w:val="16"/>
          <w:color w:val="auto"/>
        </w:rPr>
        <w:t>If you are a “record holder,” you may also revoke your proxy by giving written notice of revocation to c/o Corporate Secretary, MSCI Inc., 7 World Trade Center, 250 Greenwich Street, 49th Floor, New York, New York 10007, which must be received no later than 5:00 P.M. Eastern Time, on April 21, 2025.</w:t>
      </w:r>
    </w:p>
    <w:p>
      <w:pPr>
        <w:spacing w:after="0" w:line="60" w:lineRule="exact"/>
        <w:rPr>
          <w:sz w:val="20"/>
          <w:szCs w:val="20"/>
          <w:color w:val="auto"/>
        </w:rPr>
      </w:pPr>
    </w:p>
    <w:p>
      <w:pPr>
        <w:ind w:right="460"/>
        <w:spacing w:after="0" w:line="304" w:lineRule="auto"/>
        <w:rPr>
          <w:sz w:val="20"/>
          <w:szCs w:val="20"/>
          <w:color w:val="auto"/>
        </w:rPr>
      </w:pPr>
      <w:r>
        <w:rPr>
          <w:rFonts w:ascii="Arial" w:cs="Arial" w:eastAsia="Arial" w:hAnsi="Arial"/>
          <w:sz w:val="16"/>
          <w:szCs w:val="16"/>
          <w:color w:val="auto"/>
        </w:rPr>
        <w:t>If you are a beneficial owner of shares held in “street name,” you may revoke your proxy by following the instructions your brokerage firm, bank, broker dealer or other intermediary provides.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 my vote be confidential?</w:t>
      </w:r>
    </w:p>
    <w:p>
      <w:pPr>
        <w:spacing w:after="0" w:line="86"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Our Bylaws provide that your individual vote is confidential and will not be disclosed to any officer, director or employee of MSCI, except as required by law and in certain limited circumstances such as when you request or consent to disclosure, or make a request or comment on the proxy card.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counts the votes cast at the 2025 Annual Meeting?</w:t>
      </w:r>
    </w:p>
    <w:p>
      <w:pPr>
        <w:spacing w:after="0" w:line="100" w:lineRule="exact"/>
        <w:rPr>
          <w:sz w:val="20"/>
          <w:szCs w:val="20"/>
          <w:color w:val="auto"/>
        </w:rPr>
      </w:pPr>
    </w:p>
    <w:p>
      <w:pPr>
        <w:ind w:right="360"/>
        <w:spacing w:after="0" w:line="304" w:lineRule="auto"/>
        <w:rPr>
          <w:sz w:val="20"/>
          <w:szCs w:val="20"/>
          <w:color w:val="auto"/>
        </w:rPr>
      </w:pPr>
      <w:r>
        <w:rPr>
          <w:rFonts w:ascii="Arial" w:cs="Arial" w:eastAsia="Arial" w:hAnsi="Arial"/>
          <w:sz w:val="16"/>
          <w:szCs w:val="16"/>
          <w:color w:val="auto"/>
        </w:rPr>
        <w:t>Representatives of Broadridge will tabulate the votes cast at the 2025 Annual Meeting, and American Election Services, LLC will act as the independent inspector of elections.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 can I find the voting results of the 2025 Annual Meeting?</w:t>
      </w:r>
    </w:p>
    <w:p>
      <w:pPr>
        <w:spacing w:after="0" w:line="8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expect to announce the preliminary voting results at the 2025 Annual Meeting. The final voting results will be tallied by representatives of Broadridge, our inspector of elections, and will be subsequently published by us by the filing of a Current Report on Form 8-K with the SEC within four business days after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124" w:name="page125"/>
    <w:bookmarkEnd w:id="124"/>
    <w:p>
      <w:pPr>
        <w:ind w:left="7360"/>
        <w:spacing w:after="0"/>
        <w:tabs>
          <w:tab w:leader="none" w:pos="1090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Annex A: Frequently Asked Questions | MSCI</w:t>
      </w:r>
      <w:r>
        <w:rPr>
          <w:sz w:val="20"/>
          <w:szCs w:val="20"/>
          <w:color w:val="auto"/>
        </w:rPr>
        <w:tab/>
      </w:r>
      <w:r>
        <w:rPr>
          <w:rFonts w:ascii="Arial" w:cs="Arial" w:eastAsia="Arial" w:hAnsi="Arial"/>
          <w:sz w:val="14"/>
          <w:szCs w:val="14"/>
          <w:b w:val="1"/>
          <w:bCs w:val="1"/>
          <w:color w:val="1A3FD6"/>
        </w:rPr>
        <w:t>123</w:t>
      </w:r>
    </w:p>
    <w:p>
      <w:pPr>
        <w:sectPr>
          <w:pgSz w:w="11900" w:h="16838" w:orient="portrait"/>
          <w:cols w:equalWidth="0" w:num="1">
            <w:col w:w="11220"/>
          </w:cols>
          <w:pgMar w:left="320" w:top="2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will pay for the cost of the proxy solicitation?</w:t>
      </w:r>
    </w:p>
    <w:p>
      <w:pPr>
        <w:spacing w:after="0" w:line="100"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We pay the expenses of the preparation of proxy materials and the solicitation of proxies for our 2025 Annual Meeting. Proxies may be solicited on our behalf by directors, officers, employees or agents in person or by telephone, electronic transmission and facsimile transmission. Our directors, officers and employees will receive no additional compensation for any such solicitation.</w:t>
      </w:r>
    </w:p>
    <w:p>
      <w:pPr>
        <w:spacing w:after="0" w:line="6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have also hired D.F. King &amp; Co., Inc. (“D.F. King”), 48 Wall Street, 22nd Floor, New York, NY 10005, to assist in the distribution and solicitation of proxies. We will pay D.F. King a fee of $21,000, plus reasonable expenses, for these services. We will reimburse brokers and other similar institutions for costs incurred by them in mailing proxy materials to beneficial owners.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sign up for electronic delivery of proxy materials?</w:t>
      </w:r>
    </w:p>
    <w:p>
      <w:pPr>
        <w:spacing w:after="0" w:line="10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 xml:space="preserve">Shareholders can access this Proxy Statement and our 2024 Annual Report on Form 10-K via the internet at </w:t>
      </w:r>
      <w:r>
        <w:rPr>
          <w:rFonts w:ascii="Arial" w:cs="Arial" w:eastAsia="Arial" w:hAnsi="Arial"/>
          <w:sz w:val="16"/>
          <w:szCs w:val="16"/>
          <w:color w:val="1A3FD6"/>
        </w:rPr>
        <w:t>www.proxyvote.com</w:t>
      </w:r>
      <w:r>
        <w:rPr>
          <w:rFonts w:ascii="Arial" w:cs="Arial" w:eastAsia="Arial" w:hAnsi="Arial"/>
          <w:sz w:val="16"/>
          <w:szCs w:val="16"/>
          <w:color w:val="auto"/>
        </w:rPr>
        <w:t xml:space="preserve"> by following the instructions outlined on the secure website. For future annual meetings of shareholders, shareholders can consent to accessing our proxy materials, including the Notice of Internet Availability of Proxy Materials, our 2024 Annual Report on Form 10-K and the Proxy Statement, electronically in lieu of receiving hard copies by mail. To receive our proxy materials electronically, you will need access to a computer and an email account. If you vote through the internet at </w:t>
      </w:r>
      <w:r>
        <w:rPr>
          <w:rFonts w:ascii="Arial" w:cs="Arial" w:eastAsia="Arial" w:hAnsi="Arial"/>
          <w:sz w:val="16"/>
          <w:szCs w:val="16"/>
          <w:color w:val="1A3FD6"/>
        </w:rPr>
        <w:t>www.proxyvote.com</w:t>
      </w:r>
      <w:r>
        <w:rPr>
          <w:rFonts w:ascii="Arial" w:cs="Arial" w:eastAsia="Arial" w:hAnsi="Arial"/>
          <w:sz w:val="16"/>
          <w:szCs w:val="16"/>
          <w:color w:val="auto"/>
        </w:rPr>
        <w:t>, you will be prompted to consent to receiving proxy materials electronically in future years. To consent to electronic delivery, when prompted, you must indicate that you agree to receive such materials electronically in future years.</w:t>
      </w:r>
    </w:p>
    <w:p>
      <w:pPr>
        <w:spacing w:after="0" w:line="72" w:lineRule="exact"/>
        <w:rPr>
          <w:sz w:val="20"/>
          <w:szCs w:val="20"/>
          <w:color w:val="auto"/>
        </w:rPr>
      </w:pPr>
    </w:p>
    <w:p>
      <w:pPr>
        <w:ind w:right="460"/>
        <w:spacing w:after="0" w:line="304" w:lineRule="auto"/>
        <w:rPr>
          <w:sz w:val="20"/>
          <w:szCs w:val="20"/>
          <w:color w:val="auto"/>
        </w:rPr>
      </w:pPr>
      <w:r>
        <w:rPr>
          <w:rFonts w:ascii="Arial" w:cs="Arial" w:eastAsia="Arial" w:hAnsi="Arial"/>
          <w:sz w:val="16"/>
          <w:szCs w:val="16"/>
          <w:color w:val="auto"/>
        </w:rPr>
        <w:t>Shareholders that wish to revoke their request for electronic delivery may do so at any time without charge, by contacting us in writing at c/o Corporate Secretary, MSCI Inc., 7 World Trade Center, 250 Greenwich Street, 49th Floor, New York, New York 10007 or by telephone at (212) 981-7465.</w:t>
      </w:r>
    </w:p>
    <w:p>
      <w:pPr>
        <w:spacing w:after="0" w:line="47"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If you hold your shares through a brokerage firm, bank, broker dealer or other intermediary and you have not already done so, you can choose electronic delivery of our proxy materials by contacting such intermediary. You may also update your email address by contacting such intermediary.</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householding?</w:t>
      </w:r>
    </w:p>
    <w:p>
      <w:pPr>
        <w:spacing w:after="0" w:line="100"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Consistent with notices sent to shareholders of record sharing a single address, we will send only one copy of each of the Notice of Internet Availability of Proxy Materials, our 2024 Annual Report on Form 10-K and this Proxy Statement to that address unless we have received contrary instructions from any shareholder at that address. This “householding” practice reduces our printing and postage costs. Shareholders may request or discontinue householding, or may request a separate copy of each of the Notice of Internet Availability of Proxy Materials, our 2024 Annual Report on Form 10-K or this Proxy Statement as follows:</w:t>
      </w:r>
    </w:p>
    <w:p>
      <w:pPr>
        <w:spacing w:after="0" w:line="70" w:lineRule="exact"/>
        <w:rPr>
          <w:sz w:val="20"/>
          <w:szCs w:val="20"/>
          <w:color w:val="auto"/>
        </w:rPr>
      </w:pPr>
    </w:p>
    <w:p>
      <w:pPr>
        <w:ind w:left="200" w:right="200" w:hanging="192"/>
        <w:spacing w:after="0" w:line="299" w:lineRule="auto"/>
        <w:tabs>
          <w:tab w:leader="none" w:pos="197" w:val="left"/>
        </w:tabs>
        <w:numPr>
          <w:ilvl w:val="0"/>
          <w:numId w:val="142"/>
        </w:numPr>
        <w:rPr>
          <w:rFonts w:ascii="Arial" w:cs="Arial" w:eastAsia="Arial" w:hAnsi="Arial"/>
          <w:sz w:val="16"/>
          <w:szCs w:val="16"/>
          <w:color w:val="1A3FD6"/>
        </w:rPr>
      </w:pPr>
      <w:r>
        <w:rPr>
          <w:rFonts w:ascii="Arial" w:cs="Arial" w:eastAsia="Arial" w:hAnsi="Arial"/>
          <w:sz w:val="16"/>
          <w:szCs w:val="16"/>
          <w:color w:val="auto"/>
        </w:rPr>
        <w:t>Shareholders wishing to discontinue or begin householding, should contact us in writing at c/o Corporate Secretary at MSCI Inc., 7 World Trade Center, 250 Greenwich Street, 49th Floor, New York, New York 10007 or by telephone at (212) 981-7465.</w:t>
      </w:r>
    </w:p>
    <w:p>
      <w:pPr>
        <w:ind w:left="200" w:right="220" w:hanging="192"/>
        <w:spacing w:after="0" w:line="299" w:lineRule="auto"/>
        <w:tabs>
          <w:tab w:leader="none" w:pos="197" w:val="left"/>
        </w:tabs>
        <w:numPr>
          <w:ilvl w:val="0"/>
          <w:numId w:val="142"/>
        </w:numPr>
        <w:rPr>
          <w:rFonts w:ascii="Arial" w:cs="Arial" w:eastAsia="Arial" w:hAnsi="Arial"/>
          <w:sz w:val="16"/>
          <w:szCs w:val="16"/>
          <w:color w:val="1A3FD6"/>
        </w:rPr>
      </w:pPr>
      <w:r>
        <w:rPr>
          <w:rFonts w:ascii="Arial" w:cs="Arial" w:eastAsia="Arial" w:hAnsi="Arial"/>
          <w:sz w:val="16"/>
          <w:szCs w:val="16"/>
          <w:color w:val="auto"/>
        </w:rPr>
        <w:t>Shareholders owning their shares through a bank, broker or other holder of record who wish to either discontinue or begin householding should contact their record holder.</w:t>
      </w:r>
    </w:p>
    <w:p>
      <w:pPr>
        <w:ind w:left="200" w:right="340" w:hanging="192"/>
        <w:spacing w:after="0" w:line="277" w:lineRule="auto"/>
        <w:tabs>
          <w:tab w:leader="none" w:pos="197" w:val="left"/>
        </w:tabs>
        <w:numPr>
          <w:ilvl w:val="0"/>
          <w:numId w:val="142"/>
        </w:numPr>
        <w:rPr>
          <w:rFonts w:ascii="Arial" w:cs="Arial" w:eastAsia="Arial" w:hAnsi="Arial"/>
          <w:sz w:val="16"/>
          <w:szCs w:val="16"/>
          <w:color w:val="1A3FD6"/>
        </w:rPr>
      </w:pPr>
      <w:r>
        <w:rPr>
          <w:rFonts w:ascii="Arial" w:cs="Arial" w:eastAsia="Arial" w:hAnsi="Arial"/>
          <w:sz w:val="16"/>
          <w:szCs w:val="16"/>
          <w:color w:val="auto"/>
        </w:rPr>
        <w:t>Any householded shareholder may request prompt delivery of a copy of each of the Notice of Internet Availability of Proxy Materials, our 2024 Annual Report on Form 10-K or the Proxy Statement, as applicable, by contacting us at (212) 981-7465 or by writing to us at Investor Relations, MSCI Inc., 7 World Trade Center, 250 Greenwich Street, 49th Floor, New York, New York 10007 or via email at investor.relations@msci.com. Instructions for requesting such materials are also included in the Notice of Internet Availability of Proxy Materials.</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can I submit a recommendation for a director candidate?</w:t>
      </w:r>
    </w:p>
    <w:p>
      <w:pPr>
        <w:spacing w:after="0" w:line="100"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The Governance Committee oversees searches for and identifies qualified individuals for membership on MSCI’s Board. Please see page 22 of this Proxy Statement for additional information on director qualifications.</w:t>
      </w:r>
    </w:p>
    <w:p>
      <w:pPr>
        <w:spacing w:after="0" w:line="47"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Shareholders may make recommendations for consideration by the Governance Committee at any time. To recommend a director candidate for consideration by the Governance Committee, a shareholder must submit a written notice which demonstrates that it is being submitted by a shareholder of MSCI and include information about each proposed director candidate, including name, age, business address, principal occupation, principal qualifications and other relevant biographical information. In addition, the shareholder must confirm his or her candidate’s consent to serve as a director. There is no difference in the manner in which the Governance Committee evaluates nominees proposed by shareholders and those identified by the Governance Committee. Shareholders must send recommendations to the Governance and Corporate Responsibility Committee, c/o Corporate Secretary, MSCI Inc., 7 World Trade Center, 250 Greenwich Street, 49th Floor, New York, New York 10007.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type w:val="continuous"/>
        </w:sectPr>
      </w:pPr>
    </w:p>
    <w:bookmarkStart w:id="125" w:name="page126"/>
    <w:bookmarkEnd w:id="125"/>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124</w:t>
      </w:r>
      <w:r>
        <w:rPr>
          <w:sz w:val="20"/>
          <w:szCs w:val="20"/>
          <w:color w:val="auto"/>
        </w:rPr>
        <w:tab/>
      </w:r>
      <w:r>
        <w:rPr>
          <w:rFonts w:ascii="Arial" w:cs="Arial" w:eastAsia="Arial" w:hAnsi="Arial"/>
          <w:sz w:val="14"/>
          <w:szCs w:val="14"/>
          <w:b w:val="1"/>
          <w:bCs w:val="1"/>
          <w:color w:val="1A3FD6"/>
        </w:rPr>
        <w:t>2025 PROXY STATEMENT</w:t>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can I submit nominees (such as through proxy access) or a shareholder proposal at the 2026 annual meeting of shareholders?</w:t>
      </w:r>
    </w:p>
    <w:p>
      <w:pPr>
        <w:spacing w:after="0" w:line="86"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Shareholders who wish to submit a “proxy access” nomination for inclusion in our proxy statement in connection with our 2026 annual meeting of shareholders may do so by submitting a nomination notice, in compliance with the procedures and along with the other information required by our Bylaws, in writing at c/o Corporate Secretary, MSCI Inc., 7 World Trade Center, 250 Greenwich Street, 49th Floor, New York, New York 10007 or by email to corporatesecretary@msci.com, no earlier than October 13, 2025 and no later than November 12, 2025.</w:t>
      </w:r>
    </w:p>
    <w:p>
      <w:pPr>
        <w:spacing w:after="0" w:line="5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Shareholders intending to present a proposal at the 2026 annual meeting of shareholders under SEC Rule 14a-8 to request that the proposal be included in next year’s Proxy Statement must submit the proposal to us in writing at c/o Corporate Secretary, MSCI Inc., 7 World Trade Center, 250 Greenwich Street, 49th Floor, New York, New York 10007 or by email to corporatesecretary@msci.com. We must receive the proposal by no later than November 12, 2025. If we hold our 2026 annual meeting of shareholders more than 30 days before or after April 22, 2026 (the one-year anniversary date of the 2025 Annual Meeting), we will disclose the new deadline by which shareholder proposals must be received under Item 5 of Part II of our earliest possible Quarterly Report on Form 10-Q or, if impracticable, by any means reasonably determined to inform shareholders. In addition, shareholder proposals must otherwise comply with the requirements of Rule 14a-8 under the Exchange Act and with the SEC regulations under Rule 14a-8 regarding the inclusion of shareholder proposals in company-sponsored proxy materials.</w:t>
      </w:r>
    </w:p>
    <w:p>
      <w:pPr>
        <w:spacing w:after="0" w:line="66"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Shareholders intending to present a proposal at the 2026 annual meeting of shareholders, but not for inclusion of the proposal in our Proxy Statement, or to nominate a person for election as a director, must comply with the requirements set forth in our Bylaws. Our Bylaws require, among other things, that our Corporate Secretary receive written notice from the shareholder of record of intent to present such proposal or nomination no more than 120 days and no less than 90 days prior to the first anniversary of the preceding year’s annual meeting of shareholders. Therefore, the Company must receive notice of such a proposal or nomination for the 2026 annual meeting of shareholders no earlier than December 23, 2025 and no later than January 22, 2026. If the date of the 2026 annual meeting of shareholders is advanced by more than 30 days, or delayed by more than 90 days, from the first anniversary of the preceding year’s annual meeting of shareholders, notice by the shareholders to be timely must be so delivered to, and received by, our Corporate Secretary not earlier than the close of business on the 120th day prior to such annual meeting of shareholders and not later than the close of business on the later of the 90th day prior to such annual meeting or the 10th day following the day on which public announcement of the date of such meeting is first made by the Company. The notice must contain the information required by our Bylaws, a copy of which is available upon request to us in writing at c/o Corporate Secretary, MSCI Inc., 7 World Trade Center, 250 Greenwich Street, 49th Floor, New York, New York 10007.</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communicate with individual directors or the Board as a group?</w:t>
      </w:r>
    </w:p>
    <w:p>
      <w:pPr>
        <w:spacing w:after="0" w:line="86"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Shareholders and other interested parties may contact any member (or all members) of the Board by mail. To communicate with the Board, any individual director or any group or committee of directors, correspondence should be addressed to the Board or any such individual director or group or committee of directors by either name or title. All such correspondence should be sent to the Board of Directors at c/o Corporate Secretary, MSCI Inc., 7 World Trade Center, 250 Greenwich Street, 49th Floor, New York, New York 10007. Correspondence that is unrelated to the duties and responsibilities of the Board such as spam, junk mail and mass mailings, product complaints, personal employee complaints, product inquiries, new product suggestions, resumes and other forms of job inquiries, surveys, business solicitations or advertisements will not be forwarded to the Board.</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report issues regarding accounting, internal controls and other auditing matters?</w:t>
      </w:r>
    </w:p>
    <w:p>
      <w:pPr>
        <w:spacing w:after="0" w:line="8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Any interested parties may report potential issues regarding accounting, internal accounting controls and other auditing matters. The communication should be marked “Personal and Confidential” and sent to MSCI Inc., 7 World Trade Center, 250 Greenwich Street, 49th Floor, New York, New York 10007, Attention: Chair of the Audit and Risk Committee of MSCI Inc., in the care of the General Counsel. Our Procedures for Submission of Accounting Related Complaints are available on our website. To access this document, click on the “Corporate Governance” link under the “Investor Resources” tab found on our website’s Investor Relations homepage (</w:t>
      </w:r>
      <w:r>
        <w:rPr>
          <w:rFonts w:ascii="Arial" w:cs="Arial" w:eastAsia="Arial" w:hAnsi="Arial"/>
          <w:sz w:val="16"/>
          <w:szCs w:val="16"/>
          <w:color w:val="1A3FD6"/>
        </w:rPr>
        <w:t>https://ir.msci.com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6860"/>
              <w:spacing w:after="0"/>
              <w:rPr>
                <w:sz w:val="20"/>
                <w:szCs w:val="20"/>
                <w:color w:val="auto"/>
              </w:rPr>
            </w:pPr>
            <w:r>
              <w:rPr>
                <w:rFonts w:ascii="Arial" w:cs="Arial" w:eastAsia="Arial" w:hAnsi="Arial"/>
                <w:sz w:val="14"/>
                <w:szCs w:val="14"/>
                <w:b w:val="1"/>
                <w:bCs w:val="1"/>
                <w:color w:val="1A3FD6"/>
              </w:rPr>
              <w:t>Annex B: Supplemental Financial Information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125</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0" w:lineRule="exact"/>
        <w:rPr>
          <w:sz w:val="20"/>
          <w:szCs w:val="20"/>
          <w:color w:val="auto"/>
        </w:rPr>
      </w:pPr>
    </w:p>
    <w:p>
      <w:pPr>
        <w:spacing w:after="0" w:line="291" w:lineRule="exact"/>
        <w:rPr>
          <w:sz w:val="20"/>
          <w:szCs w:val="20"/>
          <w:color w:val="auto"/>
        </w:rPr>
      </w:pPr>
    </w:p>
    <w:p>
      <w:pPr>
        <w:ind w:left="1380" w:right="4200"/>
        <w:spacing w:after="0" w:line="281" w:lineRule="auto"/>
        <w:rPr>
          <w:sz w:val="20"/>
          <w:szCs w:val="20"/>
          <w:color w:val="auto"/>
        </w:rPr>
      </w:pPr>
      <w:r>
        <w:rPr>
          <w:rFonts w:ascii="Arial" w:cs="Arial" w:eastAsia="Arial" w:hAnsi="Arial"/>
          <w:sz w:val="50"/>
          <w:szCs w:val="50"/>
          <w:b w:val="1"/>
          <w:bCs w:val="1"/>
          <w:color w:val="1A3FD6"/>
        </w:rPr>
        <w:t>Annex B: Supplemental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-797560</wp:posOffset>
            </wp:positionV>
            <wp:extent cx="488315" cy="6172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488315" cy="61722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Non-GAAP Financial Measures</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20"/>
          <w:szCs w:val="20"/>
          <w:color w:val="1A3FD6"/>
        </w:rPr>
        <w:t>Reconciliation of Net Income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60" w:type="dxa"/>
            <w:vAlign w:val="bottom"/>
          </w:tcPr>
          <w:p>
            <w:pPr>
              <w:spacing w:after="0"/>
              <w:rPr>
                <w:sz w:val="17"/>
                <w:szCs w:val="17"/>
                <w:color w:val="auto"/>
              </w:rPr>
            </w:pPr>
          </w:p>
        </w:tc>
        <w:tc>
          <w:tcPr>
            <w:tcW w:w="160" w:type="dxa"/>
            <w:vAlign w:val="bottom"/>
            <w:tcBorders>
              <w:bottom w:val="single" w:sz="8" w:color="1A3FD6"/>
            </w:tcBorders>
          </w:tcPr>
          <w:p>
            <w:pPr>
              <w:spacing w:after="0"/>
              <w:rPr>
                <w:sz w:val="17"/>
                <w:szCs w:val="17"/>
                <w:color w:val="auto"/>
              </w:rPr>
            </w:pPr>
          </w:p>
        </w:tc>
        <w:tc>
          <w:tcPr>
            <w:tcW w:w="1140" w:type="dxa"/>
            <w:vAlign w:val="bottom"/>
            <w:tcBorders>
              <w:bottom w:val="single" w:sz="8" w:color="1A3FD6"/>
            </w:tcBorders>
          </w:tcPr>
          <w:p>
            <w:pPr>
              <w:spacing w:after="0"/>
              <w:rPr>
                <w:sz w:val="17"/>
                <w:szCs w:val="17"/>
                <w:color w:val="auto"/>
              </w:rPr>
            </w:pPr>
          </w:p>
        </w:tc>
        <w:tc>
          <w:tcPr>
            <w:tcW w:w="100" w:type="dxa"/>
            <w:vAlign w:val="bottom"/>
            <w:tcBorders>
              <w:bottom w:val="single" w:sz="8" w:color="1A3FD6"/>
            </w:tcBorders>
          </w:tcPr>
          <w:p>
            <w:pPr>
              <w:spacing w:after="0"/>
              <w:rPr>
                <w:sz w:val="17"/>
                <w:szCs w:val="17"/>
                <w:color w:val="auto"/>
              </w:rPr>
            </w:pPr>
          </w:p>
        </w:tc>
        <w:tc>
          <w:tcPr>
            <w:tcW w:w="140" w:type="dxa"/>
            <w:vAlign w:val="bottom"/>
            <w:tcBorders>
              <w:bottom w:val="single" w:sz="8" w:color="1A3FD6"/>
            </w:tcBorders>
          </w:tcPr>
          <w:p>
            <w:pPr>
              <w:spacing w:after="0"/>
              <w:rPr>
                <w:sz w:val="17"/>
                <w:szCs w:val="17"/>
                <w:color w:val="auto"/>
              </w:rPr>
            </w:pPr>
          </w:p>
        </w:tc>
        <w:tc>
          <w:tcPr>
            <w:tcW w:w="1240" w:type="dxa"/>
            <w:vAlign w:val="bottom"/>
            <w:tcBorders>
              <w:bottom w:val="single" w:sz="8" w:color="1A3FD6"/>
            </w:tcBorders>
            <w:gridSpan w:val="2"/>
          </w:tcPr>
          <w:p>
            <w:pPr>
              <w:ind w:left="60"/>
              <w:spacing w:after="0"/>
              <w:rPr>
                <w:sz w:val="20"/>
                <w:szCs w:val="20"/>
                <w:color w:val="auto"/>
              </w:rPr>
            </w:pPr>
            <w:r>
              <w:rPr>
                <w:rFonts w:ascii="Arial" w:cs="Arial" w:eastAsia="Arial" w:hAnsi="Arial"/>
                <w:sz w:val="14"/>
                <w:szCs w:val="14"/>
                <w:b w:val="1"/>
                <w:bCs w:val="1"/>
                <w:color w:val="auto"/>
              </w:rPr>
              <w:t>Years Ended</w:t>
            </w:r>
          </w:p>
        </w:tc>
        <w:tc>
          <w:tcPr>
            <w:tcW w:w="160" w:type="dxa"/>
            <w:vAlign w:val="bottom"/>
            <w:tcBorders>
              <w:bottom w:val="single" w:sz="8" w:color="1A3FD6"/>
            </w:tcBorders>
          </w:tcPr>
          <w:p>
            <w:pPr>
              <w:spacing w:after="0"/>
              <w:rPr>
                <w:sz w:val="17"/>
                <w:szCs w:val="17"/>
                <w:color w:val="auto"/>
              </w:rPr>
            </w:pPr>
          </w:p>
        </w:tc>
        <w:tc>
          <w:tcPr>
            <w:tcW w:w="1140" w:type="dxa"/>
            <w:vAlign w:val="bottom"/>
            <w:tcBorders>
              <w:bottom w:val="single" w:sz="8" w:color="1A3FD6"/>
            </w:tcBorders>
          </w:tcPr>
          <w:p>
            <w:pPr>
              <w:spacing w:after="0"/>
              <w:rPr>
                <w:sz w:val="17"/>
                <w:szCs w:val="17"/>
                <w:color w:val="auto"/>
              </w:rPr>
            </w:pPr>
          </w:p>
        </w:tc>
      </w:tr>
      <w:tr>
        <w:trPr>
          <w:trHeight w:val="226"/>
        </w:trPr>
        <w:tc>
          <w:tcPr>
            <w:tcW w:w="7160" w:type="dxa"/>
            <w:vAlign w:val="bottom"/>
            <w:tcBorders>
              <w:bottom w:val="single" w:sz="8" w:color="1A3FD6"/>
            </w:tcBorders>
          </w:tcPr>
          <w:p>
            <w:pPr>
              <w:ind w:left="20"/>
              <w:spacing w:after="0"/>
              <w:rPr>
                <w:sz w:val="20"/>
                <w:szCs w:val="20"/>
                <w:color w:val="auto"/>
              </w:rPr>
            </w:pPr>
            <w:r>
              <w:rPr>
                <w:rFonts w:ascii="Arial" w:cs="Arial" w:eastAsia="Arial" w:hAnsi="Arial"/>
                <w:sz w:val="16"/>
                <w:szCs w:val="16"/>
                <w:b w:val="1"/>
                <w:bCs w:val="1"/>
                <w:color w:val="auto"/>
              </w:rPr>
              <w:t>In Thousands (Except Percentages)</w:t>
            </w:r>
          </w:p>
        </w:tc>
        <w:tc>
          <w:tcPr>
            <w:tcW w:w="160" w:type="dxa"/>
            <w:vAlign w:val="bottom"/>
            <w:tcBorders>
              <w:bottom w:val="single" w:sz="8" w:color="1A3FD6"/>
            </w:tcBorders>
          </w:tcPr>
          <w:p>
            <w:pPr>
              <w:spacing w:after="0"/>
              <w:rPr>
                <w:sz w:val="19"/>
                <w:szCs w:val="19"/>
                <w:color w:val="auto"/>
              </w:rPr>
            </w:pPr>
          </w:p>
        </w:tc>
        <w:tc>
          <w:tcPr>
            <w:tcW w:w="1240" w:type="dxa"/>
            <w:vAlign w:val="bottom"/>
            <w:tcBorders>
              <w:bottom w:val="single" w:sz="8" w:color="1A3FD6"/>
            </w:tcBorders>
            <w:gridSpan w:val="2"/>
          </w:tcPr>
          <w:p>
            <w:pPr>
              <w:ind w:left="40"/>
              <w:spacing w:after="0"/>
              <w:rPr>
                <w:sz w:val="20"/>
                <w:szCs w:val="20"/>
                <w:color w:val="auto"/>
              </w:rPr>
            </w:pPr>
            <w:r>
              <w:rPr>
                <w:rFonts w:ascii="Arial" w:cs="Arial" w:eastAsia="Arial" w:hAnsi="Arial"/>
                <w:sz w:val="14"/>
                <w:szCs w:val="14"/>
                <w:b w:val="1"/>
                <w:bCs w:val="1"/>
                <w:color w:val="auto"/>
              </w:rPr>
              <w:t>Dec. 31, 2024</w:t>
            </w:r>
          </w:p>
        </w:tc>
        <w:tc>
          <w:tcPr>
            <w:tcW w:w="140" w:type="dxa"/>
            <w:vAlign w:val="bottom"/>
            <w:tcBorders>
              <w:bottom w:val="single" w:sz="8" w:color="1A3FD6"/>
            </w:tcBorders>
          </w:tcPr>
          <w:p>
            <w:pPr>
              <w:spacing w:after="0"/>
              <w:rPr>
                <w:sz w:val="19"/>
                <w:szCs w:val="19"/>
                <w:color w:val="auto"/>
              </w:rPr>
            </w:pPr>
          </w:p>
        </w:tc>
        <w:tc>
          <w:tcPr>
            <w:tcW w:w="1240" w:type="dxa"/>
            <w:vAlign w:val="bottom"/>
            <w:tcBorders>
              <w:bottom w:val="single" w:sz="8" w:color="1A3FD6"/>
            </w:tcBorders>
            <w:gridSpan w:val="2"/>
          </w:tcPr>
          <w:p>
            <w:pPr>
              <w:ind w:left="40"/>
              <w:spacing w:after="0"/>
              <w:rPr>
                <w:sz w:val="20"/>
                <w:szCs w:val="20"/>
                <w:color w:val="auto"/>
              </w:rPr>
            </w:pPr>
            <w:r>
              <w:rPr>
                <w:rFonts w:ascii="Arial" w:cs="Arial" w:eastAsia="Arial" w:hAnsi="Arial"/>
                <w:sz w:val="14"/>
                <w:szCs w:val="14"/>
                <w:b w:val="1"/>
                <w:bCs w:val="1"/>
                <w:color w:val="auto"/>
              </w:rPr>
              <w:t>Dec. 31, 2023</w:t>
            </w:r>
          </w:p>
        </w:tc>
        <w:tc>
          <w:tcPr>
            <w:tcW w:w="160" w:type="dxa"/>
            <w:vAlign w:val="bottom"/>
            <w:tcBorders>
              <w:bottom w:val="single" w:sz="8" w:color="1A3FD6"/>
            </w:tcBorders>
          </w:tcPr>
          <w:p>
            <w:pPr>
              <w:spacing w:after="0"/>
              <w:rPr>
                <w:sz w:val="19"/>
                <w:szCs w:val="19"/>
                <w:color w:val="auto"/>
              </w:rPr>
            </w:pPr>
          </w:p>
        </w:tc>
        <w:tc>
          <w:tcPr>
            <w:tcW w:w="1140" w:type="dxa"/>
            <w:vAlign w:val="bottom"/>
            <w:tcBorders>
              <w:bottom w:val="single" w:sz="8" w:color="1A3FD6"/>
            </w:tcBorders>
          </w:tcPr>
          <w:p>
            <w:pPr>
              <w:jc w:val="right"/>
              <w:ind w:right="120"/>
              <w:spacing w:after="0"/>
              <w:rPr>
                <w:sz w:val="20"/>
                <w:szCs w:val="20"/>
                <w:color w:val="auto"/>
              </w:rPr>
            </w:pPr>
            <w:r>
              <w:rPr>
                <w:rFonts w:ascii="Arial" w:cs="Arial" w:eastAsia="Arial" w:hAnsi="Arial"/>
                <w:sz w:val="14"/>
                <w:szCs w:val="14"/>
                <w:b w:val="1"/>
                <w:bCs w:val="1"/>
                <w:color w:val="auto"/>
              </w:rPr>
              <w:t>Dec. 31, 2022</w:t>
            </w:r>
          </w:p>
        </w:tc>
      </w:tr>
      <w:tr>
        <w:trPr>
          <w:trHeight w:val="237"/>
        </w:trPr>
        <w:tc>
          <w:tcPr>
            <w:tcW w:w="71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1,109,128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1,148,592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870,573</w:t>
            </w:r>
          </w:p>
        </w:tc>
      </w:tr>
      <w:tr>
        <w:trPr>
          <w:trHeight w:val="247"/>
        </w:trPr>
        <w:tc>
          <w:tcPr>
            <w:tcW w:w="7160" w:type="dxa"/>
            <w:vAlign w:val="bottom"/>
            <w:shd w:val="clear" w:color="auto" w:fill="EDF0FC"/>
          </w:tcPr>
          <w:p>
            <w:pPr>
              <w:ind w:left="20"/>
              <w:spacing w:after="0"/>
              <w:rPr>
                <w:sz w:val="20"/>
                <w:szCs w:val="20"/>
                <w:color w:val="auto"/>
              </w:rPr>
            </w:pPr>
            <w:r>
              <w:rPr>
                <w:rFonts w:ascii="Arial" w:cs="Arial" w:eastAsia="Arial" w:hAnsi="Arial"/>
                <w:sz w:val="16"/>
                <w:szCs w:val="16"/>
                <w:color w:val="auto"/>
              </w:rPr>
              <w:t>Provision for income taxes</w:t>
            </w:r>
          </w:p>
        </w:tc>
        <w:tc>
          <w:tcPr>
            <w:tcW w:w="160" w:type="dxa"/>
            <w:vAlign w:val="bottom"/>
            <w:shd w:val="clear" w:color="auto" w:fill="EDF0FC"/>
          </w:tcPr>
          <w:p>
            <w:pPr>
              <w:spacing w:after="0"/>
              <w:rPr>
                <w:sz w:val="21"/>
                <w:szCs w:val="21"/>
                <w:color w:val="auto"/>
              </w:rPr>
            </w:pPr>
          </w:p>
        </w:tc>
        <w:tc>
          <w:tcPr>
            <w:tcW w:w="11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247,040</w:t>
            </w:r>
          </w:p>
        </w:tc>
        <w:tc>
          <w:tcPr>
            <w:tcW w:w="100" w:type="dxa"/>
            <w:vAlign w:val="bottom"/>
            <w:shd w:val="clear" w:color="auto" w:fill="EDF0FC"/>
          </w:tcPr>
          <w:p>
            <w:pPr>
              <w:spacing w:after="0"/>
              <w:rPr>
                <w:sz w:val="21"/>
                <w:szCs w:val="21"/>
                <w:color w:val="auto"/>
              </w:rPr>
            </w:pPr>
          </w:p>
        </w:tc>
        <w:tc>
          <w:tcPr>
            <w:tcW w:w="140" w:type="dxa"/>
            <w:vAlign w:val="bottom"/>
            <w:shd w:val="clear" w:color="auto" w:fill="EDF0FC"/>
          </w:tcPr>
          <w:p>
            <w:pPr>
              <w:spacing w:after="0"/>
              <w:rPr>
                <w:sz w:val="21"/>
                <w:szCs w:val="21"/>
                <w:color w:val="auto"/>
              </w:rPr>
            </w:pPr>
          </w:p>
        </w:tc>
        <w:tc>
          <w:tcPr>
            <w:tcW w:w="11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220,469</w:t>
            </w:r>
          </w:p>
        </w:tc>
        <w:tc>
          <w:tcPr>
            <w:tcW w:w="100" w:type="dxa"/>
            <w:vAlign w:val="bottom"/>
            <w:shd w:val="clear" w:color="auto" w:fill="EDF0FC"/>
          </w:tcPr>
          <w:p>
            <w:pPr>
              <w:spacing w:after="0"/>
              <w:rPr>
                <w:sz w:val="21"/>
                <w:szCs w:val="21"/>
                <w:color w:val="auto"/>
              </w:rPr>
            </w:pPr>
          </w:p>
        </w:tc>
        <w:tc>
          <w:tcPr>
            <w:tcW w:w="160" w:type="dxa"/>
            <w:vAlign w:val="bottom"/>
            <w:shd w:val="clear" w:color="auto" w:fill="EDF0FC"/>
          </w:tcPr>
          <w:p>
            <w:pPr>
              <w:spacing w:after="0"/>
              <w:rPr>
                <w:sz w:val="21"/>
                <w:szCs w:val="21"/>
                <w:color w:val="auto"/>
              </w:rPr>
            </w:pPr>
          </w:p>
        </w:tc>
        <w:tc>
          <w:tcPr>
            <w:tcW w:w="11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173,268</w:t>
            </w:r>
          </w:p>
        </w:tc>
      </w:tr>
      <w:tr>
        <w:trPr>
          <w:trHeight w:val="237"/>
        </w:trPr>
        <w:tc>
          <w:tcPr>
            <w:tcW w:w="7160" w:type="dxa"/>
            <w:vAlign w:val="bottom"/>
            <w:tcBorders>
              <w:bottom w:val="single" w:sz="8" w:color="EDF0FC"/>
            </w:tcBorders>
          </w:tcPr>
          <w:p>
            <w:pPr>
              <w:ind w:left="20"/>
              <w:spacing w:after="0"/>
              <w:rPr>
                <w:sz w:val="20"/>
                <w:szCs w:val="20"/>
                <w:color w:val="auto"/>
              </w:rPr>
            </w:pPr>
            <w:r>
              <w:rPr>
                <w:rFonts w:ascii="Arial" w:cs="Arial" w:eastAsia="Arial" w:hAnsi="Arial"/>
                <w:sz w:val="16"/>
                <w:szCs w:val="16"/>
                <w:color w:val="auto"/>
              </w:rPr>
              <w:t>Other expense (income), net</w:t>
            </w:r>
          </w:p>
        </w:tc>
        <w:tc>
          <w:tcPr>
            <w:tcW w:w="160" w:type="dxa"/>
            <w:vAlign w:val="bottom"/>
            <w:tcBorders>
              <w:bottom w:val="single" w:sz="8" w:color="1A3FD6"/>
            </w:tcBorders>
          </w:tcPr>
          <w:p>
            <w:pPr>
              <w:spacing w:after="0"/>
              <w:rPr>
                <w:sz w:val="20"/>
                <w:szCs w:val="20"/>
                <w:color w:val="auto"/>
              </w:rPr>
            </w:pPr>
          </w:p>
        </w:tc>
        <w:tc>
          <w:tcPr>
            <w:tcW w:w="1140" w:type="dxa"/>
            <w:vAlign w:val="bottom"/>
            <w:tcBorders>
              <w:bottom w:val="single" w:sz="8" w:color="1A3FD6"/>
            </w:tcBorders>
          </w:tcPr>
          <w:p>
            <w:pPr>
              <w:jc w:val="right"/>
              <w:spacing w:after="0"/>
              <w:rPr>
                <w:sz w:val="20"/>
                <w:szCs w:val="20"/>
                <w:color w:val="auto"/>
              </w:rPr>
            </w:pPr>
            <w:r>
              <w:rPr>
                <w:rFonts w:ascii="Arial" w:cs="Arial" w:eastAsia="Arial" w:hAnsi="Arial"/>
                <w:sz w:val="16"/>
                <w:szCs w:val="16"/>
                <w:color w:val="auto"/>
              </w:rPr>
              <w:t>172,350</w:t>
            </w:r>
          </w:p>
        </w:tc>
        <w:tc>
          <w:tcPr>
            <w:tcW w:w="100" w:type="dxa"/>
            <w:vAlign w:val="bottom"/>
            <w:tcBorders>
              <w:bottom w:val="single" w:sz="8" w:color="EDF0FC"/>
            </w:tcBorders>
          </w:tcPr>
          <w:p>
            <w:pPr>
              <w:spacing w:after="0"/>
              <w:rPr>
                <w:sz w:val="20"/>
                <w:szCs w:val="20"/>
                <w:color w:val="auto"/>
              </w:rPr>
            </w:pPr>
          </w:p>
        </w:tc>
        <w:tc>
          <w:tcPr>
            <w:tcW w:w="140" w:type="dxa"/>
            <w:vAlign w:val="bottom"/>
            <w:tcBorders>
              <w:bottom w:val="single" w:sz="8" w:color="1A3FD6"/>
            </w:tcBorders>
          </w:tcPr>
          <w:p>
            <w:pPr>
              <w:spacing w:after="0"/>
              <w:rPr>
                <w:sz w:val="20"/>
                <w:szCs w:val="20"/>
                <w:color w:val="auto"/>
              </w:rPr>
            </w:pPr>
          </w:p>
        </w:tc>
        <w:tc>
          <w:tcPr>
            <w:tcW w:w="1140" w:type="dxa"/>
            <w:vAlign w:val="bottom"/>
            <w:tcBorders>
              <w:bottom w:val="single" w:sz="8" w:color="1A3FD6"/>
            </w:tcBorders>
          </w:tcPr>
          <w:p>
            <w:pPr>
              <w:jc w:val="right"/>
              <w:spacing w:after="0"/>
              <w:rPr>
                <w:sz w:val="20"/>
                <w:szCs w:val="20"/>
                <w:color w:val="auto"/>
              </w:rPr>
            </w:pPr>
            <w:r>
              <w:rPr>
                <w:rFonts w:ascii="Arial" w:cs="Arial" w:eastAsia="Arial" w:hAnsi="Arial"/>
                <w:sz w:val="16"/>
                <w:szCs w:val="16"/>
                <w:color w:val="auto"/>
              </w:rPr>
              <w:t>15,548</w:t>
            </w:r>
          </w:p>
        </w:tc>
        <w:tc>
          <w:tcPr>
            <w:tcW w:w="100" w:type="dxa"/>
            <w:vAlign w:val="bottom"/>
            <w:tcBorders>
              <w:bottom w:val="single" w:sz="8" w:color="EDF0FC"/>
            </w:tcBorders>
          </w:tcPr>
          <w:p>
            <w:pPr>
              <w:spacing w:after="0"/>
              <w:rPr>
                <w:sz w:val="20"/>
                <w:szCs w:val="20"/>
                <w:color w:val="auto"/>
              </w:rPr>
            </w:pPr>
          </w:p>
        </w:tc>
        <w:tc>
          <w:tcPr>
            <w:tcW w:w="160" w:type="dxa"/>
            <w:vAlign w:val="bottom"/>
            <w:tcBorders>
              <w:bottom w:val="single" w:sz="8" w:color="1A3FD6"/>
            </w:tcBorders>
          </w:tcPr>
          <w:p>
            <w:pPr>
              <w:spacing w:after="0"/>
              <w:rPr>
                <w:sz w:val="20"/>
                <w:szCs w:val="20"/>
                <w:color w:val="auto"/>
              </w:rPr>
            </w:pPr>
          </w:p>
        </w:tc>
        <w:tc>
          <w:tcPr>
            <w:tcW w:w="1140" w:type="dxa"/>
            <w:vAlign w:val="bottom"/>
            <w:tcBorders>
              <w:bottom w:val="single" w:sz="8" w:color="1A3FD6"/>
            </w:tcBorders>
          </w:tcPr>
          <w:p>
            <w:pPr>
              <w:jc w:val="right"/>
              <w:spacing w:after="0"/>
              <w:rPr>
                <w:sz w:val="20"/>
                <w:szCs w:val="20"/>
                <w:color w:val="auto"/>
              </w:rPr>
            </w:pPr>
            <w:r>
              <w:rPr>
                <w:rFonts w:ascii="Arial" w:cs="Arial" w:eastAsia="Arial" w:hAnsi="Arial"/>
                <w:sz w:val="16"/>
                <w:szCs w:val="16"/>
                <w:color w:val="auto"/>
              </w:rPr>
              <w:t>163,799</w:t>
            </w:r>
          </w:p>
        </w:tc>
      </w:tr>
      <w:tr>
        <w:trPr>
          <w:trHeight w:val="243"/>
        </w:trPr>
        <w:tc>
          <w:tcPr>
            <w:tcW w:w="716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auto"/>
              </w:rPr>
              <w:t>Operating Income</w:t>
            </w:r>
          </w:p>
        </w:tc>
        <w:tc>
          <w:tcPr>
            <w:tcW w:w="160" w:type="dxa"/>
            <w:vAlign w:val="bottom"/>
            <w:tcBorders>
              <w:bottom w:val="single" w:sz="8" w:color="1A3FD6"/>
            </w:tcBorders>
            <w:shd w:val="clear" w:color="auto" w:fill="EDF0FC"/>
          </w:tcPr>
          <w:p>
            <w:pPr>
              <w:spacing w:after="0"/>
              <w:rPr>
                <w:sz w:val="21"/>
                <w:szCs w:val="21"/>
                <w:color w:val="auto"/>
              </w:rPr>
            </w:pPr>
          </w:p>
        </w:tc>
        <w:tc>
          <w:tcPr>
            <w:tcW w:w="1140" w:type="dxa"/>
            <w:vAlign w:val="bottom"/>
            <w:tcBorders>
              <w:bottom w:val="single" w:sz="8" w:color="1A3FD6"/>
            </w:tcBorders>
            <w:shd w:val="clear" w:color="auto" w:fill="EDF0FC"/>
          </w:tcPr>
          <w:p>
            <w:pPr>
              <w:jc w:val="right"/>
              <w:spacing w:after="0"/>
              <w:rPr>
                <w:sz w:val="20"/>
                <w:szCs w:val="20"/>
                <w:color w:val="auto"/>
              </w:rPr>
            </w:pPr>
            <w:r>
              <w:rPr>
                <w:rFonts w:ascii="Arial" w:cs="Arial" w:eastAsia="Arial" w:hAnsi="Arial"/>
                <w:sz w:val="16"/>
                <w:szCs w:val="16"/>
                <w:b w:val="1"/>
                <w:bCs w:val="1"/>
                <w:color w:val="auto"/>
              </w:rPr>
              <w:t>1,528,518</w:t>
            </w:r>
          </w:p>
        </w:tc>
        <w:tc>
          <w:tcPr>
            <w:tcW w:w="100" w:type="dxa"/>
            <w:vAlign w:val="bottom"/>
            <w:shd w:val="clear" w:color="auto" w:fill="EDF0FC"/>
          </w:tcPr>
          <w:p>
            <w:pPr>
              <w:spacing w:after="0"/>
              <w:rPr>
                <w:sz w:val="21"/>
                <w:szCs w:val="21"/>
                <w:color w:val="auto"/>
              </w:rPr>
            </w:pPr>
          </w:p>
        </w:tc>
        <w:tc>
          <w:tcPr>
            <w:tcW w:w="140" w:type="dxa"/>
            <w:vAlign w:val="bottom"/>
            <w:tcBorders>
              <w:bottom w:val="single" w:sz="8" w:color="1A3FD6"/>
            </w:tcBorders>
            <w:shd w:val="clear" w:color="auto" w:fill="EDF0FC"/>
          </w:tcPr>
          <w:p>
            <w:pPr>
              <w:spacing w:after="0"/>
              <w:rPr>
                <w:sz w:val="21"/>
                <w:szCs w:val="21"/>
                <w:color w:val="auto"/>
              </w:rPr>
            </w:pPr>
          </w:p>
        </w:tc>
        <w:tc>
          <w:tcPr>
            <w:tcW w:w="1140" w:type="dxa"/>
            <w:vAlign w:val="bottom"/>
            <w:tcBorders>
              <w:bottom w:val="single" w:sz="8" w:color="1A3FD6"/>
            </w:tcBorders>
            <w:shd w:val="clear" w:color="auto" w:fill="EDF0FC"/>
          </w:tcPr>
          <w:p>
            <w:pPr>
              <w:jc w:val="right"/>
              <w:spacing w:after="0"/>
              <w:rPr>
                <w:sz w:val="20"/>
                <w:szCs w:val="20"/>
                <w:color w:val="auto"/>
              </w:rPr>
            </w:pPr>
            <w:r>
              <w:rPr>
                <w:rFonts w:ascii="Arial" w:cs="Arial" w:eastAsia="Arial" w:hAnsi="Arial"/>
                <w:sz w:val="16"/>
                <w:szCs w:val="16"/>
                <w:b w:val="1"/>
                <w:bCs w:val="1"/>
                <w:color w:val="auto"/>
              </w:rPr>
              <w:t>1,384,609</w:t>
            </w:r>
          </w:p>
        </w:tc>
        <w:tc>
          <w:tcPr>
            <w:tcW w:w="100" w:type="dxa"/>
            <w:vAlign w:val="bottom"/>
            <w:shd w:val="clear" w:color="auto" w:fill="EDF0FC"/>
          </w:tcPr>
          <w:p>
            <w:pPr>
              <w:spacing w:after="0"/>
              <w:rPr>
                <w:sz w:val="21"/>
                <w:szCs w:val="21"/>
                <w:color w:val="auto"/>
              </w:rPr>
            </w:pPr>
          </w:p>
        </w:tc>
        <w:tc>
          <w:tcPr>
            <w:tcW w:w="160" w:type="dxa"/>
            <w:vAlign w:val="bottom"/>
            <w:tcBorders>
              <w:bottom w:val="single" w:sz="8" w:color="1A3FD6"/>
            </w:tcBorders>
            <w:shd w:val="clear" w:color="auto" w:fill="EDF0FC"/>
          </w:tcPr>
          <w:p>
            <w:pPr>
              <w:spacing w:after="0"/>
              <w:rPr>
                <w:sz w:val="21"/>
                <w:szCs w:val="21"/>
                <w:color w:val="auto"/>
              </w:rPr>
            </w:pPr>
          </w:p>
        </w:tc>
        <w:tc>
          <w:tcPr>
            <w:tcW w:w="1140" w:type="dxa"/>
            <w:vAlign w:val="bottom"/>
            <w:tcBorders>
              <w:bottom w:val="single" w:sz="8" w:color="1A3FD6"/>
            </w:tcBorders>
            <w:shd w:val="clear" w:color="auto" w:fill="EDF0FC"/>
          </w:tcPr>
          <w:p>
            <w:pPr>
              <w:jc w:val="right"/>
              <w:spacing w:after="0"/>
              <w:rPr>
                <w:sz w:val="20"/>
                <w:szCs w:val="20"/>
                <w:color w:val="auto"/>
              </w:rPr>
            </w:pPr>
            <w:r>
              <w:rPr>
                <w:rFonts w:ascii="Arial" w:cs="Arial" w:eastAsia="Arial" w:hAnsi="Arial"/>
                <w:sz w:val="16"/>
                <w:szCs w:val="16"/>
                <w:b w:val="1"/>
                <w:bCs w:val="1"/>
                <w:color w:val="auto"/>
              </w:rPr>
              <w:t>1,207,640</w:t>
            </w:r>
          </w:p>
        </w:tc>
      </w:tr>
      <w:tr>
        <w:trPr>
          <w:trHeight w:val="229"/>
        </w:trPr>
        <w:tc>
          <w:tcPr>
            <w:tcW w:w="716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164,037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114,429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91,079</w:t>
            </w:r>
          </w:p>
        </w:tc>
      </w:tr>
      <w:tr>
        <w:trPr>
          <w:trHeight w:val="251"/>
        </w:trPr>
        <w:tc>
          <w:tcPr>
            <w:tcW w:w="7160" w:type="dxa"/>
            <w:vAlign w:val="bottom"/>
            <w:shd w:val="clear" w:color="auto" w:fill="EDF0FC"/>
          </w:tcPr>
          <w:p>
            <w:pPr>
              <w:ind w:left="20"/>
              <w:spacing w:after="0"/>
              <w:rPr>
                <w:sz w:val="20"/>
                <w:szCs w:val="20"/>
                <w:color w:val="auto"/>
              </w:rPr>
            </w:pPr>
            <w:r>
              <w:rPr>
                <w:rFonts w:ascii="Arial" w:cs="Arial" w:eastAsia="Arial" w:hAnsi="Arial"/>
                <w:sz w:val="16"/>
                <w:szCs w:val="16"/>
                <w:color w:val="auto"/>
              </w:rPr>
              <w:t>Depreciation and amortization of property, equipment and leasehold improvements</w:t>
            </w:r>
          </w:p>
        </w:tc>
        <w:tc>
          <w:tcPr>
            <w:tcW w:w="160" w:type="dxa"/>
            <w:vAlign w:val="bottom"/>
            <w:shd w:val="clear" w:color="auto" w:fill="EDF0FC"/>
          </w:tcPr>
          <w:p>
            <w:pPr>
              <w:spacing w:after="0"/>
              <w:rPr>
                <w:sz w:val="21"/>
                <w:szCs w:val="21"/>
                <w:color w:val="auto"/>
              </w:rPr>
            </w:pPr>
          </w:p>
        </w:tc>
        <w:tc>
          <w:tcPr>
            <w:tcW w:w="11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16,978</w:t>
            </w:r>
          </w:p>
        </w:tc>
        <w:tc>
          <w:tcPr>
            <w:tcW w:w="100" w:type="dxa"/>
            <w:vAlign w:val="bottom"/>
            <w:shd w:val="clear" w:color="auto" w:fill="EDF0FC"/>
          </w:tcPr>
          <w:p>
            <w:pPr>
              <w:spacing w:after="0"/>
              <w:rPr>
                <w:sz w:val="21"/>
                <w:szCs w:val="21"/>
                <w:color w:val="auto"/>
              </w:rPr>
            </w:pPr>
          </w:p>
        </w:tc>
        <w:tc>
          <w:tcPr>
            <w:tcW w:w="140" w:type="dxa"/>
            <w:vAlign w:val="bottom"/>
            <w:shd w:val="clear" w:color="auto" w:fill="EDF0FC"/>
          </w:tcPr>
          <w:p>
            <w:pPr>
              <w:spacing w:after="0"/>
              <w:rPr>
                <w:sz w:val="21"/>
                <w:szCs w:val="21"/>
                <w:color w:val="auto"/>
              </w:rPr>
            </w:pPr>
          </w:p>
        </w:tc>
        <w:tc>
          <w:tcPr>
            <w:tcW w:w="11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21,009</w:t>
            </w:r>
          </w:p>
        </w:tc>
        <w:tc>
          <w:tcPr>
            <w:tcW w:w="100" w:type="dxa"/>
            <w:vAlign w:val="bottom"/>
            <w:shd w:val="clear" w:color="auto" w:fill="EDF0FC"/>
          </w:tcPr>
          <w:p>
            <w:pPr>
              <w:spacing w:after="0"/>
              <w:rPr>
                <w:sz w:val="21"/>
                <w:szCs w:val="21"/>
                <w:color w:val="auto"/>
              </w:rPr>
            </w:pPr>
          </w:p>
        </w:tc>
        <w:tc>
          <w:tcPr>
            <w:tcW w:w="160" w:type="dxa"/>
            <w:vAlign w:val="bottom"/>
            <w:shd w:val="clear" w:color="auto" w:fill="EDF0FC"/>
          </w:tcPr>
          <w:p>
            <w:pPr>
              <w:spacing w:after="0"/>
              <w:rPr>
                <w:sz w:val="21"/>
                <w:szCs w:val="21"/>
                <w:color w:val="auto"/>
              </w:rPr>
            </w:pPr>
          </w:p>
        </w:tc>
        <w:tc>
          <w:tcPr>
            <w:tcW w:w="11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26,893</w:t>
            </w:r>
          </w:p>
        </w:tc>
      </w:tr>
      <w:tr>
        <w:trPr>
          <w:trHeight w:val="235"/>
        </w:trPr>
        <w:tc>
          <w:tcPr>
            <w:tcW w:w="7160" w:type="dxa"/>
            <w:vAlign w:val="bottom"/>
          </w:tcPr>
          <w:p>
            <w:pPr>
              <w:ind w:left="20"/>
              <w:spacing w:after="0"/>
              <w:rPr>
                <w:sz w:val="20"/>
                <w:szCs w:val="20"/>
                <w:color w:val="auto"/>
              </w:rPr>
            </w:pPr>
            <w:r>
              <w:rPr>
                <w:rFonts w:ascii="Arial" w:cs="Arial" w:eastAsia="Arial" w:hAnsi="Arial"/>
                <w:sz w:val="16"/>
                <w:szCs w:val="16"/>
                <w:color w:val="auto"/>
              </w:rPr>
              <w:t>Impairment related to sublease of leased property</w:t>
            </w:r>
          </w:p>
        </w:tc>
        <w:tc>
          <w:tcPr>
            <w:tcW w:w="16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7160" w:type="dxa"/>
            <w:vAlign w:val="bottom"/>
            <w:shd w:val="clear" w:color="auto" w:fill="EDF0FC"/>
          </w:tcPr>
          <w:p>
            <w:pPr>
              <w:ind w:left="20"/>
              <w:spacing w:after="0"/>
              <w:rPr>
                <w:sz w:val="20"/>
                <w:szCs w:val="20"/>
                <w:color w:val="auto"/>
              </w:rPr>
            </w:pPr>
            <w:r>
              <w:rPr>
                <w:rFonts w:ascii="Arial" w:cs="Arial" w:eastAsia="Arial" w:hAnsi="Arial"/>
                <w:sz w:val="16"/>
                <w:szCs w:val="16"/>
                <w:color w:val="auto"/>
              </w:rPr>
              <w:t>Acquisition-related integration and transaction costs</w:t>
            </w:r>
            <w:r>
              <w:rPr>
                <w:rFonts w:ascii="Arial" w:cs="Arial" w:eastAsia="Arial" w:hAnsi="Arial"/>
                <w:sz w:val="21"/>
                <w:szCs w:val="21"/>
                <w:color w:val="auto"/>
                <w:vertAlign w:val="superscript"/>
              </w:rPr>
              <w:t>(1)</w:t>
            </w:r>
          </w:p>
        </w:tc>
        <w:tc>
          <w:tcPr>
            <w:tcW w:w="160" w:type="dxa"/>
            <w:vAlign w:val="bottom"/>
            <w:tcBorders>
              <w:bottom w:val="single" w:sz="8" w:color="1A3FD6"/>
            </w:tcBorders>
            <w:shd w:val="clear" w:color="auto" w:fill="EDF0FC"/>
          </w:tcPr>
          <w:p>
            <w:pPr>
              <w:spacing w:after="0"/>
              <w:rPr>
                <w:sz w:val="21"/>
                <w:szCs w:val="21"/>
                <w:color w:val="auto"/>
              </w:rPr>
            </w:pPr>
          </w:p>
        </w:tc>
        <w:tc>
          <w:tcPr>
            <w:tcW w:w="1140" w:type="dxa"/>
            <w:vAlign w:val="bottom"/>
            <w:tcBorders>
              <w:bottom w:val="single" w:sz="8" w:color="1A3FD6"/>
            </w:tcBorders>
            <w:shd w:val="clear" w:color="auto" w:fill="EDF0FC"/>
          </w:tcPr>
          <w:p>
            <w:pPr>
              <w:jc w:val="right"/>
              <w:spacing w:after="0"/>
              <w:rPr>
                <w:sz w:val="20"/>
                <w:szCs w:val="20"/>
                <w:color w:val="auto"/>
              </w:rPr>
            </w:pPr>
            <w:r>
              <w:rPr>
                <w:rFonts w:ascii="Arial" w:cs="Arial" w:eastAsia="Arial" w:hAnsi="Arial"/>
                <w:sz w:val="16"/>
                <w:szCs w:val="16"/>
                <w:color w:val="auto"/>
              </w:rPr>
              <w:t>6,951</w:t>
            </w:r>
          </w:p>
        </w:tc>
        <w:tc>
          <w:tcPr>
            <w:tcW w:w="100" w:type="dxa"/>
            <w:vAlign w:val="bottom"/>
            <w:shd w:val="clear" w:color="auto" w:fill="EDF0FC"/>
          </w:tcPr>
          <w:p>
            <w:pPr>
              <w:spacing w:after="0"/>
              <w:rPr>
                <w:sz w:val="21"/>
                <w:szCs w:val="21"/>
                <w:color w:val="auto"/>
              </w:rPr>
            </w:pPr>
          </w:p>
        </w:tc>
        <w:tc>
          <w:tcPr>
            <w:tcW w:w="140" w:type="dxa"/>
            <w:vAlign w:val="bottom"/>
            <w:tcBorders>
              <w:bottom w:val="single" w:sz="8" w:color="1A3FD6"/>
            </w:tcBorders>
            <w:shd w:val="clear" w:color="auto" w:fill="EDF0FC"/>
          </w:tcPr>
          <w:p>
            <w:pPr>
              <w:spacing w:after="0"/>
              <w:rPr>
                <w:sz w:val="21"/>
                <w:szCs w:val="21"/>
                <w:color w:val="auto"/>
              </w:rPr>
            </w:pPr>
          </w:p>
        </w:tc>
        <w:tc>
          <w:tcPr>
            <w:tcW w:w="1140" w:type="dxa"/>
            <w:vAlign w:val="bottom"/>
            <w:tcBorders>
              <w:bottom w:val="single" w:sz="8" w:color="1A3FD6"/>
            </w:tcBorders>
            <w:shd w:val="clear" w:color="auto" w:fill="EDF0FC"/>
          </w:tcPr>
          <w:p>
            <w:pPr>
              <w:jc w:val="right"/>
              <w:spacing w:after="0"/>
              <w:rPr>
                <w:sz w:val="20"/>
                <w:szCs w:val="20"/>
                <w:color w:val="auto"/>
              </w:rPr>
            </w:pPr>
            <w:r>
              <w:rPr>
                <w:rFonts w:ascii="Arial" w:cs="Arial" w:eastAsia="Arial" w:hAnsi="Arial"/>
                <w:sz w:val="16"/>
                <w:szCs w:val="16"/>
                <w:color w:val="auto"/>
              </w:rPr>
              <w:t>2,427</w:t>
            </w:r>
          </w:p>
        </w:tc>
        <w:tc>
          <w:tcPr>
            <w:tcW w:w="100" w:type="dxa"/>
            <w:vAlign w:val="bottom"/>
            <w:shd w:val="clear" w:color="auto" w:fill="EDF0FC"/>
          </w:tcPr>
          <w:p>
            <w:pPr>
              <w:spacing w:after="0"/>
              <w:rPr>
                <w:sz w:val="21"/>
                <w:szCs w:val="21"/>
                <w:color w:val="auto"/>
              </w:rPr>
            </w:pPr>
          </w:p>
        </w:tc>
        <w:tc>
          <w:tcPr>
            <w:tcW w:w="160" w:type="dxa"/>
            <w:vAlign w:val="bottom"/>
            <w:tcBorders>
              <w:bottom w:val="single" w:sz="8" w:color="1A3FD6"/>
            </w:tcBorders>
            <w:shd w:val="clear" w:color="auto" w:fill="EDF0FC"/>
          </w:tcPr>
          <w:p>
            <w:pPr>
              <w:spacing w:after="0"/>
              <w:rPr>
                <w:sz w:val="21"/>
                <w:szCs w:val="21"/>
                <w:color w:val="auto"/>
              </w:rPr>
            </w:pPr>
          </w:p>
        </w:tc>
        <w:tc>
          <w:tcPr>
            <w:tcW w:w="1140" w:type="dxa"/>
            <w:vAlign w:val="bottom"/>
            <w:tcBorders>
              <w:bottom w:val="single" w:sz="8" w:color="1A3FD6"/>
            </w:tcBorders>
            <w:shd w:val="clear" w:color="auto" w:fill="EDF0FC"/>
          </w:tcPr>
          <w:p>
            <w:pPr>
              <w:jc w:val="right"/>
              <w:spacing w:after="0"/>
              <w:rPr>
                <w:sz w:val="20"/>
                <w:szCs w:val="20"/>
                <w:color w:val="auto"/>
              </w:rPr>
            </w:pPr>
            <w:r>
              <w:rPr>
                <w:rFonts w:ascii="Arial" w:cs="Arial" w:eastAsia="Arial" w:hAnsi="Arial"/>
                <w:sz w:val="16"/>
                <w:szCs w:val="16"/>
                <w:color w:val="auto"/>
              </w:rPr>
              <w:t>4,059</w:t>
            </w:r>
          </w:p>
        </w:tc>
      </w:tr>
      <w:tr>
        <w:trPr>
          <w:trHeight w:val="233"/>
        </w:trPr>
        <w:tc>
          <w:tcPr>
            <w:tcW w:w="7160" w:type="dxa"/>
            <w:vAlign w:val="bottom"/>
            <w:tcBorders>
              <w:bottom w:val="single" w:sz="8" w:color="EDF0FC"/>
            </w:tcBorders>
          </w:tcPr>
          <w:p>
            <w:pPr>
              <w:ind w:left="20"/>
              <w:spacing w:after="0"/>
              <w:rPr>
                <w:sz w:val="20"/>
                <w:szCs w:val="20"/>
                <w:color w:val="auto"/>
              </w:rPr>
            </w:pPr>
            <w:r>
              <w:rPr>
                <w:rFonts w:ascii="Arial" w:cs="Arial" w:eastAsia="Arial" w:hAnsi="Arial"/>
                <w:sz w:val="16"/>
                <w:szCs w:val="16"/>
                <w:b w:val="1"/>
                <w:bCs w:val="1"/>
                <w:color w:val="auto"/>
              </w:rPr>
              <w:t>Consolidated Adjusted EBITDA</w:t>
            </w:r>
          </w:p>
        </w:tc>
        <w:tc>
          <w:tcPr>
            <w:tcW w:w="160" w:type="dxa"/>
            <w:vAlign w:val="bottom"/>
            <w:tcBorders>
              <w:bottom w:val="single" w:sz="8" w:color="1A3FD6"/>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1A3FD6"/>
            </w:tcBorders>
          </w:tcPr>
          <w:p>
            <w:pPr>
              <w:jc w:val="right"/>
              <w:spacing w:after="0"/>
              <w:rPr>
                <w:sz w:val="20"/>
                <w:szCs w:val="20"/>
                <w:color w:val="auto"/>
              </w:rPr>
            </w:pPr>
            <w:r>
              <w:rPr>
                <w:rFonts w:ascii="Arial" w:cs="Arial" w:eastAsia="Arial" w:hAnsi="Arial"/>
                <w:sz w:val="16"/>
                <w:szCs w:val="16"/>
                <w:b w:val="1"/>
                <w:bCs w:val="1"/>
                <w:color w:val="auto"/>
              </w:rPr>
              <w:t>1,716,484</w:t>
            </w:r>
          </w:p>
        </w:tc>
        <w:tc>
          <w:tcPr>
            <w:tcW w:w="100" w:type="dxa"/>
            <w:vAlign w:val="bottom"/>
            <w:tcBorders>
              <w:bottom w:val="single" w:sz="8" w:color="EDF0FC"/>
            </w:tcBorders>
          </w:tcPr>
          <w:p>
            <w:pPr>
              <w:spacing w:after="0"/>
              <w:rPr>
                <w:sz w:val="20"/>
                <w:szCs w:val="20"/>
                <w:color w:val="auto"/>
              </w:rPr>
            </w:pPr>
          </w:p>
        </w:tc>
        <w:tc>
          <w:tcPr>
            <w:tcW w:w="140" w:type="dxa"/>
            <w:vAlign w:val="bottom"/>
            <w:tcBorders>
              <w:bottom w:val="single" w:sz="8" w:color="1A3FD6"/>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1A3FD6"/>
            </w:tcBorders>
          </w:tcPr>
          <w:p>
            <w:pPr>
              <w:jc w:val="right"/>
              <w:spacing w:after="0"/>
              <w:rPr>
                <w:sz w:val="20"/>
                <w:szCs w:val="20"/>
                <w:color w:val="auto"/>
              </w:rPr>
            </w:pPr>
            <w:r>
              <w:rPr>
                <w:rFonts w:ascii="Arial" w:cs="Arial" w:eastAsia="Arial" w:hAnsi="Arial"/>
                <w:sz w:val="16"/>
                <w:szCs w:val="16"/>
                <w:b w:val="1"/>
                <w:bCs w:val="1"/>
                <w:color w:val="auto"/>
              </w:rPr>
              <w:t>1,522,951</w:t>
            </w:r>
          </w:p>
        </w:tc>
        <w:tc>
          <w:tcPr>
            <w:tcW w:w="100" w:type="dxa"/>
            <w:vAlign w:val="bottom"/>
            <w:tcBorders>
              <w:bottom w:val="single" w:sz="8" w:color="EDF0FC"/>
            </w:tcBorders>
          </w:tcPr>
          <w:p>
            <w:pPr>
              <w:spacing w:after="0"/>
              <w:rPr>
                <w:sz w:val="20"/>
                <w:szCs w:val="20"/>
                <w:color w:val="auto"/>
              </w:rPr>
            </w:pPr>
          </w:p>
        </w:tc>
        <w:tc>
          <w:tcPr>
            <w:tcW w:w="160" w:type="dxa"/>
            <w:vAlign w:val="bottom"/>
            <w:tcBorders>
              <w:bottom w:val="single" w:sz="8" w:color="1A3FD6"/>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1A3FD6"/>
            </w:tcBorders>
          </w:tcPr>
          <w:p>
            <w:pPr>
              <w:jc w:val="right"/>
              <w:spacing w:after="0"/>
              <w:rPr>
                <w:sz w:val="20"/>
                <w:szCs w:val="20"/>
                <w:color w:val="auto"/>
              </w:rPr>
            </w:pPr>
            <w:r>
              <w:rPr>
                <w:rFonts w:ascii="Arial" w:cs="Arial" w:eastAsia="Arial" w:hAnsi="Arial"/>
                <w:sz w:val="16"/>
                <w:szCs w:val="16"/>
                <w:b w:val="1"/>
                <w:bCs w:val="1"/>
                <w:color w:val="auto"/>
              </w:rPr>
              <w:t>1,329,671</w:t>
            </w:r>
          </w:p>
        </w:tc>
      </w:tr>
      <w:tr>
        <w:trPr>
          <w:trHeight w:val="132"/>
        </w:trPr>
        <w:tc>
          <w:tcPr>
            <w:tcW w:w="7160" w:type="dxa"/>
            <w:vAlign w:val="bottom"/>
            <w:shd w:val="clear" w:color="auto" w:fill="EDF0FC"/>
          </w:tcPr>
          <w:p>
            <w:pPr>
              <w:spacing w:after="0"/>
              <w:rPr>
                <w:sz w:val="11"/>
                <w:szCs w:val="11"/>
                <w:color w:val="auto"/>
              </w:rPr>
            </w:pPr>
          </w:p>
        </w:tc>
        <w:tc>
          <w:tcPr>
            <w:tcW w:w="160" w:type="dxa"/>
            <w:vAlign w:val="bottom"/>
            <w:shd w:val="clear" w:color="auto" w:fill="EDF0FC"/>
          </w:tcPr>
          <w:p>
            <w:pPr>
              <w:spacing w:after="0"/>
              <w:rPr>
                <w:sz w:val="11"/>
                <w:szCs w:val="11"/>
                <w:color w:val="auto"/>
              </w:rPr>
            </w:pPr>
          </w:p>
        </w:tc>
        <w:tc>
          <w:tcPr>
            <w:tcW w:w="1140" w:type="dxa"/>
            <w:vAlign w:val="bottom"/>
            <w:shd w:val="clear" w:color="auto" w:fill="EDF0FC"/>
          </w:tcPr>
          <w:p>
            <w:pPr>
              <w:spacing w:after="0"/>
              <w:rPr>
                <w:sz w:val="11"/>
                <w:szCs w:val="11"/>
                <w:color w:val="auto"/>
              </w:rPr>
            </w:pPr>
          </w:p>
        </w:tc>
        <w:tc>
          <w:tcPr>
            <w:tcW w:w="100" w:type="dxa"/>
            <w:vAlign w:val="bottom"/>
            <w:shd w:val="clear" w:color="auto" w:fill="EDF0FC"/>
          </w:tcPr>
          <w:p>
            <w:pPr>
              <w:spacing w:after="0"/>
              <w:rPr>
                <w:sz w:val="11"/>
                <w:szCs w:val="11"/>
                <w:color w:val="auto"/>
              </w:rPr>
            </w:pPr>
          </w:p>
        </w:tc>
        <w:tc>
          <w:tcPr>
            <w:tcW w:w="140" w:type="dxa"/>
            <w:vAlign w:val="bottom"/>
            <w:shd w:val="clear" w:color="auto" w:fill="EDF0FC"/>
          </w:tcPr>
          <w:p>
            <w:pPr>
              <w:spacing w:after="0"/>
              <w:rPr>
                <w:sz w:val="11"/>
                <w:szCs w:val="11"/>
                <w:color w:val="auto"/>
              </w:rPr>
            </w:pPr>
          </w:p>
        </w:tc>
        <w:tc>
          <w:tcPr>
            <w:tcW w:w="1140" w:type="dxa"/>
            <w:vAlign w:val="bottom"/>
            <w:shd w:val="clear" w:color="auto" w:fill="EDF0FC"/>
          </w:tcPr>
          <w:p>
            <w:pPr>
              <w:spacing w:after="0"/>
              <w:rPr>
                <w:sz w:val="11"/>
                <w:szCs w:val="11"/>
                <w:color w:val="auto"/>
              </w:rPr>
            </w:pPr>
          </w:p>
        </w:tc>
        <w:tc>
          <w:tcPr>
            <w:tcW w:w="100" w:type="dxa"/>
            <w:vAlign w:val="bottom"/>
            <w:shd w:val="clear" w:color="auto" w:fill="EDF0FC"/>
          </w:tcPr>
          <w:p>
            <w:pPr>
              <w:spacing w:after="0"/>
              <w:rPr>
                <w:sz w:val="11"/>
                <w:szCs w:val="11"/>
                <w:color w:val="auto"/>
              </w:rPr>
            </w:pPr>
          </w:p>
        </w:tc>
        <w:tc>
          <w:tcPr>
            <w:tcW w:w="160" w:type="dxa"/>
            <w:vAlign w:val="bottom"/>
            <w:shd w:val="clear" w:color="auto" w:fill="EDF0FC"/>
          </w:tcPr>
          <w:p>
            <w:pPr>
              <w:spacing w:after="0"/>
              <w:rPr>
                <w:sz w:val="11"/>
                <w:szCs w:val="11"/>
                <w:color w:val="auto"/>
              </w:rPr>
            </w:pPr>
          </w:p>
        </w:tc>
        <w:tc>
          <w:tcPr>
            <w:tcW w:w="1140" w:type="dxa"/>
            <w:vAlign w:val="bottom"/>
            <w:shd w:val="clear" w:color="auto" w:fill="EDF0FC"/>
          </w:tcPr>
          <w:p>
            <w:pPr>
              <w:spacing w:after="0"/>
              <w:rPr>
                <w:sz w:val="11"/>
                <w:szCs w:val="11"/>
                <w:color w:val="auto"/>
              </w:rPr>
            </w:pPr>
          </w:p>
        </w:tc>
      </w:tr>
      <w:tr>
        <w:trPr>
          <w:trHeight w:val="235"/>
        </w:trPr>
        <w:tc>
          <w:tcPr>
            <w:tcW w:w="7160" w:type="dxa"/>
            <w:vAlign w:val="bottom"/>
          </w:tcPr>
          <w:p>
            <w:pPr>
              <w:ind w:left="20"/>
              <w:spacing w:after="0"/>
              <w:rPr>
                <w:sz w:val="20"/>
                <w:szCs w:val="20"/>
                <w:color w:val="auto"/>
              </w:rPr>
            </w:pPr>
            <w:r>
              <w:rPr>
                <w:rFonts w:ascii="Arial" w:cs="Arial" w:eastAsia="Arial" w:hAnsi="Arial"/>
                <w:sz w:val="16"/>
                <w:szCs w:val="16"/>
                <w:color w:val="auto"/>
              </w:rPr>
              <w:t>Index Adjusted EBITDA</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1,222,054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1,106,973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985,407</w:t>
            </w:r>
          </w:p>
        </w:tc>
      </w:tr>
      <w:tr>
        <w:trPr>
          <w:trHeight w:val="251"/>
        </w:trPr>
        <w:tc>
          <w:tcPr>
            <w:tcW w:w="7160" w:type="dxa"/>
            <w:vAlign w:val="bottom"/>
            <w:shd w:val="clear" w:color="auto" w:fill="EDF0FC"/>
          </w:tcPr>
          <w:p>
            <w:pPr>
              <w:ind w:left="20"/>
              <w:spacing w:after="0"/>
              <w:rPr>
                <w:sz w:val="20"/>
                <w:szCs w:val="20"/>
                <w:color w:val="auto"/>
              </w:rPr>
            </w:pPr>
            <w:r>
              <w:rPr>
                <w:rFonts w:ascii="Arial" w:cs="Arial" w:eastAsia="Arial" w:hAnsi="Arial"/>
                <w:sz w:val="16"/>
                <w:szCs w:val="16"/>
                <w:color w:val="auto"/>
              </w:rPr>
              <w:t>Analytics Adjusted EBITDA</w:t>
            </w:r>
          </w:p>
        </w:tc>
        <w:tc>
          <w:tcPr>
            <w:tcW w:w="160" w:type="dxa"/>
            <w:vAlign w:val="bottom"/>
            <w:shd w:val="clear" w:color="auto" w:fill="EDF0FC"/>
          </w:tcPr>
          <w:p>
            <w:pPr>
              <w:spacing w:after="0"/>
              <w:rPr>
                <w:sz w:val="21"/>
                <w:szCs w:val="21"/>
                <w:color w:val="auto"/>
              </w:rPr>
            </w:pPr>
          </w:p>
        </w:tc>
        <w:tc>
          <w:tcPr>
            <w:tcW w:w="11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328,295</w:t>
            </w:r>
          </w:p>
        </w:tc>
        <w:tc>
          <w:tcPr>
            <w:tcW w:w="100" w:type="dxa"/>
            <w:vAlign w:val="bottom"/>
            <w:shd w:val="clear" w:color="auto" w:fill="EDF0FC"/>
          </w:tcPr>
          <w:p>
            <w:pPr>
              <w:spacing w:after="0"/>
              <w:rPr>
                <w:sz w:val="21"/>
                <w:szCs w:val="21"/>
                <w:color w:val="auto"/>
              </w:rPr>
            </w:pPr>
          </w:p>
        </w:tc>
        <w:tc>
          <w:tcPr>
            <w:tcW w:w="140" w:type="dxa"/>
            <w:vAlign w:val="bottom"/>
            <w:shd w:val="clear" w:color="auto" w:fill="EDF0FC"/>
          </w:tcPr>
          <w:p>
            <w:pPr>
              <w:spacing w:after="0"/>
              <w:rPr>
                <w:sz w:val="21"/>
                <w:szCs w:val="21"/>
                <w:color w:val="auto"/>
              </w:rPr>
            </w:pPr>
          </w:p>
        </w:tc>
        <w:tc>
          <w:tcPr>
            <w:tcW w:w="11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274,875</w:t>
            </w:r>
          </w:p>
        </w:tc>
        <w:tc>
          <w:tcPr>
            <w:tcW w:w="100" w:type="dxa"/>
            <w:vAlign w:val="bottom"/>
            <w:shd w:val="clear" w:color="auto" w:fill="EDF0FC"/>
          </w:tcPr>
          <w:p>
            <w:pPr>
              <w:spacing w:after="0"/>
              <w:rPr>
                <w:sz w:val="21"/>
                <w:szCs w:val="21"/>
                <w:color w:val="auto"/>
              </w:rPr>
            </w:pPr>
          </w:p>
        </w:tc>
        <w:tc>
          <w:tcPr>
            <w:tcW w:w="160" w:type="dxa"/>
            <w:vAlign w:val="bottom"/>
            <w:shd w:val="clear" w:color="auto" w:fill="EDF0FC"/>
          </w:tcPr>
          <w:p>
            <w:pPr>
              <w:spacing w:after="0"/>
              <w:rPr>
                <w:sz w:val="21"/>
                <w:szCs w:val="21"/>
                <w:color w:val="auto"/>
              </w:rPr>
            </w:pPr>
          </w:p>
        </w:tc>
        <w:tc>
          <w:tcPr>
            <w:tcW w:w="11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247,895</w:t>
            </w:r>
          </w:p>
        </w:tc>
      </w:tr>
      <w:tr>
        <w:trPr>
          <w:trHeight w:val="235"/>
        </w:trPr>
        <w:tc>
          <w:tcPr>
            <w:tcW w:w="7160" w:type="dxa"/>
            <w:vAlign w:val="bottom"/>
          </w:tcPr>
          <w:p>
            <w:pPr>
              <w:ind w:left="20"/>
              <w:spacing w:after="0"/>
              <w:rPr>
                <w:sz w:val="20"/>
                <w:szCs w:val="20"/>
                <w:color w:val="auto"/>
              </w:rPr>
            </w:pPr>
            <w:r>
              <w:rPr>
                <w:rFonts w:ascii="Arial" w:cs="Arial" w:eastAsia="Arial" w:hAnsi="Arial"/>
                <w:sz w:val="16"/>
                <w:szCs w:val="16"/>
                <w:color w:val="auto"/>
              </w:rPr>
              <w:t>ESG and Climate Adjusted EBITDA</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104,708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91,678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61,094</w:t>
            </w:r>
          </w:p>
        </w:tc>
      </w:tr>
      <w:tr>
        <w:trPr>
          <w:trHeight w:val="251"/>
        </w:trPr>
        <w:tc>
          <w:tcPr>
            <w:tcW w:w="7160" w:type="dxa"/>
            <w:vAlign w:val="bottom"/>
            <w:shd w:val="clear" w:color="auto" w:fill="EDF0FC"/>
          </w:tcPr>
          <w:p>
            <w:pPr>
              <w:ind w:left="20"/>
              <w:spacing w:after="0"/>
              <w:rPr>
                <w:sz w:val="20"/>
                <w:szCs w:val="20"/>
                <w:color w:val="auto"/>
              </w:rPr>
            </w:pPr>
            <w:r>
              <w:rPr>
                <w:rFonts w:ascii="Arial" w:cs="Arial" w:eastAsia="Arial" w:hAnsi="Arial"/>
                <w:sz w:val="16"/>
                <w:szCs w:val="16"/>
                <w:color w:val="auto"/>
              </w:rPr>
              <w:t>All Other – Private Assets Adjusted EBITDA</w:t>
            </w:r>
          </w:p>
        </w:tc>
        <w:tc>
          <w:tcPr>
            <w:tcW w:w="160" w:type="dxa"/>
            <w:vAlign w:val="bottom"/>
            <w:tcBorders>
              <w:bottom w:val="single" w:sz="8" w:color="1A3FD6"/>
            </w:tcBorders>
            <w:shd w:val="clear" w:color="auto" w:fill="EDF0FC"/>
          </w:tcPr>
          <w:p>
            <w:pPr>
              <w:spacing w:after="0"/>
              <w:rPr>
                <w:sz w:val="21"/>
                <w:szCs w:val="21"/>
                <w:color w:val="auto"/>
              </w:rPr>
            </w:pPr>
          </w:p>
        </w:tc>
        <w:tc>
          <w:tcPr>
            <w:tcW w:w="1140" w:type="dxa"/>
            <w:vAlign w:val="bottom"/>
            <w:tcBorders>
              <w:bottom w:val="single" w:sz="8" w:color="1A3FD6"/>
            </w:tcBorders>
            <w:shd w:val="clear" w:color="auto" w:fill="EDF0FC"/>
          </w:tcPr>
          <w:p>
            <w:pPr>
              <w:jc w:val="right"/>
              <w:spacing w:after="0"/>
              <w:rPr>
                <w:sz w:val="20"/>
                <w:szCs w:val="20"/>
                <w:color w:val="auto"/>
              </w:rPr>
            </w:pPr>
            <w:r>
              <w:rPr>
                <w:rFonts w:ascii="Arial" w:cs="Arial" w:eastAsia="Arial" w:hAnsi="Arial"/>
                <w:sz w:val="16"/>
                <w:szCs w:val="16"/>
                <w:color w:val="auto"/>
              </w:rPr>
              <w:t>61,427</w:t>
            </w:r>
          </w:p>
        </w:tc>
        <w:tc>
          <w:tcPr>
            <w:tcW w:w="100" w:type="dxa"/>
            <w:vAlign w:val="bottom"/>
            <w:shd w:val="clear" w:color="auto" w:fill="EDF0FC"/>
          </w:tcPr>
          <w:p>
            <w:pPr>
              <w:spacing w:after="0"/>
              <w:rPr>
                <w:sz w:val="21"/>
                <w:szCs w:val="21"/>
                <w:color w:val="auto"/>
              </w:rPr>
            </w:pPr>
          </w:p>
        </w:tc>
        <w:tc>
          <w:tcPr>
            <w:tcW w:w="140" w:type="dxa"/>
            <w:vAlign w:val="bottom"/>
            <w:tcBorders>
              <w:bottom w:val="single" w:sz="8" w:color="1A3FD6"/>
            </w:tcBorders>
            <w:shd w:val="clear" w:color="auto" w:fill="EDF0FC"/>
          </w:tcPr>
          <w:p>
            <w:pPr>
              <w:spacing w:after="0"/>
              <w:rPr>
                <w:sz w:val="21"/>
                <w:szCs w:val="21"/>
                <w:color w:val="auto"/>
              </w:rPr>
            </w:pPr>
          </w:p>
        </w:tc>
        <w:tc>
          <w:tcPr>
            <w:tcW w:w="1140" w:type="dxa"/>
            <w:vAlign w:val="bottom"/>
            <w:tcBorders>
              <w:bottom w:val="single" w:sz="8" w:color="1A3FD6"/>
            </w:tcBorders>
            <w:shd w:val="clear" w:color="auto" w:fill="EDF0FC"/>
          </w:tcPr>
          <w:p>
            <w:pPr>
              <w:jc w:val="right"/>
              <w:spacing w:after="0"/>
              <w:rPr>
                <w:sz w:val="20"/>
                <w:szCs w:val="20"/>
                <w:color w:val="auto"/>
              </w:rPr>
            </w:pPr>
            <w:r>
              <w:rPr>
                <w:rFonts w:ascii="Arial" w:cs="Arial" w:eastAsia="Arial" w:hAnsi="Arial"/>
                <w:sz w:val="16"/>
                <w:szCs w:val="16"/>
                <w:color w:val="auto"/>
              </w:rPr>
              <w:t>49,425</w:t>
            </w:r>
          </w:p>
        </w:tc>
        <w:tc>
          <w:tcPr>
            <w:tcW w:w="100" w:type="dxa"/>
            <w:vAlign w:val="bottom"/>
            <w:shd w:val="clear" w:color="auto" w:fill="EDF0FC"/>
          </w:tcPr>
          <w:p>
            <w:pPr>
              <w:spacing w:after="0"/>
              <w:rPr>
                <w:sz w:val="21"/>
                <w:szCs w:val="21"/>
                <w:color w:val="auto"/>
              </w:rPr>
            </w:pPr>
          </w:p>
        </w:tc>
        <w:tc>
          <w:tcPr>
            <w:tcW w:w="160" w:type="dxa"/>
            <w:vAlign w:val="bottom"/>
            <w:tcBorders>
              <w:bottom w:val="single" w:sz="8" w:color="1A3FD6"/>
            </w:tcBorders>
            <w:shd w:val="clear" w:color="auto" w:fill="EDF0FC"/>
          </w:tcPr>
          <w:p>
            <w:pPr>
              <w:spacing w:after="0"/>
              <w:rPr>
                <w:sz w:val="21"/>
                <w:szCs w:val="21"/>
                <w:color w:val="auto"/>
              </w:rPr>
            </w:pPr>
          </w:p>
        </w:tc>
        <w:tc>
          <w:tcPr>
            <w:tcW w:w="1140" w:type="dxa"/>
            <w:vAlign w:val="bottom"/>
            <w:tcBorders>
              <w:bottom w:val="single" w:sz="8" w:color="1A3FD6"/>
            </w:tcBorders>
            <w:shd w:val="clear" w:color="auto" w:fill="EDF0FC"/>
          </w:tcPr>
          <w:p>
            <w:pPr>
              <w:jc w:val="right"/>
              <w:spacing w:after="0"/>
              <w:rPr>
                <w:sz w:val="20"/>
                <w:szCs w:val="20"/>
                <w:color w:val="auto"/>
              </w:rPr>
            </w:pPr>
            <w:r>
              <w:rPr>
                <w:rFonts w:ascii="Arial" w:cs="Arial" w:eastAsia="Arial" w:hAnsi="Arial"/>
                <w:sz w:val="16"/>
                <w:szCs w:val="16"/>
                <w:color w:val="auto"/>
              </w:rPr>
              <w:t>35,275</w:t>
            </w:r>
          </w:p>
        </w:tc>
      </w:tr>
      <w:tr>
        <w:trPr>
          <w:trHeight w:val="233"/>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Consolidated Adjusted EBITDA</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1,716,484</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1,522,951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1,329,671</w:t>
            </w:r>
          </w:p>
        </w:tc>
      </w:tr>
    </w:tbl>
    <w:p>
      <w:pPr>
        <w:spacing w:after="0" w:line="180" w:lineRule="exact"/>
        <w:rPr>
          <w:sz w:val="20"/>
          <w:szCs w:val="20"/>
          <w:color w:val="auto"/>
        </w:rPr>
      </w:pPr>
    </w:p>
    <w:p>
      <w:pPr>
        <w:ind w:left="200" w:right="80" w:hanging="192"/>
        <w:spacing w:after="0" w:line="239" w:lineRule="auto"/>
        <w:tabs>
          <w:tab w:leader="none" w:pos="187" w:val="left"/>
        </w:tabs>
        <w:numPr>
          <w:ilvl w:val="0"/>
          <w:numId w:val="143"/>
        </w:numPr>
        <w:rPr>
          <w:rFonts w:ascii="Arial" w:cs="Arial" w:eastAsia="Arial" w:hAnsi="Arial"/>
          <w:sz w:val="19"/>
          <w:szCs w:val="19"/>
          <w:color w:val="auto"/>
          <w:vertAlign w:val="superscript"/>
        </w:rPr>
      </w:pPr>
      <w:r>
        <w:rPr>
          <w:rFonts w:ascii="Arial" w:cs="Arial" w:eastAsia="Arial" w:hAnsi="Arial"/>
          <w:sz w:val="14"/>
          <w:szCs w:val="14"/>
          <w:color w:val="auto"/>
        </w:rPr>
        <w:t>Represents transaction expenses and other costs directly related to the acquisition and integration of acquired businesses, including professional fees, severance expenses, regulatory filing fees and other costs, in each case that are incurred no later than 12 months after the close of the relevant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27" w:name="page128"/>
    <w:bookmarkEnd w:id="127"/>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126</w:t>
      </w:r>
      <w:r>
        <w:rPr>
          <w:sz w:val="20"/>
          <w:szCs w:val="20"/>
          <w:color w:val="auto"/>
        </w:rPr>
        <w:tab/>
      </w:r>
      <w:r>
        <w:rPr>
          <w:rFonts w:ascii="Arial" w:cs="Arial" w:eastAsia="Arial" w:hAnsi="Arial"/>
          <w:sz w:val="14"/>
          <w:szCs w:val="14"/>
          <w:b w:val="1"/>
          <w:bCs w:val="1"/>
          <w:color w:val="1A3FD6"/>
        </w:rPr>
        <w:t>2025 PROXY STATEMENT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20"/>
          <w:szCs w:val="20"/>
          <w:color w:val="1A3FD6"/>
        </w:rPr>
        <w:t>Reconciliation of Net Income and Diluted EPS to Adjusted Net Income and Adjusted EPS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0" w:type="dxa"/>
            <w:vAlign w:val="bottom"/>
          </w:tcPr>
          <w:p>
            <w:pPr>
              <w:spacing w:after="0"/>
              <w:rPr>
                <w:sz w:val="17"/>
                <w:szCs w:val="17"/>
                <w:color w:val="auto"/>
              </w:rPr>
            </w:pPr>
          </w:p>
        </w:tc>
        <w:tc>
          <w:tcPr>
            <w:tcW w:w="160" w:type="dxa"/>
            <w:vAlign w:val="bottom"/>
            <w:tcBorders>
              <w:bottom w:val="single" w:sz="8" w:color="1A3FD6"/>
            </w:tcBorders>
          </w:tcPr>
          <w:p>
            <w:pPr>
              <w:spacing w:after="0"/>
              <w:rPr>
                <w:sz w:val="17"/>
                <w:szCs w:val="17"/>
                <w:color w:val="auto"/>
              </w:rPr>
            </w:pPr>
          </w:p>
        </w:tc>
        <w:tc>
          <w:tcPr>
            <w:tcW w:w="1120" w:type="dxa"/>
            <w:vAlign w:val="bottom"/>
            <w:tcBorders>
              <w:bottom w:val="single" w:sz="8" w:color="1A3FD6"/>
            </w:tcBorders>
          </w:tcPr>
          <w:p>
            <w:pPr>
              <w:spacing w:after="0"/>
              <w:rPr>
                <w:sz w:val="17"/>
                <w:szCs w:val="17"/>
                <w:color w:val="auto"/>
              </w:rPr>
            </w:pPr>
          </w:p>
        </w:tc>
        <w:tc>
          <w:tcPr>
            <w:tcW w:w="100" w:type="dxa"/>
            <w:vAlign w:val="bottom"/>
            <w:tcBorders>
              <w:bottom w:val="single" w:sz="8" w:color="1A3FD6"/>
            </w:tcBorders>
          </w:tcPr>
          <w:p>
            <w:pPr>
              <w:spacing w:after="0"/>
              <w:rPr>
                <w:sz w:val="17"/>
                <w:szCs w:val="17"/>
                <w:color w:val="auto"/>
              </w:rPr>
            </w:pPr>
          </w:p>
        </w:tc>
        <w:tc>
          <w:tcPr>
            <w:tcW w:w="140" w:type="dxa"/>
            <w:vAlign w:val="bottom"/>
            <w:tcBorders>
              <w:bottom w:val="single" w:sz="8" w:color="1A3FD6"/>
            </w:tcBorders>
          </w:tcPr>
          <w:p>
            <w:pPr>
              <w:spacing w:after="0"/>
              <w:rPr>
                <w:sz w:val="17"/>
                <w:szCs w:val="17"/>
                <w:color w:val="auto"/>
              </w:rPr>
            </w:pPr>
          </w:p>
        </w:tc>
        <w:tc>
          <w:tcPr>
            <w:tcW w:w="1240" w:type="dxa"/>
            <w:vAlign w:val="bottom"/>
            <w:tcBorders>
              <w:bottom w:val="single" w:sz="8" w:color="1A3FD6"/>
            </w:tcBorders>
            <w:gridSpan w:val="2"/>
          </w:tcPr>
          <w:p>
            <w:pPr>
              <w:ind w:left="80"/>
              <w:spacing w:after="0"/>
              <w:rPr>
                <w:sz w:val="20"/>
                <w:szCs w:val="20"/>
                <w:color w:val="auto"/>
              </w:rPr>
            </w:pPr>
            <w:r>
              <w:rPr>
                <w:rFonts w:ascii="Arial" w:cs="Arial" w:eastAsia="Arial" w:hAnsi="Arial"/>
                <w:sz w:val="14"/>
                <w:szCs w:val="14"/>
                <w:b w:val="1"/>
                <w:bCs w:val="1"/>
                <w:color w:val="auto"/>
              </w:rPr>
              <w:t>Years Ended</w:t>
            </w:r>
          </w:p>
        </w:tc>
        <w:tc>
          <w:tcPr>
            <w:tcW w:w="140" w:type="dxa"/>
            <w:vAlign w:val="bottom"/>
            <w:tcBorders>
              <w:bottom w:val="single" w:sz="8" w:color="1A3FD6"/>
            </w:tcBorders>
          </w:tcPr>
          <w:p>
            <w:pPr>
              <w:spacing w:after="0"/>
              <w:rPr>
                <w:sz w:val="17"/>
                <w:szCs w:val="17"/>
                <w:color w:val="auto"/>
              </w:rPr>
            </w:pPr>
          </w:p>
        </w:tc>
        <w:tc>
          <w:tcPr>
            <w:tcW w:w="1140" w:type="dxa"/>
            <w:vAlign w:val="bottom"/>
            <w:tcBorders>
              <w:bottom w:val="single" w:sz="8" w:color="1A3FD6"/>
            </w:tcBorders>
          </w:tcPr>
          <w:p>
            <w:pPr>
              <w:spacing w:after="0"/>
              <w:rPr>
                <w:sz w:val="17"/>
                <w:szCs w:val="17"/>
                <w:color w:val="auto"/>
              </w:rPr>
            </w:pPr>
          </w:p>
        </w:tc>
      </w:tr>
      <w:tr>
        <w:trPr>
          <w:trHeight w:val="223"/>
        </w:trPr>
        <w:tc>
          <w:tcPr>
            <w:tcW w:w="720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Borders>
              <w:bottom w:val="single" w:sz="8" w:color="1A3FD6"/>
            </w:tcBorders>
          </w:tcPr>
          <w:p>
            <w:pPr>
              <w:spacing w:after="0"/>
              <w:rPr>
                <w:sz w:val="19"/>
                <w:szCs w:val="19"/>
                <w:color w:val="auto"/>
              </w:rPr>
            </w:pPr>
          </w:p>
        </w:tc>
        <w:tc>
          <w:tcPr>
            <w:tcW w:w="1220" w:type="dxa"/>
            <w:vAlign w:val="bottom"/>
            <w:tcBorders>
              <w:bottom w:val="single" w:sz="8" w:color="1A3FD6"/>
            </w:tcBorders>
            <w:gridSpan w:val="2"/>
          </w:tcPr>
          <w:p>
            <w:pPr>
              <w:ind w:left="40"/>
              <w:spacing w:after="0"/>
              <w:rPr>
                <w:sz w:val="20"/>
                <w:szCs w:val="20"/>
                <w:color w:val="auto"/>
              </w:rPr>
            </w:pPr>
            <w:r>
              <w:rPr>
                <w:rFonts w:ascii="Arial" w:cs="Arial" w:eastAsia="Arial" w:hAnsi="Arial"/>
                <w:sz w:val="14"/>
                <w:szCs w:val="14"/>
                <w:b w:val="1"/>
                <w:bCs w:val="1"/>
                <w:color w:val="auto"/>
              </w:rPr>
              <w:t>Dec. 31, 2024</w:t>
            </w:r>
          </w:p>
        </w:tc>
        <w:tc>
          <w:tcPr>
            <w:tcW w:w="140" w:type="dxa"/>
            <w:vAlign w:val="bottom"/>
            <w:tcBorders>
              <w:bottom w:val="single" w:sz="8" w:color="1A3FD6"/>
            </w:tcBorders>
          </w:tcPr>
          <w:p>
            <w:pPr>
              <w:spacing w:after="0"/>
              <w:rPr>
                <w:sz w:val="19"/>
                <w:szCs w:val="19"/>
                <w:color w:val="auto"/>
              </w:rPr>
            </w:pPr>
          </w:p>
        </w:tc>
        <w:tc>
          <w:tcPr>
            <w:tcW w:w="1240" w:type="dxa"/>
            <w:vAlign w:val="bottom"/>
            <w:tcBorders>
              <w:bottom w:val="single" w:sz="8" w:color="1A3FD6"/>
            </w:tcBorders>
            <w:gridSpan w:val="2"/>
          </w:tcPr>
          <w:p>
            <w:pPr>
              <w:ind w:left="60"/>
              <w:spacing w:after="0"/>
              <w:rPr>
                <w:sz w:val="20"/>
                <w:szCs w:val="20"/>
                <w:color w:val="auto"/>
              </w:rPr>
            </w:pPr>
            <w:r>
              <w:rPr>
                <w:rFonts w:ascii="Arial" w:cs="Arial" w:eastAsia="Arial" w:hAnsi="Arial"/>
                <w:sz w:val="14"/>
                <w:szCs w:val="14"/>
                <w:b w:val="1"/>
                <w:bCs w:val="1"/>
                <w:color w:val="auto"/>
              </w:rPr>
              <w:t>Dec. 31, 2023</w:t>
            </w:r>
          </w:p>
        </w:tc>
        <w:tc>
          <w:tcPr>
            <w:tcW w:w="140" w:type="dxa"/>
            <w:vAlign w:val="bottom"/>
            <w:tcBorders>
              <w:bottom w:val="single" w:sz="8" w:color="1A3FD6"/>
            </w:tcBorders>
          </w:tcPr>
          <w:p>
            <w:pPr>
              <w:spacing w:after="0"/>
              <w:rPr>
                <w:sz w:val="19"/>
                <w:szCs w:val="19"/>
                <w:color w:val="auto"/>
              </w:rPr>
            </w:pPr>
          </w:p>
        </w:tc>
        <w:tc>
          <w:tcPr>
            <w:tcW w:w="1140" w:type="dxa"/>
            <w:vAlign w:val="bottom"/>
            <w:tcBorders>
              <w:bottom w:val="single" w:sz="8" w:color="1A3FD6"/>
            </w:tcBorders>
          </w:tcPr>
          <w:p>
            <w:pPr>
              <w:jc w:val="right"/>
              <w:ind w:right="100"/>
              <w:spacing w:after="0"/>
              <w:rPr>
                <w:sz w:val="20"/>
                <w:szCs w:val="20"/>
                <w:color w:val="auto"/>
              </w:rPr>
            </w:pPr>
            <w:r>
              <w:rPr>
                <w:rFonts w:ascii="Arial" w:cs="Arial" w:eastAsia="Arial" w:hAnsi="Arial"/>
                <w:sz w:val="14"/>
                <w:szCs w:val="14"/>
                <w:b w:val="1"/>
                <w:bCs w:val="1"/>
                <w:color w:val="auto"/>
              </w:rPr>
              <w:t>Dec. 31, 2022</w:t>
            </w:r>
          </w:p>
        </w:tc>
      </w:tr>
      <w:tr>
        <w:trPr>
          <w:trHeight w:val="239"/>
        </w:trPr>
        <w:tc>
          <w:tcPr>
            <w:tcW w:w="720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1,109,128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1,148,592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870,573</w:t>
            </w:r>
          </w:p>
        </w:tc>
      </w:tr>
      <w:tr>
        <w:trPr>
          <w:trHeight w:val="247"/>
        </w:trPr>
        <w:tc>
          <w:tcPr>
            <w:tcW w:w="7200" w:type="dxa"/>
            <w:vAlign w:val="bottom"/>
            <w:shd w:val="clear" w:color="auto" w:fill="EDF0FC"/>
          </w:tcPr>
          <w:p>
            <w:pPr>
              <w:ind w:left="20"/>
              <w:spacing w:after="0"/>
              <w:rPr>
                <w:sz w:val="20"/>
                <w:szCs w:val="20"/>
                <w:color w:val="auto"/>
              </w:rPr>
            </w:pPr>
            <w:r>
              <w:rPr>
                <w:rFonts w:ascii="Arial" w:cs="Arial" w:eastAsia="Arial" w:hAnsi="Arial"/>
                <w:sz w:val="16"/>
                <w:szCs w:val="16"/>
                <w:color w:val="auto"/>
              </w:rPr>
              <w:t>Plus: Amortization of acquired intangible assets and equity method investment basis difference</w:t>
            </w:r>
          </w:p>
        </w:tc>
        <w:tc>
          <w:tcPr>
            <w:tcW w:w="160" w:type="dxa"/>
            <w:vAlign w:val="bottom"/>
            <w:shd w:val="clear" w:color="auto" w:fill="EDF0FC"/>
          </w:tcPr>
          <w:p>
            <w:pPr>
              <w:spacing w:after="0"/>
              <w:rPr>
                <w:sz w:val="21"/>
                <w:szCs w:val="21"/>
                <w:color w:val="auto"/>
              </w:rPr>
            </w:pPr>
          </w:p>
        </w:tc>
        <w:tc>
          <w:tcPr>
            <w:tcW w:w="1120" w:type="dxa"/>
            <w:vAlign w:val="bottom"/>
            <w:shd w:val="clear" w:color="auto" w:fill="EDF0FC"/>
          </w:tcPr>
          <w:p>
            <w:pPr>
              <w:jc w:val="right"/>
              <w:spacing w:after="0"/>
              <w:rPr>
                <w:sz w:val="20"/>
                <w:szCs w:val="20"/>
                <w:color w:val="auto"/>
              </w:rPr>
            </w:pPr>
            <w:r>
              <w:rPr>
                <w:rFonts w:ascii="Arial" w:cs="Arial" w:eastAsia="Arial" w:hAnsi="Arial"/>
                <w:sz w:val="16"/>
                <w:szCs w:val="16"/>
                <w:color w:val="auto"/>
              </w:rPr>
              <w:t>103,041</w:t>
            </w:r>
          </w:p>
        </w:tc>
        <w:tc>
          <w:tcPr>
            <w:tcW w:w="100" w:type="dxa"/>
            <w:vAlign w:val="bottom"/>
            <w:shd w:val="clear" w:color="auto" w:fill="EDF0FC"/>
          </w:tcPr>
          <w:p>
            <w:pPr>
              <w:spacing w:after="0"/>
              <w:rPr>
                <w:sz w:val="21"/>
                <w:szCs w:val="21"/>
                <w:color w:val="auto"/>
              </w:rPr>
            </w:pPr>
          </w:p>
        </w:tc>
        <w:tc>
          <w:tcPr>
            <w:tcW w:w="140" w:type="dxa"/>
            <w:vAlign w:val="bottom"/>
            <w:shd w:val="clear" w:color="auto" w:fill="EDF0FC"/>
          </w:tcPr>
          <w:p>
            <w:pPr>
              <w:spacing w:after="0"/>
              <w:rPr>
                <w:sz w:val="21"/>
                <w:szCs w:val="21"/>
                <w:color w:val="auto"/>
              </w:rPr>
            </w:pPr>
          </w:p>
        </w:tc>
        <w:tc>
          <w:tcPr>
            <w:tcW w:w="11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75,229</w:t>
            </w:r>
          </w:p>
        </w:tc>
        <w:tc>
          <w:tcPr>
            <w:tcW w:w="100" w:type="dxa"/>
            <w:vAlign w:val="bottom"/>
            <w:shd w:val="clear" w:color="auto" w:fill="EDF0FC"/>
          </w:tcPr>
          <w:p>
            <w:pPr>
              <w:spacing w:after="0"/>
              <w:rPr>
                <w:sz w:val="21"/>
                <w:szCs w:val="21"/>
                <w:color w:val="auto"/>
              </w:rPr>
            </w:pPr>
          </w:p>
        </w:tc>
        <w:tc>
          <w:tcPr>
            <w:tcW w:w="140" w:type="dxa"/>
            <w:vAlign w:val="bottom"/>
            <w:shd w:val="clear" w:color="auto" w:fill="EDF0FC"/>
          </w:tcPr>
          <w:p>
            <w:pPr>
              <w:spacing w:after="0"/>
              <w:rPr>
                <w:sz w:val="21"/>
                <w:szCs w:val="21"/>
                <w:color w:val="auto"/>
              </w:rPr>
            </w:pPr>
          </w:p>
        </w:tc>
        <w:tc>
          <w:tcPr>
            <w:tcW w:w="11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67,373</w:t>
            </w:r>
          </w:p>
        </w:tc>
      </w:tr>
      <w:tr>
        <w:trPr>
          <w:trHeight w:val="235"/>
        </w:trPr>
        <w:tc>
          <w:tcPr>
            <w:tcW w:w="7200" w:type="dxa"/>
            <w:vAlign w:val="bottom"/>
          </w:tcPr>
          <w:p>
            <w:pPr>
              <w:ind w:left="20"/>
              <w:spacing w:after="0"/>
              <w:rPr>
                <w:sz w:val="20"/>
                <w:szCs w:val="20"/>
                <w:color w:val="auto"/>
              </w:rPr>
            </w:pPr>
            <w:r>
              <w:rPr>
                <w:rFonts w:ascii="Arial" w:cs="Arial" w:eastAsia="Arial" w:hAnsi="Arial"/>
                <w:sz w:val="16"/>
                <w:szCs w:val="16"/>
                <w:color w:val="auto"/>
              </w:rPr>
              <w:t>Plus: Impairment related to sublease of leased property</w:t>
            </w: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7200" w:type="dxa"/>
            <w:vAlign w:val="bottom"/>
            <w:shd w:val="clear" w:color="auto" w:fill="EDF0FC"/>
          </w:tcPr>
          <w:p>
            <w:pPr>
              <w:ind w:left="20"/>
              <w:spacing w:after="0"/>
              <w:rPr>
                <w:sz w:val="20"/>
                <w:szCs w:val="20"/>
                <w:color w:val="auto"/>
              </w:rPr>
            </w:pPr>
            <w:r>
              <w:rPr>
                <w:rFonts w:ascii="Arial" w:cs="Arial" w:eastAsia="Arial" w:hAnsi="Arial"/>
                <w:sz w:val="16"/>
                <w:szCs w:val="16"/>
                <w:color w:val="auto"/>
              </w:rPr>
              <w:t>Plus: Acquisition-related integration and transaction costs</w:t>
            </w:r>
            <w:r>
              <w:rPr>
                <w:rFonts w:ascii="Arial" w:cs="Arial" w:eastAsia="Arial" w:hAnsi="Arial"/>
                <w:sz w:val="21"/>
                <w:szCs w:val="21"/>
                <w:color w:val="auto"/>
                <w:vertAlign w:val="superscript"/>
              </w:rPr>
              <w:t>(1)(2)</w:t>
            </w:r>
          </w:p>
        </w:tc>
        <w:tc>
          <w:tcPr>
            <w:tcW w:w="160" w:type="dxa"/>
            <w:vAlign w:val="bottom"/>
            <w:shd w:val="clear" w:color="auto" w:fill="EDF0FC"/>
          </w:tcPr>
          <w:p>
            <w:pPr>
              <w:spacing w:after="0"/>
              <w:rPr>
                <w:sz w:val="21"/>
                <w:szCs w:val="21"/>
                <w:color w:val="auto"/>
              </w:rPr>
            </w:pPr>
          </w:p>
        </w:tc>
        <w:tc>
          <w:tcPr>
            <w:tcW w:w="1120" w:type="dxa"/>
            <w:vAlign w:val="bottom"/>
            <w:shd w:val="clear" w:color="auto" w:fill="EDF0FC"/>
          </w:tcPr>
          <w:p>
            <w:pPr>
              <w:jc w:val="right"/>
              <w:spacing w:after="0"/>
              <w:rPr>
                <w:sz w:val="20"/>
                <w:szCs w:val="20"/>
                <w:color w:val="auto"/>
              </w:rPr>
            </w:pPr>
            <w:r>
              <w:rPr>
                <w:rFonts w:ascii="Arial" w:cs="Arial" w:eastAsia="Arial" w:hAnsi="Arial"/>
                <w:sz w:val="16"/>
                <w:szCs w:val="16"/>
                <w:color w:val="auto"/>
              </w:rPr>
              <w:t>6,994</w:t>
            </w:r>
          </w:p>
        </w:tc>
        <w:tc>
          <w:tcPr>
            <w:tcW w:w="100" w:type="dxa"/>
            <w:vAlign w:val="bottom"/>
            <w:shd w:val="clear" w:color="auto" w:fill="EDF0FC"/>
          </w:tcPr>
          <w:p>
            <w:pPr>
              <w:spacing w:after="0"/>
              <w:rPr>
                <w:sz w:val="21"/>
                <w:szCs w:val="21"/>
                <w:color w:val="auto"/>
              </w:rPr>
            </w:pPr>
          </w:p>
        </w:tc>
        <w:tc>
          <w:tcPr>
            <w:tcW w:w="140" w:type="dxa"/>
            <w:vAlign w:val="bottom"/>
            <w:shd w:val="clear" w:color="auto" w:fill="EDF0FC"/>
          </w:tcPr>
          <w:p>
            <w:pPr>
              <w:spacing w:after="0"/>
              <w:rPr>
                <w:sz w:val="21"/>
                <w:szCs w:val="21"/>
                <w:color w:val="auto"/>
              </w:rPr>
            </w:pPr>
          </w:p>
        </w:tc>
        <w:tc>
          <w:tcPr>
            <w:tcW w:w="11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2,427</w:t>
            </w:r>
          </w:p>
        </w:tc>
        <w:tc>
          <w:tcPr>
            <w:tcW w:w="100" w:type="dxa"/>
            <w:vAlign w:val="bottom"/>
            <w:shd w:val="clear" w:color="auto" w:fill="EDF0FC"/>
          </w:tcPr>
          <w:p>
            <w:pPr>
              <w:spacing w:after="0"/>
              <w:rPr>
                <w:sz w:val="21"/>
                <w:szCs w:val="21"/>
                <w:color w:val="auto"/>
              </w:rPr>
            </w:pPr>
          </w:p>
        </w:tc>
        <w:tc>
          <w:tcPr>
            <w:tcW w:w="140" w:type="dxa"/>
            <w:vAlign w:val="bottom"/>
            <w:shd w:val="clear" w:color="auto" w:fill="EDF0FC"/>
          </w:tcPr>
          <w:p>
            <w:pPr>
              <w:spacing w:after="0"/>
              <w:rPr>
                <w:sz w:val="21"/>
                <w:szCs w:val="21"/>
                <w:color w:val="auto"/>
              </w:rPr>
            </w:pPr>
          </w:p>
        </w:tc>
        <w:tc>
          <w:tcPr>
            <w:tcW w:w="11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4,220</w:t>
            </w:r>
          </w:p>
        </w:tc>
      </w:tr>
      <w:tr>
        <w:trPr>
          <w:trHeight w:val="235"/>
        </w:trPr>
        <w:tc>
          <w:tcPr>
            <w:tcW w:w="7200" w:type="dxa"/>
            <w:vAlign w:val="bottom"/>
          </w:tcPr>
          <w:p>
            <w:pPr>
              <w:ind w:left="20"/>
              <w:spacing w:after="0"/>
              <w:rPr>
                <w:sz w:val="20"/>
                <w:szCs w:val="20"/>
                <w:color w:val="auto"/>
              </w:rPr>
            </w:pPr>
            <w:r>
              <w:rPr>
                <w:rFonts w:ascii="Arial" w:cs="Arial" w:eastAsia="Arial" w:hAnsi="Arial"/>
                <w:sz w:val="16"/>
                <w:szCs w:val="16"/>
                <w:color w:val="auto"/>
              </w:rPr>
              <w:t>Plus: Write-off of deferred fees on debt extinguishment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7200" w:type="dxa"/>
            <w:vAlign w:val="bottom"/>
            <w:shd w:val="clear" w:color="auto" w:fill="EDF0FC"/>
          </w:tcPr>
          <w:p>
            <w:pPr>
              <w:ind w:left="20"/>
              <w:spacing w:after="0"/>
              <w:rPr>
                <w:sz w:val="20"/>
                <w:szCs w:val="20"/>
                <w:color w:val="auto"/>
              </w:rPr>
            </w:pPr>
            <w:r>
              <w:rPr>
                <w:rFonts w:ascii="Arial" w:cs="Arial" w:eastAsia="Arial" w:hAnsi="Arial"/>
                <w:sz w:val="16"/>
                <w:szCs w:val="16"/>
                <w:color w:val="auto"/>
              </w:rPr>
              <w:t>Less: Gain from changes in ownership interest of equity method investee</w:t>
            </w:r>
          </w:p>
        </w:tc>
        <w:tc>
          <w:tcPr>
            <w:tcW w:w="160" w:type="dxa"/>
            <w:vAlign w:val="bottom"/>
            <w:shd w:val="clear" w:color="auto" w:fill="EDF0FC"/>
          </w:tcPr>
          <w:p>
            <w:pPr>
              <w:spacing w:after="0"/>
              <w:rPr>
                <w:sz w:val="21"/>
                <w:szCs w:val="21"/>
                <w:color w:val="auto"/>
              </w:rPr>
            </w:pPr>
          </w:p>
        </w:tc>
        <w:tc>
          <w:tcPr>
            <w:tcW w:w="1220" w:type="dxa"/>
            <w:vAlign w:val="bottom"/>
            <w:gridSpan w:val="2"/>
            <w:shd w:val="clear" w:color="auto" w:fill="EDF0FC"/>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EDF0FC"/>
          </w:tcPr>
          <w:p>
            <w:pPr>
              <w:spacing w:after="0"/>
              <w:rPr>
                <w:sz w:val="21"/>
                <w:szCs w:val="21"/>
                <w:color w:val="auto"/>
              </w:rPr>
            </w:pPr>
          </w:p>
        </w:tc>
        <w:tc>
          <w:tcPr>
            <w:tcW w:w="11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(143,476)</w:t>
            </w:r>
          </w:p>
        </w:tc>
        <w:tc>
          <w:tcPr>
            <w:tcW w:w="100" w:type="dxa"/>
            <w:vAlign w:val="bottom"/>
            <w:shd w:val="clear" w:color="auto" w:fill="EDF0FC"/>
          </w:tcPr>
          <w:p>
            <w:pPr>
              <w:spacing w:after="0"/>
              <w:rPr>
                <w:sz w:val="21"/>
                <w:szCs w:val="21"/>
                <w:color w:val="auto"/>
              </w:rPr>
            </w:pPr>
          </w:p>
        </w:tc>
        <w:tc>
          <w:tcPr>
            <w:tcW w:w="140" w:type="dxa"/>
            <w:vAlign w:val="bottom"/>
            <w:shd w:val="clear" w:color="auto" w:fill="EDF0FC"/>
          </w:tcPr>
          <w:p>
            <w:pPr>
              <w:spacing w:after="0"/>
              <w:rPr>
                <w:sz w:val="21"/>
                <w:szCs w:val="21"/>
                <w:color w:val="auto"/>
              </w:rPr>
            </w:pPr>
          </w:p>
        </w:tc>
        <w:tc>
          <w:tcPr>
            <w:tcW w:w="11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7200" w:type="dxa"/>
            <w:vAlign w:val="bottom"/>
            <w:tcBorders>
              <w:bottom w:val="single" w:sz="8" w:color="EDF0FC"/>
            </w:tcBorders>
          </w:tcPr>
          <w:p>
            <w:pPr>
              <w:ind w:left="20"/>
              <w:spacing w:after="0"/>
              <w:rPr>
                <w:sz w:val="20"/>
                <w:szCs w:val="20"/>
                <w:color w:val="auto"/>
              </w:rPr>
            </w:pPr>
            <w:r>
              <w:rPr>
                <w:rFonts w:ascii="Arial" w:cs="Arial" w:eastAsia="Arial" w:hAnsi="Arial"/>
                <w:sz w:val="16"/>
                <w:szCs w:val="16"/>
                <w:color w:val="auto"/>
              </w:rPr>
              <w:t>Less: Income tax effect</w:t>
            </w:r>
            <w:r>
              <w:rPr>
                <w:rFonts w:ascii="Arial" w:cs="Arial" w:eastAsia="Arial" w:hAnsi="Arial"/>
                <w:sz w:val="21"/>
                <w:szCs w:val="21"/>
                <w:color w:val="auto"/>
                <w:vertAlign w:val="superscript"/>
              </w:rPr>
              <w:t>(3)(4)</w:t>
            </w:r>
          </w:p>
        </w:tc>
        <w:tc>
          <w:tcPr>
            <w:tcW w:w="160" w:type="dxa"/>
            <w:vAlign w:val="bottom"/>
            <w:tcBorders>
              <w:bottom w:val="single" w:sz="8" w:color="1A3FD6"/>
            </w:tcBorders>
          </w:tcPr>
          <w:p>
            <w:pPr>
              <w:spacing w:after="0"/>
              <w:rPr>
                <w:sz w:val="21"/>
                <w:szCs w:val="21"/>
                <w:color w:val="auto"/>
              </w:rPr>
            </w:pPr>
          </w:p>
        </w:tc>
        <w:tc>
          <w:tcPr>
            <w:tcW w:w="1120" w:type="dxa"/>
            <w:vAlign w:val="bottom"/>
            <w:tcBorders>
              <w:bottom w:val="single" w:sz="8" w:color="1A3FD6"/>
            </w:tcBorders>
          </w:tcPr>
          <w:p>
            <w:pPr>
              <w:jc w:val="right"/>
              <w:spacing w:after="0"/>
              <w:rPr>
                <w:sz w:val="20"/>
                <w:szCs w:val="20"/>
                <w:color w:val="auto"/>
              </w:rPr>
            </w:pPr>
            <w:r>
              <w:rPr>
                <w:rFonts w:ascii="Arial" w:cs="Arial" w:eastAsia="Arial" w:hAnsi="Arial"/>
                <w:sz w:val="16"/>
                <w:szCs w:val="16"/>
                <w:color w:val="auto"/>
              </w:rPr>
              <w:t>(20,415)</w:t>
            </w:r>
          </w:p>
        </w:tc>
        <w:tc>
          <w:tcPr>
            <w:tcW w:w="100" w:type="dxa"/>
            <w:vAlign w:val="bottom"/>
            <w:tcBorders>
              <w:bottom w:val="single" w:sz="8" w:color="EDF0FC"/>
            </w:tcBorders>
          </w:tcPr>
          <w:p>
            <w:pPr>
              <w:spacing w:after="0"/>
              <w:rPr>
                <w:sz w:val="21"/>
                <w:szCs w:val="21"/>
                <w:color w:val="auto"/>
              </w:rPr>
            </w:pPr>
          </w:p>
        </w:tc>
        <w:tc>
          <w:tcPr>
            <w:tcW w:w="140" w:type="dxa"/>
            <w:vAlign w:val="bottom"/>
            <w:tcBorders>
              <w:bottom w:val="single" w:sz="8" w:color="1A3FD6"/>
            </w:tcBorders>
          </w:tcPr>
          <w:p>
            <w:pPr>
              <w:spacing w:after="0"/>
              <w:rPr>
                <w:sz w:val="21"/>
                <w:szCs w:val="21"/>
                <w:color w:val="auto"/>
              </w:rPr>
            </w:pPr>
          </w:p>
        </w:tc>
        <w:tc>
          <w:tcPr>
            <w:tcW w:w="1140" w:type="dxa"/>
            <w:vAlign w:val="bottom"/>
            <w:tcBorders>
              <w:bottom w:val="single" w:sz="8" w:color="1A3FD6"/>
            </w:tcBorders>
          </w:tcPr>
          <w:p>
            <w:pPr>
              <w:jc w:val="right"/>
              <w:spacing w:after="0"/>
              <w:rPr>
                <w:sz w:val="20"/>
                <w:szCs w:val="20"/>
                <w:color w:val="auto"/>
              </w:rPr>
            </w:pPr>
            <w:r>
              <w:rPr>
                <w:rFonts w:ascii="Arial" w:cs="Arial" w:eastAsia="Arial" w:hAnsi="Arial"/>
                <w:sz w:val="16"/>
                <w:szCs w:val="16"/>
                <w:color w:val="auto"/>
              </w:rPr>
              <w:t>(3,809)</w:t>
            </w:r>
          </w:p>
        </w:tc>
        <w:tc>
          <w:tcPr>
            <w:tcW w:w="100" w:type="dxa"/>
            <w:vAlign w:val="bottom"/>
            <w:tcBorders>
              <w:bottom w:val="single" w:sz="8" w:color="EDF0FC"/>
            </w:tcBorders>
          </w:tcPr>
          <w:p>
            <w:pPr>
              <w:spacing w:after="0"/>
              <w:rPr>
                <w:sz w:val="21"/>
                <w:szCs w:val="21"/>
                <w:color w:val="auto"/>
              </w:rPr>
            </w:pPr>
          </w:p>
        </w:tc>
        <w:tc>
          <w:tcPr>
            <w:tcW w:w="140" w:type="dxa"/>
            <w:vAlign w:val="bottom"/>
            <w:tcBorders>
              <w:bottom w:val="single" w:sz="8" w:color="1A3FD6"/>
            </w:tcBorders>
          </w:tcPr>
          <w:p>
            <w:pPr>
              <w:spacing w:after="0"/>
              <w:rPr>
                <w:sz w:val="21"/>
                <w:szCs w:val="21"/>
                <w:color w:val="auto"/>
              </w:rPr>
            </w:pPr>
          </w:p>
        </w:tc>
        <w:tc>
          <w:tcPr>
            <w:tcW w:w="1140" w:type="dxa"/>
            <w:vAlign w:val="bottom"/>
            <w:tcBorders>
              <w:bottom w:val="single" w:sz="8" w:color="1A3FD6"/>
            </w:tcBorders>
          </w:tcPr>
          <w:p>
            <w:pPr>
              <w:jc w:val="right"/>
              <w:spacing w:after="0"/>
              <w:rPr>
                <w:sz w:val="20"/>
                <w:szCs w:val="20"/>
                <w:color w:val="auto"/>
              </w:rPr>
            </w:pPr>
            <w:r>
              <w:rPr>
                <w:rFonts w:ascii="Arial" w:cs="Arial" w:eastAsia="Arial" w:hAnsi="Arial"/>
                <w:sz w:val="16"/>
                <w:szCs w:val="16"/>
                <w:color w:val="auto"/>
              </w:rPr>
              <w:t>(11,883)</w:t>
            </w:r>
          </w:p>
        </w:tc>
      </w:tr>
      <w:tr>
        <w:trPr>
          <w:trHeight w:val="237"/>
        </w:trPr>
        <w:tc>
          <w:tcPr>
            <w:tcW w:w="720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160" w:type="dxa"/>
            <w:vAlign w:val="bottom"/>
            <w:tcBorders>
              <w:bottom w:val="single" w:sz="8" w:color="1A3FD6"/>
            </w:tcBorders>
            <w:shd w:val="clear" w:color="auto" w:fill="EDF0FC"/>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1A3FD6"/>
            </w:tcBorders>
            <w:shd w:val="clear" w:color="auto" w:fill="EDF0FC"/>
          </w:tcPr>
          <w:p>
            <w:pPr>
              <w:jc w:val="right"/>
              <w:spacing w:after="0"/>
              <w:rPr>
                <w:sz w:val="20"/>
                <w:szCs w:val="20"/>
                <w:color w:val="auto"/>
              </w:rPr>
            </w:pPr>
            <w:r>
              <w:rPr>
                <w:rFonts w:ascii="Arial" w:cs="Arial" w:eastAsia="Arial" w:hAnsi="Arial"/>
                <w:sz w:val="16"/>
                <w:szCs w:val="16"/>
                <w:b w:val="1"/>
                <w:bCs w:val="1"/>
                <w:color w:val="auto"/>
              </w:rPr>
              <w:t>1,200,258</w:t>
            </w:r>
          </w:p>
        </w:tc>
        <w:tc>
          <w:tcPr>
            <w:tcW w:w="100" w:type="dxa"/>
            <w:vAlign w:val="bottom"/>
            <w:shd w:val="clear" w:color="auto" w:fill="EDF0FC"/>
          </w:tcPr>
          <w:p>
            <w:pPr>
              <w:spacing w:after="0"/>
              <w:rPr>
                <w:sz w:val="20"/>
                <w:szCs w:val="20"/>
                <w:color w:val="auto"/>
              </w:rPr>
            </w:pPr>
          </w:p>
        </w:tc>
        <w:tc>
          <w:tcPr>
            <w:tcW w:w="140" w:type="dxa"/>
            <w:vAlign w:val="bottom"/>
            <w:tcBorders>
              <w:bottom w:val="single" w:sz="8" w:color="1A3FD6"/>
            </w:tcBorders>
            <w:shd w:val="clear" w:color="auto" w:fill="EDF0FC"/>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1A3FD6"/>
            </w:tcBorders>
            <w:shd w:val="clear" w:color="auto" w:fill="EDF0FC"/>
          </w:tcPr>
          <w:p>
            <w:pPr>
              <w:jc w:val="right"/>
              <w:spacing w:after="0"/>
              <w:rPr>
                <w:sz w:val="20"/>
                <w:szCs w:val="20"/>
                <w:color w:val="auto"/>
              </w:rPr>
            </w:pPr>
            <w:r>
              <w:rPr>
                <w:rFonts w:ascii="Arial" w:cs="Arial" w:eastAsia="Arial" w:hAnsi="Arial"/>
                <w:sz w:val="16"/>
                <w:szCs w:val="16"/>
                <w:b w:val="1"/>
                <w:bCs w:val="1"/>
                <w:color w:val="auto"/>
              </w:rPr>
              <w:t>1,079,455</w:t>
            </w:r>
          </w:p>
        </w:tc>
        <w:tc>
          <w:tcPr>
            <w:tcW w:w="100" w:type="dxa"/>
            <w:vAlign w:val="bottom"/>
            <w:shd w:val="clear" w:color="auto" w:fill="EDF0FC"/>
          </w:tcPr>
          <w:p>
            <w:pPr>
              <w:spacing w:after="0"/>
              <w:rPr>
                <w:sz w:val="20"/>
                <w:szCs w:val="20"/>
                <w:color w:val="auto"/>
              </w:rPr>
            </w:pPr>
          </w:p>
        </w:tc>
        <w:tc>
          <w:tcPr>
            <w:tcW w:w="140" w:type="dxa"/>
            <w:vAlign w:val="bottom"/>
            <w:tcBorders>
              <w:bottom w:val="single" w:sz="8" w:color="1A3FD6"/>
            </w:tcBorders>
            <w:shd w:val="clear" w:color="auto" w:fill="EDF0FC"/>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1A3FD6"/>
            </w:tcBorders>
            <w:shd w:val="clear" w:color="auto" w:fill="EDF0FC"/>
          </w:tcPr>
          <w:p>
            <w:pPr>
              <w:jc w:val="right"/>
              <w:spacing w:after="0"/>
              <w:rPr>
                <w:sz w:val="20"/>
                <w:szCs w:val="20"/>
                <w:color w:val="auto"/>
              </w:rPr>
            </w:pPr>
            <w:r>
              <w:rPr>
                <w:rFonts w:ascii="Arial" w:cs="Arial" w:eastAsia="Arial" w:hAnsi="Arial"/>
                <w:sz w:val="16"/>
                <w:szCs w:val="16"/>
                <w:b w:val="1"/>
                <w:bCs w:val="1"/>
                <w:color w:val="auto"/>
              </w:rPr>
              <w:t>930,283</w:t>
            </w:r>
          </w:p>
        </w:tc>
      </w:tr>
      <w:tr>
        <w:trPr>
          <w:trHeight w:val="233"/>
        </w:trPr>
        <w:tc>
          <w:tcPr>
            <w:tcW w:w="7200" w:type="dxa"/>
            <w:vAlign w:val="bottom"/>
          </w:tcPr>
          <w:p>
            <w:pPr>
              <w:ind w:left="20"/>
              <w:spacing w:after="0"/>
              <w:rPr>
                <w:sz w:val="20"/>
                <w:szCs w:val="20"/>
                <w:color w:val="auto"/>
              </w:rPr>
            </w:pPr>
            <w:r>
              <w:rPr>
                <w:rFonts w:ascii="Arial" w:cs="Arial" w:eastAsia="Arial" w:hAnsi="Arial"/>
                <w:sz w:val="16"/>
                <w:szCs w:val="16"/>
                <w:b w:val="1"/>
                <w:bCs w:val="1"/>
                <w:color w:val="auto"/>
              </w:rPr>
              <w:t>Diluted EPS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14.05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14.39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10.72</w:t>
            </w:r>
          </w:p>
        </w:tc>
      </w:tr>
      <w:tr>
        <w:trPr>
          <w:trHeight w:val="247"/>
        </w:trPr>
        <w:tc>
          <w:tcPr>
            <w:tcW w:w="7200" w:type="dxa"/>
            <w:vAlign w:val="bottom"/>
            <w:shd w:val="clear" w:color="auto" w:fill="EDF0FC"/>
          </w:tcPr>
          <w:p>
            <w:pPr>
              <w:ind w:left="20"/>
              <w:spacing w:after="0"/>
              <w:rPr>
                <w:sz w:val="20"/>
                <w:szCs w:val="20"/>
                <w:color w:val="auto"/>
              </w:rPr>
            </w:pPr>
            <w:r>
              <w:rPr>
                <w:rFonts w:ascii="Arial" w:cs="Arial" w:eastAsia="Arial" w:hAnsi="Arial"/>
                <w:sz w:val="16"/>
                <w:szCs w:val="16"/>
                <w:color w:val="auto"/>
              </w:rPr>
              <w:t>Plus: Amortization of acquired intangible assets and equity method investment basis difference</w:t>
            </w:r>
          </w:p>
        </w:tc>
        <w:tc>
          <w:tcPr>
            <w:tcW w:w="160" w:type="dxa"/>
            <w:vAlign w:val="bottom"/>
            <w:shd w:val="clear" w:color="auto" w:fill="EDF0FC"/>
          </w:tcPr>
          <w:p>
            <w:pPr>
              <w:spacing w:after="0"/>
              <w:rPr>
                <w:sz w:val="21"/>
                <w:szCs w:val="21"/>
                <w:color w:val="auto"/>
              </w:rPr>
            </w:pPr>
          </w:p>
        </w:tc>
        <w:tc>
          <w:tcPr>
            <w:tcW w:w="1120" w:type="dxa"/>
            <w:vAlign w:val="bottom"/>
            <w:shd w:val="clear" w:color="auto" w:fill="EDF0FC"/>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EDF0FC"/>
          </w:tcPr>
          <w:p>
            <w:pPr>
              <w:spacing w:after="0"/>
              <w:rPr>
                <w:sz w:val="21"/>
                <w:szCs w:val="21"/>
                <w:color w:val="auto"/>
              </w:rPr>
            </w:pPr>
          </w:p>
        </w:tc>
        <w:tc>
          <w:tcPr>
            <w:tcW w:w="140" w:type="dxa"/>
            <w:vAlign w:val="bottom"/>
            <w:shd w:val="clear" w:color="auto" w:fill="EDF0FC"/>
          </w:tcPr>
          <w:p>
            <w:pPr>
              <w:spacing w:after="0"/>
              <w:rPr>
                <w:sz w:val="21"/>
                <w:szCs w:val="21"/>
                <w:color w:val="auto"/>
              </w:rPr>
            </w:pPr>
          </w:p>
        </w:tc>
        <w:tc>
          <w:tcPr>
            <w:tcW w:w="11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0.94</w:t>
            </w:r>
          </w:p>
        </w:tc>
        <w:tc>
          <w:tcPr>
            <w:tcW w:w="100" w:type="dxa"/>
            <w:vAlign w:val="bottom"/>
            <w:shd w:val="clear" w:color="auto" w:fill="EDF0FC"/>
          </w:tcPr>
          <w:p>
            <w:pPr>
              <w:spacing w:after="0"/>
              <w:rPr>
                <w:sz w:val="21"/>
                <w:szCs w:val="21"/>
                <w:color w:val="auto"/>
              </w:rPr>
            </w:pPr>
          </w:p>
        </w:tc>
        <w:tc>
          <w:tcPr>
            <w:tcW w:w="140" w:type="dxa"/>
            <w:vAlign w:val="bottom"/>
            <w:shd w:val="clear" w:color="auto" w:fill="EDF0FC"/>
          </w:tcPr>
          <w:p>
            <w:pPr>
              <w:spacing w:after="0"/>
              <w:rPr>
                <w:sz w:val="21"/>
                <w:szCs w:val="21"/>
                <w:color w:val="auto"/>
              </w:rPr>
            </w:pPr>
          </w:p>
        </w:tc>
        <w:tc>
          <w:tcPr>
            <w:tcW w:w="11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0.83</w:t>
            </w:r>
          </w:p>
        </w:tc>
      </w:tr>
      <w:tr>
        <w:trPr>
          <w:trHeight w:val="235"/>
        </w:trPr>
        <w:tc>
          <w:tcPr>
            <w:tcW w:w="7200" w:type="dxa"/>
            <w:vAlign w:val="bottom"/>
          </w:tcPr>
          <w:p>
            <w:pPr>
              <w:ind w:left="20"/>
              <w:spacing w:after="0"/>
              <w:rPr>
                <w:sz w:val="20"/>
                <w:szCs w:val="20"/>
                <w:color w:val="auto"/>
              </w:rPr>
            </w:pPr>
            <w:r>
              <w:rPr>
                <w:rFonts w:ascii="Arial" w:cs="Arial" w:eastAsia="Arial" w:hAnsi="Arial"/>
                <w:sz w:val="16"/>
                <w:szCs w:val="16"/>
                <w:color w:val="auto"/>
              </w:rPr>
              <w:t>Plus: Impairment related to sublease of leased property</w:t>
            </w:r>
          </w:p>
        </w:tc>
        <w:tc>
          <w:tcPr>
            <w:tcW w:w="16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7200" w:type="dxa"/>
            <w:vAlign w:val="bottom"/>
            <w:shd w:val="clear" w:color="auto" w:fill="EDF0FC"/>
          </w:tcPr>
          <w:p>
            <w:pPr>
              <w:ind w:left="20"/>
              <w:spacing w:after="0"/>
              <w:rPr>
                <w:sz w:val="20"/>
                <w:szCs w:val="20"/>
                <w:color w:val="auto"/>
              </w:rPr>
            </w:pPr>
            <w:r>
              <w:rPr>
                <w:rFonts w:ascii="Arial" w:cs="Arial" w:eastAsia="Arial" w:hAnsi="Arial"/>
                <w:sz w:val="16"/>
                <w:szCs w:val="16"/>
                <w:color w:val="auto"/>
              </w:rPr>
              <w:t>Plus: Acquisition-related integration and transaction costs</w:t>
            </w:r>
            <w:r>
              <w:rPr>
                <w:rFonts w:ascii="Arial" w:cs="Arial" w:eastAsia="Arial" w:hAnsi="Arial"/>
                <w:sz w:val="21"/>
                <w:szCs w:val="21"/>
                <w:color w:val="auto"/>
                <w:vertAlign w:val="superscript"/>
              </w:rPr>
              <w:t>(1)(2)</w:t>
            </w:r>
          </w:p>
        </w:tc>
        <w:tc>
          <w:tcPr>
            <w:tcW w:w="160" w:type="dxa"/>
            <w:vAlign w:val="bottom"/>
            <w:shd w:val="clear" w:color="auto" w:fill="EDF0FC"/>
          </w:tcPr>
          <w:p>
            <w:pPr>
              <w:spacing w:after="0"/>
              <w:rPr>
                <w:sz w:val="21"/>
                <w:szCs w:val="21"/>
                <w:color w:val="auto"/>
              </w:rPr>
            </w:pPr>
          </w:p>
        </w:tc>
        <w:tc>
          <w:tcPr>
            <w:tcW w:w="1120" w:type="dxa"/>
            <w:vAlign w:val="bottom"/>
            <w:shd w:val="clear" w:color="auto" w:fill="EDF0FC"/>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EDF0FC"/>
          </w:tcPr>
          <w:p>
            <w:pPr>
              <w:spacing w:after="0"/>
              <w:rPr>
                <w:sz w:val="21"/>
                <w:szCs w:val="21"/>
                <w:color w:val="auto"/>
              </w:rPr>
            </w:pPr>
          </w:p>
        </w:tc>
        <w:tc>
          <w:tcPr>
            <w:tcW w:w="140" w:type="dxa"/>
            <w:vAlign w:val="bottom"/>
            <w:shd w:val="clear" w:color="auto" w:fill="EDF0FC"/>
          </w:tcPr>
          <w:p>
            <w:pPr>
              <w:spacing w:after="0"/>
              <w:rPr>
                <w:sz w:val="21"/>
                <w:szCs w:val="21"/>
                <w:color w:val="auto"/>
              </w:rPr>
            </w:pPr>
          </w:p>
        </w:tc>
        <w:tc>
          <w:tcPr>
            <w:tcW w:w="11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EDF0FC"/>
          </w:tcPr>
          <w:p>
            <w:pPr>
              <w:spacing w:after="0"/>
              <w:rPr>
                <w:sz w:val="21"/>
                <w:szCs w:val="21"/>
                <w:color w:val="auto"/>
              </w:rPr>
            </w:pPr>
          </w:p>
        </w:tc>
        <w:tc>
          <w:tcPr>
            <w:tcW w:w="140" w:type="dxa"/>
            <w:vAlign w:val="bottom"/>
            <w:shd w:val="clear" w:color="auto" w:fill="EDF0FC"/>
          </w:tcPr>
          <w:p>
            <w:pPr>
              <w:spacing w:after="0"/>
              <w:rPr>
                <w:sz w:val="21"/>
                <w:szCs w:val="21"/>
                <w:color w:val="auto"/>
              </w:rPr>
            </w:pPr>
          </w:p>
        </w:tc>
        <w:tc>
          <w:tcPr>
            <w:tcW w:w="11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0.05</w:t>
            </w:r>
          </w:p>
        </w:tc>
      </w:tr>
      <w:tr>
        <w:trPr>
          <w:trHeight w:val="235"/>
        </w:trPr>
        <w:tc>
          <w:tcPr>
            <w:tcW w:w="7200" w:type="dxa"/>
            <w:vAlign w:val="bottom"/>
          </w:tcPr>
          <w:p>
            <w:pPr>
              <w:ind w:left="20"/>
              <w:spacing w:after="0"/>
              <w:rPr>
                <w:sz w:val="20"/>
                <w:szCs w:val="20"/>
                <w:color w:val="auto"/>
              </w:rPr>
            </w:pPr>
            <w:r>
              <w:rPr>
                <w:rFonts w:ascii="Arial" w:cs="Arial" w:eastAsia="Arial" w:hAnsi="Arial"/>
                <w:sz w:val="16"/>
                <w:szCs w:val="16"/>
                <w:color w:val="auto"/>
              </w:rPr>
              <w:t>Plus: Write-off of deferred fees on debt extinguishment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7200" w:type="dxa"/>
            <w:vAlign w:val="bottom"/>
            <w:shd w:val="clear" w:color="auto" w:fill="EDF0FC"/>
          </w:tcPr>
          <w:p>
            <w:pPr>
              <w:ind w:left="20"/>
              <w:spacing w:after="0"/>
              <w:rPr>
                <w:sz w:val="20"/>
                <w:szCs w:val="20"/>
                <w:color w:val="auto"/>
              </w:rPr>
            </w:pPr>
            <w:r>
              <w:rPr>
                <w:rFonts w:ascii="Arial" w:cs="Arial" w:eastAsia="Arial" w:hAnsi="Arial"/>
                <w:sz w:val="16"/>
                <w:szCs w:val="16"/>
                <w:color w:val="auto"/>
              </w:rPr>
              <w:t>Less: Gain from changes in ownership interest of equity method investee</w:t>
            </w:r>
          </w:p>
        </w:tc>
        <w:tc>
          <w:tcPr>
            <w:tcW w:w="160" w:type="dxa"/>
            <w:vAlign w:val="bottom"/>
            <w:shd w:val="clear" w:color="auto" w:fill="EDF0FC"/>
          </w:tcPr>
          <w:p>
            <w:pPr>
              <w:spacing w:after="0"/>
              <w:rPr>
                <w:sz w:val="21"/>
                <w:szCs w:val="21"/>
                <w:color w:val="auto"/>
              </w:rPr>
            </w:pPr>
          </w:p>
        </w:tc>
        <w:tc>
          <w:tcPr>
            <w:tcW w:w="1220" w:type="dxa"/>
            <w:vAlign w:val="bottom"/>
            <w:gridSpan w:val="2"/>
            <w:shd w:val="clear" w:color="auto" w:fill="EDF0FC"/>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EDF0FC"/>
          </w:tcPr>
          <w:p>
            <w:pPr>
              <w:spacing w:after="0"/>
              <w:rPr>
                <w:sz w:val="21"/>
                <w:szCs w:val="21"/>
                <w:color w:val="auto"/>
              </w:rPr>
            </w:pPr>
          </w:p>
        </w:tc>
        <w:tc>
          <w:tcPr>
            <w:tcW w:w="11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EDF0FC"/>
          </w:tcPr>
          <w:p>
            <w:pPr>
              <w:spacing w:after="0"/>
              <w:rPr>
                <w:sz w:val="21"/>
                <w:szCs w:val="21"/>
                <w:color w:val="auto"/>
              </w:rPr>
            </w:pPr>
          </w:p>
        </w:tc>
        <w:tc>
          <w:tcPr>
            <w:tcW w:w="140" w:type="dxa"/>
            <w:vAlign w:val="bottom"/>
            <w:shd w:val="clear" w:color="auto" w:fill="EDF0FC"/>
          </w:tcPr>
          <w:p>
            <w:pPr>
              <w:spacing w:after="0"/>
              <w:rPr>
                <w:sz w:val="21"/>
                <w:szCs w:val="21"/>
                <w:color w:val="auto"/>
              </w:rPr>
            </w:pPr>
          </w:p>
        </w:tc>
        <w:tc>
          <w:tcPr>
            <w:tcW w:w="11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7200" w:type="dxa"/>
            <w:vAlign w:val="bottom"/>
            <w:tcBorders>
              <w:bottom w:val="single" w:sz="8" w:color="EDF0FC"/>
            </w:tcBorders>
          </w:tcPr>
          <w:p>
            <w:pPr>
              <w:ind w:left="20"/>
              <w:spacing w:after="0"/>
              <w:rPr>
                <w:sz w:val="20"/>
                <w:szCs w:val="20"/>
                <w:color w:val="auto"/>
              </w:rPr>
            </w:pPr>
            <w:r>
              <w:rPr>
                <w:rFonts w:ascii="Arial" w:cs="Arial" w:eastAsia="Arial" w:hAnsi="Arial"/>
                <w:sz w:val="16"/>
                <w:szCs w:val="16"/>
                <w:color w:val="auto"/>
              </w:rPr>
              <w:t>Less: Income tax effect</w:t>
            </w:r>
            <w:r>
              <w:rPr>
                <w:rFonts w:ascii="Arial" w:cs="Arial" w:eastAsia="Arial" w:hAnsi="Arial"/>
                <w:sz w:val="21"/>
                <w:szCs w:val="21"/>
                <w:color w:val="auto"/>
                <w:vertAlign w:val="superscript"/>
              </w:rPr>
              <w:t>(3)(4)</w:t>
            </w:r>
          </w:p>
        </w:tc>
        <w:tc>
          <w:tcPr>
            <w:tcW w:w="160" w:type="dxa"/>
            <w:vAlign w:val="bottom"/>
            <w:tcBorders>
              <w:bottom w:val="single" w:sz="8" w:color="1A3FD6"/>
            </w:tcBorders>
          </w:tcPr>
          <w:p>
            <w:pPr>
              <w:spacing w:after="0"/>
              <w:rPr>
                <w:sz w:val="21"/>
                <w:szCs w:val="21"/>
                <w:color w:val="auto"/>
              </w:rPr>
            </w:pPr>
          </w:p>
        </w:tc>
        <w:tc>
          <w:tcPr>
            <w:tcW w:w="1120" w:type="dxa"/>
            <w:vAlign w:val="bottom"/>
            <w:tcBorders>
              <w:bottom w:val="single" w:sz="8" w:color="1A3FD6"/>
            </w:tcBorders>
          </w:tcPr>
          <w:p>
            <w:pPr>
              <w:jc w:val="right"/>
              <w:spacing w:after="0"/>
              <w:rPr>
                <w:sz w:val="20"/>
                <w:szCs w:val="20"/>
                <w:color w:val="auto"/>
              </w:rPr>
            </w:pPr>
            <w:r>
              <w:rPr>
                <w:rFonts w:ascii="Arial" w:cs="Arial" w:eastAsia="Arial" w:hAnsi="Arial"/>
                <w:sz w:val="16"/>
                <w:szCs w:val="16"/>
                <w:color w:val="auto"/>
              </w:rPr>
              <w:t>(0.26)</w:t>
            </w:r>
          </w:p>
        </w:tc>
        <w:tc>
          <w:tcPr>
            <w:tcW w:w="100" w:type="dxa"/>
            <w:vAlign w:val="bottom"/>
            <w:tcBorders>
              <w:bottom w:val="single" w:sz="8" w:color="EDF0FC"/>
            </w:tcBorders>
          </w:tcPr>
          <w:p>
            <w:pPr>
              <w:spacing w:after="0"/>
              <w:rPr>
                <w:sz w:val="21"/>
                <w:szCs w:val="21"/>
                <w:color w:val="auto"/>
              </w:rPr>
            </w:pPr>
          </w:p>
        </w:tc>
        <w:tc>
          <w:tcPr>
            <w:tcW w:w="140" w:type="dxa"/>
            <w:vAlign w:val="bottom"/>
            <w:tcBorders>
              <w:bottom w:val="single" w:sz="8" w:color="1A3FD6"/>
            </w:tcBorders>
          </w:tcPr>
          <w:p>
            <w:pPr>
              <w:spacing w:after="0"/>
              <w:rPr>
                <w:sz w:val="21"/>
                <w:szCs w:val="21"/>
                <w:color w:val="auto"/>
              </w:rPr>
            </w:pPr>
          </w:p>
        </w:tc>
        <w:tc>
          <w:tcPr>
            <w:tcW w:w="1140" w:type="dxa"/>
            <w:vAlign w:val="bottom"/>
            <w:tcBorders>
              <w:bottom w:val="single" w:sz="8" w:color="1A3FD6"/>
            </w:tcBorders>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EDF0FC"/>
            </w:tcBorders>
          </w:tcPr>
          <w:p>
            <w:pPr>
              <w:spacing w:after="0"/>
              <w:rPr>
                <w:sz w:val="21"/>
                <w:szCs w:val="21"/>
                <w:color w:val="auto"/>
              </w:rPr>
            </w:pPr>
          </w:p>
        </w:tc>
        <w:tc>
          <w:tcPr>
            <w:tcW w:w="140" w:type="dxa"/>
            <w:vAlign w:val="bottom"/>
            <w:tcBorders>
              <w:bottom w:val="single" w:sz="8" w:color="1A3FD6"/>
            </w:tcBorders>
          </w:tcPr>
          <w:p>
            <w:pPr>
              <w:spacing w:after="0"/>
              <w:rPr>
                <w:sz w:val="21"/>
                <w:szCs w:val="21"/>
                <w:color w:val="auto"/>
              </w:rPr>
            </w:pPr>
          </w:p>
        </w:tc>
        <w:tc>
          <w:tcPr>
            <w:tcW w:w="1140" w:type="dxa"/>
            <w:vAlign w:val="bottom"/>
            <w:tcBorders>
              <w:bottom w:val="single" w:sz="8" w:color="1A3FD6"/>
            </w:tcBorders>
          </w:tcPr>
          <w:p>
            <w:pPr>
              <w:jc w:val="right"/>
              <w:spacing w:after="0"/>
              <w:rPr>
                <w:sz w:val="20"/>
                <w:szCs w:val="20"/>
                <w:color w:val="auto"/>
              </w:rPr>
            </w:pPr>
            <w:r>
              <w:rPr>
                <w:rFonts w:ascii="Arial" w:cs="Arial" w:eastAsia="Arial" w:hAnsi="Arial"/>
                <w:sz w:val="16"/>
                <w:szCs w:val="16"/>
                <w:color w:val="auto"/>
              </w:rPr>
              <w:t>(0.15)</w:t>
            </w:r>
          </w:p>
        </w:tc>
      </w:tr>
      <w:tr>
        <w:trPr>
          <w:trHeight w:val="237"/>
        </w:trPr>
        <w:tc>
          <w:tcPr>
            <w:tcW w:w="7200" w:type="dxa"/>
            <w:vAlign w:val="bottom"/>
            <w:shd w:val="clear" w:color="auto" w:fill="EDF0FC"/>
          </w:tcPr>
          <w:p>
            <w:pPr>
              <w:ind w:left="20"/>
              <w:spacing w:after="0"/>
              <w:rPr>
                <w:sz w:val="20"/>
                <w:szCs w:val="20"/>
                <w:color w:val="auto"/>
              </w:rPr>
            </w:pPr>
            <w:r>
              <w:rPr>
                <w:rFonts w:ascii="Arial" w:cs="Arial" w:eastAsia="Arial" w:hAnsi="Arial"/>
                <w:sz w:val="16"/>
                <w:szCs w:val="16"/>
                <w:b w:val="1"/>
                <w:bCs w:val="1"/>
                <w:color w:val="auto"/>
              </w:rPr>
              <w:t>Adjusted EPS</w:t>
            </w:r>
          </w:p>
        </w:tc>
        <w:tc>
          <w:tcPr>
            <w:tcW w:w="160" w:type="dxa"/>
            <w:vAlign w:val="bottom"/>
            <w:tcBorders>
              <w:bottom w:val="single" w:sz="8" w:color="1A3FD6"/>
            </w:tcBorders>
            <w:shd w:val="clear" w:color="auto" w:fill="EDF0FC"/>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1A3FD6"/>
            </w:tcBorders>
            <w:shd w:val="clear" w:color="auto" w:fill="EDF0FC"/>
          </w:tcPr>
          <w:p>
            <w:pPr>
              <w:jc w:val="right"/>
              <w:spacing w:after="0"/>
              <w:rPr>
                <w:sz w:val="20"/>
                <w:szCs w:val="20"/>
                <w:color w:val="auto"/>
              </w:rPr>
            </w:pPr>
            <w:r>
              <w:rPr>
                <w:rFonts w:ascii="Arial" w:cs="Arial" w:eastAsia="Arial" w:hAnsi="Arial"/>
                <w:sz w:val="16"/>
                <w:szCs w:val="16"/>
                <w:b w:val="1"/>
                <w:bCs w:val="1"/>
                <w:color w:val="auto"/>
              </w:rPr>
              <w:t>15.20</w:t>
            </w:r>
          </w:p>
        </w:tc>
        <w:tc>
          <w:tcPr>
            <w:tcW w:w="100" w:type="dxa"/>
            <w:vAlign w:val="bottom"/>
            <w:shd w:val="clear" w:color="auto" w:fill="EDF0FC"/>
          </w:tcPr>
          <w:p>
            <w:pPr>
              <w:spacing w:after="0"/>
              <w:rPr>
                <w:sz w:val="20"/>
                <w:szCs w:val="20"/>
                <w:color w:val="auto"/>
              </w:rPr>
            </w:pPr>
          </w:p>
        </w:tc>
        <w:tc>
          <w:tcPr>
            <w:tcW w:w="140" w:type="dxa"/>
            <w:vAlign w:val="bottom"/>
            <w:tcBorders>
              <w:bottom w:val="single" w:sz="8" w:color="1A3FD6"/>
            </w:tcBorders>
            <w:shd w:val="clear" w:color="auto" w:fill="EDF0FC"/>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1A3FD6"/>
            </w:tcBorders>
            <w:shd w:val="clear" w:color="auto" w:fill="EDF0FC"/>
          </w:tcPr>
          <w:p>
            <w:pPr>
              <w:jc w:val="right"/>
              <w:spacing w:after="0"/>
              <w:rPr>
                <w:sz w:val="20"/>
                <w:szCs w:val="20"/>
                <w:color w:val="auto"/>
              </w:rPr>
            </w:pPr>
            <w:r>
              <w:rPr>
                <w:rFonts w:ascii="Arial" w:cs="Arial" w:eastAsia="Arial" w:hAnsi="Arial"/>
                <w:sz w:val="16"/>
                <w:szCs w:val="16"/>
                <w:b w:val="1"/>
                <w:bCs w:val="1"/>
                <w:color w:val="auto"/>
              </w:rPr>
              <w:t>13.52</w:t>
            </w:r>
          </w:p>
        </w:tc>
        <w:tc>
          <w:tcPr>
            <w:tcW w:w="100" w:type="dxa"/>
            <w:vAlign w:val="bottom"/>
            <w:shd w:val="clear" w:color="auto" w:fill="EDF0FC"/>
          </w:tcPr>
          <w:p>
            <w:pPr>
              <w:spacing w:after="0"/>
              <w:rPr>
                <w:sz w:val="20"/>
                <w:szCs w:val="20"/>
                <w:color w:val="auto"/>
              </w:rPr>
            </w:pPr>
          </w:p>
        </w:tc>
        <w:tc>
          <w:tcPr>
            <w:tcW w:w="140" w:type="dxa"/>
            <w:vAlign w:val="bottom"/>
            <w:tcBorders>
              <w:bottom w:val="single" w:sz="8" w:color="1A3FD6"/>
            </w:tcBorders>
            <w:shd w:val="clear" w:color="auto" w:fill="EDF0FC"/>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1A3FD6"/>
            </w:tcBorders>
            <w:shd w:val="clear" w:color="auto" w:fill="EDF0FC"/>
          </w:tcPr>
          <w:p>
            <w:pPr>
              <w:jc w:val="right"/>
              <w:spacing w:after="0"/>
              <w:rPr>
                <w:sz w:val="20"/>
                <w:szCs w:val="20"/>
                <w:color w:val="auto"/>
              </w:rPr>
            </w:pPr>
            <w:r>
              <w:rPr>
                <w:rFonts w:ascii="Arial" w:cs="Arial" w:eastAsia="Arial" w:hAnsi="Arial"/>
                <w:sz w:val="16"/>
                <w:szCs w:val="16"/>
                <w:b w:val="1"/>
                <w:bCs w:val="1"/>
                <w:color w:val="auto"/>
              </w:rPr>
              <w:t>11.45</w:t>
            </w:r>
          </w:p>
        </w:tc>
      </w:tr>
      <w:tr>
        <w:trPr>
          <w:trHeight w:val="233"/>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Diluted weighted average common shares outstanding</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78,960</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79,843</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81,215</w:t>
            </w:r>
          </w:p>
        </w:tc>
      </w:tr>
    </w:tbl>
    <w:p>
      <w:pPr>
        <w:spacing w:after="0" w:line="180" w:lineRule="exact"/>
        <w:rPr>
          <w:sz w:val="20"/>
          <w:szCs w:val="20"/>
          <w:color w:val="auto"/>
        </w:rPr>
      </w:pPr>
    </w:p>
    <w:p>
      <w:pPr>
        <w:ind w:left="200" w:right="600" w:hanging="192"/>
        <w:spacing w:after="0" w:line="320" w:lineRule="auto"/>
        <w:tabs>
          <w:tab w:leader="none" w:pos="187" w:val="left"/>
        </w:tabs>
        <w:numPr>
          <w:ilvl w:val="0"/>
          <w:numId w:val="144"/>
        </w:numPr>
        <w:rPr>
          <w:rFonts w:ascii="Arial" w:cs="Arial" w:eastAsia="Arial" w:hAnsi="Arial"/>
          <w:sz w:val="9"/>
          <w:szCs w:val="9"/>
          <w:color w:val="auto"/>
        </w:rPr>
      </w:pPr>
      <w:r>
        <w:rPr>
          <w:rFonts w:ascii="Arial" w:cs="Arial" w:eastAsia="Arial" w:hAnsi="Arial"/>
          <w:sz w:val="14"/>
          <w:szCs w:val="14"/>
          <w:color w:val="auto"/>
        </w:rPr>
        <w:t>Acquisition-related integration and transaction costs of $4.1 million are presented within “General and administrative” expenses and $0.2 million are presented within “Depreciation and amortization of property, equipment and leasehold improvements” expenses for the year ended December 31, 2022.</w:t>
      </w:r>
    </w:p>
    <w:p>
      <w:pPr>
        <w:spacing w:after="0" w:line="2" w:lineRule="exact"/>
        <w:rPr>
          <w:rFonts w:ascii="Arial" w:cs="Arial" w:eastAsia="Arial" w:hAnsi="Arial"/>
          <w:sz w:val="9"/>
          <w:szCs w:val="9"/>
          <w:color w:val="auto"/>
        </w:rPr>
      </w:pPr>
    </w:p>
    <w:p>
      <w:pPr>
        <w:ind w:left="200" w:right="80" w:hanging="192"/>
        <w:spacing w:after="0" w:line="239" w:lineRule="auto"/>
        <w:tabs>
          <w:tab w:leader="none" w:pos="187" w:val="left"/>
        </w:tabs>
        <w:numPr>
          <w:ilvl w:val="0"/>
          <w:numId w:val="144"/>
        </w:numPr>
        <w:rPr>
          <w:rFonts w:ascii="Arial" w:cs="Arial" w:eastAsia="Arial" w:hAnsi="Arial"/>
          <w:sz w:val="19"/>
          <w:szCs w:val="19"/>
          <w:color w:val="auto"/>
          <w:vertAlign w:val="superscript"/>
        </w:rPr>
      </w:pPr>
      <w:r>
        <w:rPr>
          <w:rFonts w:ascii="Arial" w:cs="Arial" w:eastAsia="Arial" w:hAnsi="Arial"/>
          <w:sz w:val="14"/>
          <w:szCs w:val="14"/>
          <w:color w:val="auto"/>
        </w:rPr>
        <w:t>Represents transaction expenses and other costs directly related to the acquisition and integration of acquired businesses, including professional fees, severance expenses, regulatory filing fees and other costs, in each case that are incurred no later than 12 months after the close of the relevant acquisition.</w:t>
      </w:r>
    </w:p>
    <w:p>
      <w:pPr>
        <w:spacing w:after="0" w:line="54" w:lineRule="exact"/>
        <w:rPr>
          <w:rFonts w:ascii="Arial" w:cs="Arial" w:eastAsia="Arial" w:hAnsi="Arial"/>
          <w:sz w:val="19"/>
          <w:szCs w:val="19"/>
          <w:color w:val="auto"/>
          <w:vertAlign w:val="superscript"/>
        </w:rPr>
      </w:pPr>
    </w:p>
    <w:p>
      <w:pPr>
        <w:ind w:left="200" w:right="460" w:hanging="192"/>
        <w:spacing w:after="0" w:line="239" w:lineRule="auto"/>
        <w:tabs>
          <w:tab w:leader="none" w:pos="187" w:val="left"/>
        </w:tabs>
        <w:numPr>
          <w:ilvl w:val="0"/>
          <w:numId w:val="144"/>
        </w:numPr>
        <w:rPr>
          <w:rFonts w:ascii="Arial" w:cs="Arial" w:eastAsia="Arial" w:hAnsi="Arial"/>
          <w:sz w:val="19"/>
          <w:szCs w:val="19"/>
          <w:color w:val="auto"/>
          <w:vertAlign w:val="superscript"/>
        </w:rPr>
      </w:pPr>
      <w:r>
        <w:rPr>
          <w:rFonts w:ascii="Arial" w:cs="Arial" w:eastAsia="Arial" w:hAnsi="Arial"/>
          <w:sz w:val="14"/>
          <w:szCs w:val="14"/>
          <w:color w:val="auto"/>
        </w:rPr>
        <w:t>Adjustments relate to the tax effect of non-GAAP adjustments, which were determined based on the nature of the underlying non-GAAP adjustments and their relevant jurisdictional tax rates.</w:t>
      </w:r>
    </w:p>
    <w:p>
      <w:pPr>
        <w:spacing w:after="0" w:line="40" w:lineRule="exact"/>
        <w:rPr>
          <w:rFonts w:ascii="Arial" w:cs="Arial" w:eastAsia="Arial" w:hAnsi="Arial"/>
          <w:sz w:val="19"/>
          <w:szCs w:val="19"/>
          <w:color w:val="auto"/>
          <w:vertAlign w:val="superscript"/>
        </w:rPr>
      </w:pPr>
    </w:p>
    <w:p>
      <w:pPr>
        <w:ind w:left="200" w:right="380" w:hanging="192"/>
        <w:spacing w:after="0" w:line="325" w:lineRule="auto"/>
        <w:tabs>
          <w:tab w:leader="none" w:pos="187" w:val="left"/>
        </w:tabs>
        <w:numPr>
          <w:ilvl w:val="0"/>
          <w:numId w:val="144"/>
        </w:numPr>
        <w:rPr>
          <w:rFonts w:ascii="Arial" w:cs="Arial" w:eastAsia="Arial" w:hAnsi="Arial"/>
          <w:sz w:val="9"/>
          <w:szCs w:val="9"/>
          <w:color w:val="auto"/>
        </w:rPr>
      </w:pPr>
      <w:r>
        <w:rPr>
          <w:rFonts w:ascii="Arial" w:cs="Arial" w:eastAsia="Arial" w:hAnsi="Arial"/>
          <w:sz w:val="14"/>
          <w:szCs w:val="14"/>
          <w:color w:val="auto"/>
        </w:rPr>
        <w:t>The pre-tax gain from changes in ownership interest of Burgiss of $143.0 million is non-taxable; however, $8.6 million of income tax expense recognized during the year ended December 31, 2023 was related to the remeasurement of the deferred tax liability on the Company's previous equity method investment in Burgiss.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676275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6860"/>
              <w:spacing w:after="0"/>
              <w:rPr>
                <w:sz w:val="20"/>
                <w:szCs w:val="20"/>
                <w:color w:val="auto"/>
              </w:rPr>
            </w:pPr>
            <w:r>
              <w:rPr>
                <w:rFonts w:ascii="Arial" w:cs="Arial" w:eastAsia="Arial" w:hAnsi="Arial"/>
                <w:sz w:val="14"/>
                <w:szCs w:val="14"/>
                <w:b w:val="1"/>
                <w:bCs w:val="1"/>
                <w:color w:val="1A3FD6"/>
              </w:rPr>
              <w:t>Annex B: Supplemental Financial Information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127</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20"/>
          <w:szCs w:val="20"/>
          <w:color w:val="1A3FD6"/>
        </w:rPr>
        <w:t>Reconciliation of Net Cash Provided by Operating Activities to Free Cash Flow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0" w:type="dxa"/>
            <w:vAlign w:val="bottom"/>
          </w:tcPr>
          <w:p>
            <w:pPr>
              <w:spacing w:after="0"/>
              <w:rPr>
                <w:sz w:val="17"/>
                <w:szCs w:val="17"/>
                <w:color w:val="auto"/>
              </w:rPr>
            </w:pPr>
          </w:p>
        </w:tc>
        <w:tc>
          <w:tcPr>
            <w:tcW w:w="160" w:type="dxa"/>
            <w:vAlign w:val="bottom"/>
            <w:tcBorders>
              <w:bottom w:val="single" w:sz="8" w:color="1A3FD6"/>
            </w:tcBorders>
          </w:tcPr>
          <w:p>
            <w:pPr>
              <w:spacing w:after="0"/>
              <w:rPr>
                <w:sz w:val="17"/>
                <w:szCs w:val="17"/>
                <w:color w:val="auto"/>
              </w:rPr>
            </w:pPr>
          </w:p>
        </w:tc>
        <w:tc>
          <w:tcPr>
            <w:tcW w:w="1120" w:type="dxa"/>
            <w:vAlign w:val="bottom"/>
            <w:tcBorders>
              <w:bottom w:val="single" w:sz="8" w:color="1A3FD6"/>
            </w:tcBorders>
          </w:tcPr>
          <w:p>
            <w:pPr>
              <w:spacing w:after="0"/>
              <w:rPr>
                <w:sz w:val="17"/>
                <w:szCs w:val="17"/>
                <w:color w:val="auto"/>
              </w:rPr>
            </w:pPr>
          </w:p>
        </w:tc>
        <w:tc>
          <w:tcPr>
            <w:tcW w:w="100" w:type="dxa"/>
            <w:vAlign w:val="bottom"/>
            <w:tcBorders>
              <w:bottom w:val="single" w:sz="8" w:color="1A3FD6"/>
            </w:tcBorders>
          </w:tcPr>
          <w:p>
            <w:pPr>
              <w:spacing w:after="0"/>
              <w:rPr>
                <w:sz w:val="17"/>
                <w:szCs w:val="17"/>
                <w:color w:val="auto"/>
              </w:rPr>
            </w:pPr>
          </w:p>
        </w:tc>
        <w:tc>
          <w:tcPr>
            <w:tcW w:w="140" w:type="dxa"/>
            <w:vAlign w:val="bottom"/>
            <w:tcBorders>
              <w:bottom w:val="single" w:sz="8" w:color="1A3FD6"/>
            </w:tcBorders>
          </w:tcPr>
          <w:p>
            <w:pPr>
              <w:spacing w:after="0"/>
              <w:rPr>
                <w:sz w:val="17"/>
                <w:szCs w:val="17"/>
                <w:color w:val="auto"/>
              </w:rPr>
            </w:pPr>
          </w:p>
        </w:tc>
        <w:tc>
          <w:tcPr>
            <w:tcW w:w="1240" w:type="dxa"/>
            <w:vAlign w:val="bottom"/>
            <w:tcBorders>
              <w:bottom w:val="single" w:sz="8" w:color="1A3FD6"/>
            </w:tcBorders>
            <w:gridSpan w:val="2"/>
          </w:tcPr>
          <w:p>
            <w:pPr>
              <w:ind w:left="80"/>
              <w:spacing w:after="0"/>
              <w:rPr>
                <w:sz w:val="20"/>
                <w:szCs w:val="20"/>
                <w:color w:val="auto"/>
              </w:rPr>
            </w:pPr>
            <w:r>
              <w:rPr>
                <w:rFonts w:ascii="Arial" w:cs="Arial" w:eastAsia="Arial" w:hAnsi="Arial"/>
                <w:sz w:val="14"/>
                <w:szCs w:val="14"/>
                <w:b w:val="1"/>
                <w:bCs w:val="1"/>
                <w:color w:val="auto"/>
              </w:rPr>
              <w:t>Years Ended</w:t>
            </w:r>
          </w:p>
        </w:tc>
        <w:tc>
          <w:tcPr>
            <w:tcW w:w="140" w:type="dxa"/>
            <w:vAlign w:val="bottom"/>
            <w:tcBorders>
              <w:bottom w:val="single" w:sz="8" w:color="1A3FD6"/>
            </w:tcBorders>
          </w:tcPr>
          <w:p>
            <w:pPr>
              <w:spacing w:after="0"/>
              <w:rPr>
                <w:sz w:val="17"/>
                <w:szCs w:val="17"/>
                <w:color w:val="auto"/>
              </w:rPr>
            </w:pPr>
          </w:p>
        </w:tc>
        <w:tc>
          <w:tcPr>
            <w:tcW w:w="1140" w:type="dxa"/>
            <w:vAlign w:val="bottom"/>
            <w:tcBorders>
              <w:bottom w:val="single" w:sz="8" w:color="1A3FD6"/>
            </w:tcBorders>
          </w:tcPr>
          <w:p>
            <w:pPr>
              <w:spacing w:after="0"/>
              <w:rPr>
                <w:sz w:val="17"/>
                <w:szCs w:val="17"/>
                <w:color w:val="auto"/>
              </w:rPr>
            </w:pPr>
          </w:p>
        </w:tc>
      </w:tr>
      <w:tr>
        <w:trPr>
          <w:trHeight w:val="223"/>
        </w:trPr>
        <w:tc>
          <w:tcPr>
            <w:tcW w:w="7200" w:type="dxa"/>
            <w:vAlign w:val="bottom"/>
            <w:tcBorders>
              <w:bottom w:val="single" w:sz="8" w:color="1A3FD6"/>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1A3FD6"/>
            </w:tcBorders>
          </w:tcPr>
          <w:p>
            <w:pPr>
              <w:spacing w:after="0"/>
              <w:rPr>
                <w:sz w:val="19"/>
                <w:szCs w:val="19"/>
                <w:color w:val="auto"/>
              </w:rPr>
            </w:pPr>
          </w:p>
        </w:tc>
        <w:tc>
          <w:tcPr>
            <w:tcW w:w="1220" w:type="dxa"/>
            <w:vAlign w:val="bottom"/>
            <w:tcBorders>
              <w:bottom w:val="single" w:sz="8" w:color="1A3FD6"/>
            </w:tcBorders>
            <w:gridSpan w:val="2"/>
          </w:tcPr>
          <w:p>
            <w:pPr>
              <w:ind w:left="40"/>
              <w:spacing w:after="0"/>
              <w:rPr>
                <w:sz w:val="20"/>
                <w:szCs w:val="20"/>
                <w:color w:val="auto"/>
              </w:rPr>
            </w:pPr>
            <w:r>
              <w:rPr>
                <w:rFonts w:ascii="Arial" w:cs="Arial" w:eastAsia="Arial" w:hAnsi="Arial"/>
                <w:sz w:val="14"/>
                <w:szCs w:val="14"/>
                <w:b w:val="1"/>
                <w:bCs w:val="1"/>
                <w:color w:val="auto"/>
              </w:rPr>
              <w:t>Dec. 31, 2024</w:t>
            </w:r>
          </w:p>
        </w:tc>
        <w:tc>
          <w:tcPr>
            <w:tcW w:w="140" w:type="dxa"/>
            <w:vAlign w:val="bottom"/>
            <w:tcBorders>
              <w:bottom w:val="single" w:sz="8" w:color="1A3FD6"/>
            </w:tcBorders>
          </w:tcPr>
          <w:p>
            <w:pPr>
              <w:spacing w:after="0"/>
              <w:rPr>
                <w:sz w:val="19"/>
                <w:szCs w:val="19"/>
                <w:color w:val="auto"/>
              </w:rPr>
            </w:pPr>
          </w:p>
        </w:tc>
        <w:tc>
          <w:tcPr>
            <w:tcW w:w="1240" w:type="dxa"/>
            <w:vAlign w:val="bottom"/>
            <w:tcBorders>
              <w:bottom w:val="single" w:sz="8" w:color="1A3FD6"/>
            </w:tcBorders>
            <w:gridSpan w:val="2"/>
          </w:tcPr>
          <w:p>
            <w:pPr>
              <w:ind w:left="60"/>
              <w:spacing w:after="0"/>
              <w:rPr>
                <w:sz w:val="20"/>
                <w:szCs w:val="20"/>
                <w:color w:val="auto"/>
              </w:rPr>
            </w:pPr>
            <w:r>
              <w:rPr>
                <w:rFonts w:ascii="Arial" w:cs="Arial" w:eastAsia="Arial" w:hAnsi="Arial"/>
                <w:sz w:val="14"/>
                <w:szCs w:val="14"/>
                <w:b w:val="1"/>
                <w:bCs w:val="1"/>
                <w:color w:val="auto"/>
              </w:rPr>
              <w:t>Dec. 31, 2023</w:t>
            </w:r>
          </w:p>
        </w:tc>
        <w:tc>
          <w:tcPr>
            <w:tcW w:w="140" w:type="dxa"/>
            <w:vAlign w:val="bottom"/>
            <w:tcBorders>
              <w:bottom w:val="single" w:sz="8" w:color="1A3FD6"/>
            </w:tcBorders>
          </w:tcPr>
          <w:p>
            <w:pPr>
              <w:spacing w:after="0"/>
              <w:rPr>
                <w:sz w:val="19"/>
                <w:szCs w:val="19"/>
                <w:color w:val="auto"/>
              </w:rPr>
            </w:pPr>
          </w:p>
        </w:tc>
        <w:tc>
          <w:tcPr>
            <w:tcW w:w="1140" w:type="dxa"/>
            <w:vAlign w:val="bottom"/>
            <w:tcBorders>
              <w:bottom w:val="single" w:sz="8" w:color="1A3FD6"/>
            </w:tcBorders>
          </w:tcPr>
          <w:p>
            <w:pPr>
              <w:jc w:val="right"/>
              <w:ind w:right="101"/>
              <w:spacing w:after="0"/>
              <w:rPr>
                <w:sz w:val="20"/>
                <w:szCs w:val="20"/>
                <w:color w:val="auto"/>
              </w:rPr>
            </w:pPr>
            <w:r>
              <w:rPr>
                <w:rFonts w:ascii="Arial" w:cs="Arial" w:eastAsia="Arial" w:hAnsi="Arial"/>
                <w:sz w:val="14"/>
                <w:szCs w:val="14"/>
                <w:b w:val="1"/>
                <w:bCs w:val="1"/>
                <w:color w:val="auto"/>
              </w:rPr>
              <w:t>Dec. 31, 2022</w:t>
            </w:r>
          </w:p>
        </w:tc>
      </w:tr>
      <w:tr>
        <w:trPr>
          <w:trHeight w:val="239"/>
        </w:trPr>
        <w:tc>
          <w:tcPr>
            <w:tcW w:w="720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1,501,627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1,236,029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1,095,369</w:t>
            </w:r>
          </w:p>
        </w:tc>
      </w:tr>
      <w:tr>
        <w:trPr>
          <w:trHeight w:val="247"/>
        </w:trPr>
        <w:tc>
          <w:tcPr>
            <w:tcW w:w="7200" w:type="dxa"/>
            <w:vAlign w:val="bottom"/>
            <w:shd w:val="clear" w:color="auto" w:fill="EDF0FC"/>
          </w:tcPr>
          <w:p>
            <w:pPr>
              <w:ind w:left="20"/>
              <w:spacing w:after="0"/>
              <w:rPr>
                <w:sz w:val="20"/>
                <w:szCs w:val="20"/>
                <w:color w:val="auto"/>
              </w:rPr>
            </w:pPr>
            <w:r>
              <w:rPr>
                <w:rFonts w:ascii="Arial" w:cs="Arial" w:eastAsia="Arial" w:hAnsi="Arial"/>
                <w:sz w:val="16"/>
                <w:szCs w:val="16"/>
                <w:color w:val="auto"/>
              </w:rPr>
              <w:t>Capital expenditures</w:t>
            </w:r>
          </w:p>
        </w:tc>
        <w:tc>
          <w:tcPr>
            <w:tcW w:w="160" w:type="dxa"/>
            <w:vAlign w:val="bottom"/>
            <w:shd w:val="clear" w:color="auto" w:fill="EDF0FC"/>
          </w:tcPr>
          <w:p>
            <w:pPr>
              <w:spacing w:after="0"/>
              <w:rPr>
                <w:sz w:val="21"/>
                <w:szCs w:val="21"/>
                <w:color w:val="auto"/>
              </w:rPr>
            </w:pPr>
          </w:p>
        </w:tc>
        <w:tc>
          <w:tcPr>
            <w:tcW w:w="1120" w:type="dxa"/>
            <w:vAlign w:val="bottom"/>
            <w:shd w:val="clear" w:color="auto" w:fill="EDF0FC"/>
          </w:tcPr>
          <w:p>
            <w:pPr>
              <w:jc w:val="right"/>
              <w:spacing w:after="0"/>
              <w:rPr>
                <w:sz w:val="20"/>
                <w:szCs w:val="20"/>
                <w:color w:val="auto"/>
              </w:rPr>
            </w:pPr>
            <w:r>
              <w:rPr>
                <w:rFonts w:ascii="Arial" w:cs="Arial" w:eastAsia="Arial" w:hAnsi="Arial"/>
                <w:sz w:val="16"/>
                <w:szCs w:val="16"/>
                <w:color w:val="auto"/>
              </w:rPr>
              <w:t>(33,762)</w:t>
            </w:r>
          </w:p>
        </w:tc>
        <w:tc>
          <w:tcPr>
            <w:tcW w:w="100" w:type="dxa"/>
            <w:vAlign w:val="bottom"/>
            <w:shd w:val="clear" w:color="auto" w:fill="EDF0FC"/>
          </w:tcPr>
          <w:p>
            <w:pPr>
              <w:spacing w:after="0"/>
              <w:rPr>
                <w:sz w:val="21"/>
                <w:szCs w:val="21"/>
                <w:color w:val="auto"/>
              </w:rPr>
            </w:pPr>
          </w:p>
        </w:tc>
        <w:tc>
          <w:tcPr>
            <w:tcW w:w="140" w:type="dxa"/>
            <w:vAlign w:val="bottom"/>
            <w:shd w:val="clear" w:color="auto" w:fill="EDF0FC"/>
          </w:tcPr>
          <w:p>
            <w:pPr>
              <w:spacing w:after="0"/>
              <w:rPr>
                <w:sz w:val="21"/>
                <w:szCs w:val="21"/>
                <w:color w:val="auto"/>
              </w:rPr>
            </w:pPr>
          </w:p>
        </w:tc>
        <w:tc>
          <w:tcPr>
            <w:tcW w:w="11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(22,757)</w:t>
            </w:r>
          </w:p>
        </w:tc>
        <w:tc>
          <w:tcPr>
            <w:tcW w:w="100" w:type="dxa"/>
            <w:vAlign w:val="bottom"/>
            <w:shd w:val="clear" w:color="auto" w:fill="EDF0FC"/>
          </w:tcPr>
          <w:p>
            <w:pPr>
              <w:spacing w:after="0"/>
              <w:rPr>
                <w:sz w:val="21"/>
                <w:szCs w:val="21"/>
                <w:color w:val="auto"/>
              </w:rPr>
            </w:pPr>
          </w:p>
        </w:tc>
        <w:tc>
          <w:tcPr>
            <w:tcW w:w="140" w:type="dxa"/>
            <w:vAlign w:val="bottom"/>
            <w:shd w:val="clear" w:color="auto" w:fill="EDF0FC"/>
          </w:tcPr>
          <w:p>
            <w:pPr>
              <w:spacing w:after="0"/>
              <w:rPr>
                <w:sz w:val="21"/>
                <w:szCs w:val="21"/>
                <w:color w:val="auto"/>
              </w:rPr>
            </w:pPr>
          </w:p>
        </w:tc>
        <w:tc>
          <w:tcPr>
            <w:tcW w:w="1140" w:type="dxa"/>
            <w:vAlign w:val="bottom"/>
            <w:shd w:val="clear" w:color="auto" w:fill="EDF0FC"/>
          </w:tcPr>
          <w:p>
            <w:pPr>
              <w:jc w:val="right"/>
              <w:spacing w:after="0"/>
              <w:rPr>
                <w:sz w:val="20"/>
                <w:szCs w:val="20"/>
                <w:color w:val="auto"/>
              </w:rPr>
            </w:pPr>
            <w:r>
              <w:rPr>
                <w:rFonts w:ascii="Arial" w:cs="Arial" w:eastAsia="Arial" w:hAnsi="Arial"/>
                <w:sz w:val="16"/>
                <w:szCs w:val="16"/>
                <w:color w:val="auto"/>
              </w:rPr>
              <w:t>(13,617)</w:t>
            </w:r>
          </w:p>
        </w:tc>
      </w:tr>
      <w:tr>
        <w:trPr>
          <w:trHeight w:val="237"/>
        </w:trPr>
        <w:tc>
          <w:tcPr>
            <w:tcW w:w="7200" w:type="dxa"/>
            <w:vAlign w:val="bottom"/>
            <w:tcBorders>
              <w:bottom w:val="single" w:sz="8" w:color="EDF0FC"/>
            </w:tcBorders>
          </w:tcPr>
          <w:p>
            <w:pPr>
              <w:ind w:left="20"/>
              <w:spacing w:after="0"/>
              <w:rPr>
                <w:sz w:val="20"/>
                <w:szCs w:val="20"/>
                <w:color w:val="auto"/>
              </w:rPr>
            </w:pPr>
            <w:r>
              <w:rPr>
                <w:rFonts w:ascii="Arial" w:cs="Arial" w:eastAsia="Arial" w:hAnsi="Arial"/>
                <w:sz w:val="16"/>
                <w:szCs w:val="16"/>
                <w:color w:val="auto"/>
              </w:rPr>
              <w:t>Capitalized software development costs</w:t>
            </w:r>
          </w:p>
        </w:tc>
        <w:tc>
          <w:tcPr>
            <w:tcW w:w="160" w:type="dxa"/>
            <w:vAlign w:val="bottom"/>
            <w:tcBorders>
              <w:bottom w:val="single" w:sz="8" w:color="1A3FD6"/>
            </w:tcBorders>
          </w:tcPr>
          <w:p>
            <w:pPr>
              <w:spacing w:after="0"/>
              <w:rPr>
                <w:sz w:val="20"/>
                <w:szCs w:val="20"/>
                <w:color w:val="auto"/>
              </w:rPr>
            </w:pPr>
          </w:p>
        </w:tc>
        <w:tc>
          <w:tcPr>
            <w:tcW w:w="1120" w:type="dxa"/>
            <w:vAlign w:val="bottom"/>
            <w:tcBorders>
              <w:bottom w:val="single" w:sz="8" w:color="1A3FD6"/>
            </w:tcBorders>
          </w:tcPr>
          <w:p>
            <w:pPr>
              <w:jc w:val="right"/>
              <w:spacing w:after="0"/>
              <w:rPr>
                <w:sz w:val="20"/>
                <w:szCs w:val="20"/>
                <w:color w:val="auto"/>
              </w:rPr>
            </w:pPr>
            <w:r>
              <w:rPr>
                <w:rFonts w:ascii="Arial" w:cs="Arial" w:eastAsia="Arial" w:hAnsi="Arial"/>
                <w:sz w:val="16"/>
                <w:szCs w:val="16"/>
                <w:color w:val="auto"/>
              </w:rPr>
              <w:t>(81,356)</w:t>
            </w:r>
          </w:p>
        </w:tc>
        <w:tc>
          <w:tcPr>
            <w:tcW w:w="100" w:type="dxa"/>
            <w:vAlign w:val="bottom"/>
            <w:tcBorders>
              <w:bottom w:val="single" w:sz="8" w:color="EDF0FC"/>
            </w:tcBorders>
          </w:tcPr>
          <w:p>
            <w:pPr>
              <w:spacing w:after="0"/>
              <w:rPr>
                <w:sz w:val="20"/>
                <w:szCs w:val="20"/>
                <w:color w:val="auto"/>
              </w:rPr>
            </w:pPr>
          </w:p>
        </w:tc>
        <w:tc>
          <w:tcPr>
            <w:tcW w:w="140" w:type="dxa"/>
            <w:vAlign w:val="bottom"/>
            <w:tcBorders>
              <w:bottom w:val="single" w:sz="8" w:color="1A3FD6"/>
            </w:tcBorders>
          </w:tcPr>
          <w:p>
            <w:pPr>
              <w:spacing w:after="0"/>
              <w:rPr>
                <w:sz w:val="20"/>
                <w:szCs w:val="20"/>
                <w:color w:val="auto"/>
              </w:rPr>
            </w:pPr>
          </w:p>
        </w:tc>
        <w:tc>
          <w:tcPr>
            <w:tcW w:w="1140" w:type="dxa"/>
            <w:vAlign w:val="bottom"/>
            <w:tcBorders>
              <w:bottom w:val="single" w:sz="8" w:color="1A3FD6"/>
            </w:tcBorders>
          </w:tcPr>
          <w:p>
            <w:pPr>
              <w:jc w:val="right"/>
              <w:spacing w:after="0"/>
              <w:rPr>
                <w:sz w:val="20"/>
                <w:szCs w:val="20"/>
                <w:color w:val="auto"/>
              </w:rPr>
            </w:pPr>
            <w:r>
              <w:rPr>
                <w:rFonts w:ascii="Arial" w:cs="Arial" w:eastAsia="Arial" w:hAnsi="Arial"/>
                <w:sz w:val="16"/>
                <w:szCs w:val="16"/>
                <w:color w:val="auto"/>
              </w:rPr>
              <w:t>(68,094)</w:t>
            </w:r>
          </w:p>
        </w:tc>
        <w:tc>
          <w:tcPr>
            <w:tcW w:w="100" w:type="dxa"/>
            <w:vAlign w:val="bottom"/>
            <w:tcBorders>
              <w:bottom w:val="single" w:sz="8" w:color="EDF0FC"/>
            </w:tcBorders>
          </w:tcPr>
          <w:p>
            <w:pPr>
              <w:spacing w:after="0"/>
              <w:rPr>
                <w:sz w:val="20"/>
                <w:szCs w:val="20"/>
                <w:color w:val="auto"/>
              </w:rPr>
            </w:pPr>
          </w:p>
        </w:tc>
        <w:tc>
          <w:tcPr>
            <w:tcW w:w="140" w:type="dxa"/>
            <w:vAlign w:val="bottom"/>
            <w:tcBorders>
              <w:bottom w:val="single" w:sz="8" w:color="1A3FD6"/>
            </w:tcBorders>
          </w:tcPr>
          <w:p>
            <w:pPr>
              <w:spacing w:after="0"/>
              <w:rPr>
                <w:sz w:val="20"/>
                <w:szCs w:val="20"/>
                <w:color w:val="auto"/>
              </w:rPr>
            </w:pPr>
          </w:p>
        </w:tc>
        <w:tc>
          <w:tcPr>
            <w:tcW w:w="1140" w:type="dxa"/>
            <w:vAlign w:val="bottom"/>
            <w:tcBorders>
              <w:bottom w:val="single" w:sz="8" w:color="1A3FD6"/>
            </w:tcBorders>
          </w:tcPr>
          <w:p>
            <w:pPr>
              <w:jc w:val="right"/>
              <w:spacing w:after="0"/>
              <w:rPr>
                <w:sz w:val="20"/>
                <w:szCs w:val="20"/>
                <w:color w:val="auto"/>
              </w:rPr>
            </w:pPr>
            <w:r>
              <w:rPr>
                <w:rFonts w:ascii="Arial" w:cs="Arial" w:eastAsia="Arial" w:hAnsi="Arial"/>
                <w:sz w:val="16"/>
                <w:szCs w:val="16"/>
                <w:color w:val="auto"/>
              </w:rPr>
              <w:t>(59,278)</w:t>
            </w:r>
          </w:p>
        </w:tc>
      </w:tr>
      <w:tr>
        <w:trPr>
          <w:trHeight w:val="243"/>
        </w:trPr>
        <w:tc>
          <w:tcPr>
            <w:tcW w:w="7200" w:type="dxa"/>
            <w:vAlign w:val="bottom"/>
            <w:shd w:val="clear" w:color="auto" w:fill="EDF0FC"/>
          </w:tcPr>
          <w:p>
            <w:pPr>
              <w:ind w:left="20"/>
              <w:spacing w:after="0"/>
              <w:rPr>
                <w:sz w:val="20"/>
                <w:szCs w:val="20"/>
                <w:color w:val="auto"/>
              </w:rPr>
            </w:pPr>
            <w:r>
              <w:rPr>
                <w:rFonts w:ascii="Arial" w:cs="Arial" w:eastAsia="Arial" w:hAnsi="Arial"/>
                <w:sz w:val="16"/>
                <w:szCs w:val="16"/>
                <w:color w:val="auto"/>
              </w:rPr>
              <w:t>Capex</w:t>
            </w:r>
          </w:p>
        </w:tc>
        <w:tc>
          <w:tcPr>
            <w:tcW w:w="160" w:type="dxa"/>
            <w:vAlign w:val="bottom"/>
            <w:tcBorders>
              <w:bottom w:val="single" w:sz="8" w:color="1A3FD6"/>
            </w:tcBorders>
            <w:shd w:val="clear" w:color="auto" w:fill="EDF0FC"/>
          </w:tcPr>
          <w:p>
            <w:pPr>
              <w:spacing w:after="0"/>
              <w:rPr>
                <w:sz w:val="21"/>
                <w:szCs w:val="21"/>
                <w:color w:val="auto"/>
              </w:rPr>
            </w:pPr>
          </w:p>
        </w:tc>
        <w:tc>
          <w:tcPr>
            <w:tcW w:w="1120" w:type="dxa"/>
            <w:vAlign w:val="bottom"/>
            <w:tcBorders>
              <w:bottom w:val="single" w:sz="8" w:color="1A3FD6"/>
            </w:tcBorders>
            <w:shd w:val="clear" w:color="auto" w:fill="EDF0FC"/>
          </w:tcPr>
          <w:p>
            <w:pPr>
              <w:jc w:val="right"/>
              <w:spacing w:after="0"/>
              <w:rPr>
                <w:sz w:val="20"/>
                <w:szCs w:val="20"/>
                <w:color w:val="auto"/>
              </w:rPr>
            </w:pPr>
            <w:r>
              <w:rPr>
                <w:rFonts w:ascii="Arial" w:cs="Arial" w:eastAsia="Arial" w:hAnsi="Arial"/>
                <w:sz w:val="16"/>
                <w:szCs w:val="16"/>
                <w:color w:val="auto"/>
              </w:rPr>
              <w:t>(115,118)</w:t>
            </w:r>
          </w:p>
        </w:tc>
        <w:tc>
          <w:tcPr>
            <w:tcW w:w="100" w:type="dxa"/>
            <w:vAlign w:val="bottom"/>
            <w:shd w:val="clear" w:color="auto" w:fill="EDF0FC"/>
          </w:tcPr>
          <w:p>
            <w:pPr>
              <w:spacing w:after="0"/>
              <w:rPr>
                <w:sz w:val="21"/>
                <w:szCs w:val="21"/>
                <w:color w:val="auto"/>
              </w:rPr>
            </w:pPr>
          </w:p>
        </w:tc>
        <w:tc>
          <w:tcPr>
            <w:tcW w:w="140" w:type="dxa"/>
            <w:vAlign w:val="bottom"/>
            <w:tcBorders>
              <w:bottom w:val="single" w:sz="8" w:color="1A3FD6"/>
            </w:tcBorders>
            <w:shd w:val="clear" w:color="auto" w:fill="EDF0FC"/>
          </w:tcPr>
          <w:p>
            <w:pPr>
              <w:spacing w:after="0"/>
              <w:rPr>
                <w:sz w:val="21"/>
                <w:szCs w:val="21"/>
                <w:color w:val="auto"/>
              </w:rPr>
            </w:pPr>
          </w:p>
        </w:tc>
        <w:tc>
          <w:tcPr>
            <w:tcW w:w="1140" w:type="dxa"/>
            <w:vAlign w:val="bottom"/>
            <w:tcBorders>
              <w:bottom w:val="single" w:sz="8" w:color="1A3FD6"/>
            </w:tcBorders>
            <w:shd w:val="clear" w:color="auto" w:fill="EDF0FC"/>
          </w:tcPr>
          <w:p>
            <w:pPr>
              <w:jc w:val="right"/>
              <w:spacing w:after="0"/>
              <w:rPr>
                <w:sz w:val="20"/>
                <w:szCs w:val="20"/>
                <w:color w:val="auto"/>
              </w:rPr>
            </w:pPr>
            <w:r>
              <w:rPr>
                <w:rFonts w:ascii="Arial" w:cs="Arial" w:eastAsia="Arial" w:hAnsi="Arial"/>
                <w:sz w:val="16"/>
                <w:szCs w:val="16"/>
                <w:color w:val="auto"/>
              </w:rPr>
              <w:t>(90,851)</w:t>
            </w:r>
          </w:p>
        </w:tc>
        <w:tc>
          <w:tcPr>
            <w:tcW w:w="100" w:type="dxa"/>
            <w:vAlign w:val="bottom"/>
            <w:shd w:val="clear" w:color="auto" w:fill="EDF0FC"/>
          </w:tcPr>
          <w:p>
            <w:pPr>
              <w:spacing w:after="0"/>
              <w:rPr>
                <w:sz w:val="21"/>
                <w:szCs w:val="21"/>
                <w:color w:val="auto"/>
              </w:rPr>
            </w:pPr>
          </w:p>
        </w:tc>
        <w:tc>
          <w:tcPr>
            <w:tcW w:w="140" w:type="dxa"/>
            <w:vAlign w:val="bottom"/>
            <w:tcBorders>
              <w:bottom w:val="single" w:sz="8" w:color="1A3FD6"/>
            </w:tcBorders>
            <w:shd w:val="clear" w:color="auto" w:fill="EDF0FC"/>
          </w:tcPr>
          <w:p>
            <w:pPr>
              <w:spacing w:after="0"/>
              <w:rPr>
                <w:sz w:val="21"/>
                <w:szCs w:val="21"/>
                <w:color w:val="auto"/>
              </w:rPr>
            </w:pPr>
          </w:p>
        </w:tc>
        <w:tc>
          <w:tcPr>
            <w:tcW w:w="1140" w:type="dxa"/>
            <w:vAlign w:val="bottom"/>
            <w:tcBorders>
              <w:bottom w:val="single" w:sz="8" w:color="1A3FD6"/>
            </w:tcBorders>
            <w:shd w:val="clear" w:color="auto" w:fill="EDF0FC"/>
          </w:tcPr>
          <w:p>
            <w:pPr>
              <w:jc w:val="right"/>
              <w:spacing w:after="0"/>
              <w:rPr>
                <w:sz w:val="20"/>
                <w:szCs w:val="20"/>
                <w:color w:val="auto"/>
              </w:rPr>
            </w:pPr>
            <w:r>
              <w:rPr>
                <w:rFonts w:ascii="Arial" w:cs="Arial" w:eastAsia="Arial" w:hAnsi="Arial"/>
                <w:sz w:val="16"/>
                <w:szCs w:val="16"/>
                <w:color w:val="auto"/>
              </w:rPr>
              <w:t>(72,895)</w:t>
            </w:r>
          </w:p>
        </w:tc>
      </w:tr>
      <w:tr>
        <w:trPr>
          <w:trHeight w:val="233"/>
        </w:trPr>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Free cash flow</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1,386,509</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1,145,178</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1,022,474</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Notes Regarding the Use of Non-GAAP Financial Measures</w:t>
      </w:r>
    </w:p>
    <w:p>
      <w:pPr>
        <w:spacing w:after="0" w:line="194"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MSCI has presented supplemental non-GAAP financial measures as part of this Proxy Statement. A reconciliation is provided that reconciles each non-GAAP financial measure with the most comparable GAAP measure. The non-GAAP financial measures presented in this Proxy Statement should not be considered as alternative measures for the most directly comparable GAAP financial measures. The non-GAAP financial measures presented in this Proxy Statement are used by management to monitor the financial performance of the business, inform business decision-making and forecast future results.</w:t>
      </w:r>
    </w:p>
    <w:p>
      <w:pPr>
        <w:spacing w:after="0" w:line="65"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“Adjusted EBITDA” is defined as net income before (1) provision for income taxes, (2) other expense (income), net, (3) depreciation and amortization of property, equipment and leasehold improvements, (4) amortization of intangible assets and, at times, (5) certain other transactions or adjustments, including, when applicable, impairment related to sublease of leased property and certain acquisition-related integration and transaction costs.</w:t>
      </w:r>
    </w:p>
    <w:p>
      <w:pPr>
        <w:spacing w:after="0" w:line="5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“Adjusted net income” and “adjusted EPS” are defined as net income and diluted EPS, respectively, before the after-tax impact of: the amortization of acquired intangible assets, including the amortization of the basis difference between the cost of the equity method investment and MSCI’s share of the net assets of the investee at historical carrying value and, at times, certain other transactions or adjustments, including, when applicable, the impact related to certain acquisition-related integration and transaction costs, the impact from impairment related to sublease of leased property, the impact related to write-off of deferred fees on debt extinguishment and the impact related to gain from changes in ownership interest of investees.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“Capex” is defined as capital expenditures plus capitalized software development costs.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“Free cash flow” is defined as net cash provided by operating activities, less Capex.</w:t>
      </w:r>
    </w:p>
    <w:p>
      <w:pPr>
        <w:spacing w:after="0" w:line="11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Asset-based fees adjusted for the impact of foreign currency exchange rate fluctuations does not adjust for the impact from foreign currency exchange rate fluctuations on the underlying assets under management.</w:t>
      </w:r>
    </w:p>
    <w:p>
      <w:pPr>
        <w:spacing w:after="0" w:line="61"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We believe adjusted EBITDA is a meaningful measure of the operating performance of MSCI because it adjusts for significant one-time, unusual or non-recurring items as well as eliminates the accounting effects of certain capital spending and acquisitions that do not directly affect what management considers to be our ongoing operating performance in the period.</w:t>
      </w:r>
    </w:p>
    <w:p>
      <w:pPr>
        <w:spacing w:after="0" w:line="56"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We believe adjusted net income and adjusted EPS are meaningful measures of the performance of MSCI because they adjust for the after-tax impact of significant one-time, unusual or non-recurring items as well as eliminate the impact of any transactions that do not directly affect what management considers to be our ongoing operating performance in the period. We also exclude the after-tax impact of the amortization of acquired intangible assets and amortization of the basis difference between the cost of the equity method investment and MSCI’s share of the net assets of the investee at historical carrying value, as these non-cash amounts are significantly impacted by the timing and size of each acquisition and therefore not meaningful to the ongoing operating performance in the period.</w:t>
      </w:r>
    </w:p>
    <w:p>
      <w:pPr>
        <w:spacing w:after="0" w:line="68"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We believe that free cash flow is useful to investors because it relates the operating cash flow of MSCI to the capital that is spent to continue and improve business operations, such as investment in MSCI’s existing products. Further, free cash flow indicates our ability to strengthen MSCI’s balance sheet, repay our debt obligations, pay cash dividends and repurchase shares of our common stock.</w:t>
      </w:r>
    </w:p>
    <w:p>
      <w:pPr>
        <w:spacing w:after="0" w:line="56" w:lineRule="exact"/>
        <w:rPr>
          <w:sz w:val="20"/>
          <w:szCs w:val="20"/>
          <w:color w:val="auto"/>
        </w:rPr>
      </w:pPr>
    </w:p>
    <w:p>
      <w:pPr>
        <w:ind w:right="500"/>
        <w:spacing w:after="0" w:line="304" w:lineRule="auto"/>
        <w:rPr>
          <w:sz w:val="20"/>
          <w:szCs w:val="20"/>
          <w:color w:val="auto"/>
        </w:rPr>
      </w:pPr>
      <w:r>
        <w:rPr>
          <w:rFonts w:ascii="Arial" w:cs="Arial" w:eastAsia="Arial" w:hAnsi="Arial"/>
          <w:sz w:val="16"/>
          <w:szCs w:val="16"/>
          <w:color w:val="auto"/>
        </w:rPr>
        <w:t>We believe that the non-GAAP financial measures presented in this Proxy Statement facilitate meaningful period-to-period comparisons and provide a baseline for the evaluation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29" w:name="page130"/>
    <w:bookmarkEnd w:id="129"/>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128</w:t>
      </w:r>
      <w:r>
        <w:rPr>
          <w:sz w:val="20"/>
          <w:szCs w:val="20"/>
          <w:color w:val="auto"/>
        </w:rPr>
        <w:tab/>
      </w:r>
      <w:r>
        <w:rPr>
          <w:rFonts w:ascii="Arial" w:cs="Arial" w:eastAsia="Arial" w:hAnsi="Arial"/>
          <w:sz w:val="14"/>
          <w:szCs w:val="14"/>
          <w:b w:val="1"/>
          <w:bCs w:val="1"/>
          <w:color w:val="1A3FD6"/>
        </w:rPr>
        <w:t>2025 PROXY STATEMENT</w:t>
      </w:r>
    </w:p>
    <w:p>
      <w:pPr>
        <w:sectPr>
          <w:pgSz w:w="11900" w:h="16838" w:orient="portrait"/>
          <w:cols w:equalWidth="0" w:num="1">
            <w:col w:w="11220"/>
          </w:cols>
          <w:pgMar w:left="320" w:top="2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Adjusted EBITDA, adjusted net income, adjusted EPS, Capex and free cash flow are not defined in the same manner by all companies and may not be comparable to similarly-titled non-GAAP financial measures of other companies. These measures can differ significantly from company to company depending on, among other things, long-term strategic decisions regarding capital structure, the tax jurisdictions in which companies operate and capital investments. Accordingly, the Company’s computation of these measures may not be comparable to similarly-titled measures computed by other companies.</w:t>
      </w:r>
    </w:p>
    <w:p>
      <w:pPr>
        <w:spacing w:after="0" w:line="6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Supplemental Information Regarding Run Rate</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1A3FD6"/>
        </w:rPr>
        <w:t>Run Rate</w:t>
      </w:r>
    </w:p>
    <w:p>
      <w:pPr>
        <w:spacing w:after="0" w:line="200"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Run Rate is a key operating metric and is important because an increase or decrease in our Run Rate ultimately impacts our operating revenues over time. At the end of any period, we generally have subscription and investment product license agreements in place for a large portion of total revenues for the following 12 months. We measure the fees related to these agreements and refer to this as “Run Rate.”</w:t>
      </w:r>
    </w:p>
    <w:p>
      <w:pPr>
        <w:spacing w:after="0" w:line="62"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Run Rate estimates at a particular point in time the annualized value of the recurring revenues under our client license agreements (“Client Contracts”) for the next 12 months, assuming all Client Contracts that come up for renewal, or reach the end of the committed subscription period, are renewed and assuming then-current currency exchange rates, subject to the adjustments and exclusions described below. For any Client Contract where fees are linked to an investment product’s assets or trading volume/fees, the Run Rate calculation reflects, for ETFs, the market value on the last trading day of the period, for futures and options, the most recent quarterly volumes and/or reported exchange fees, and for other non-ETF products, the most recent client-reported assets. Run Rate does not include fees associated with “one-time” and other non-recurring transactions. In addition, we add to Run Rate the annualized fee value of recurring new sales, whether to existing or new clients, when we execute Client Contracts, even though the license start date, and associated revenue recognition, may not be effective until a later date. We remove from Run Rate the annualized fee value associated with products or services under any Client Contract when we (i) have received a notice of termination, non-renewal or an indication the client does not intend to continue their subscription during the period and (ii) have determined that such notice evidences the client’s final decision to terminate or not renew the applicable products or services, even though such termination or non-renewal may not be effective until a later date.</w:t>
      </w:r>
    </w:p>
    <w:p>
      <w:pPr>
        <w:spacing w:after="0" w:line="76"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Changes in our recurring revenues typically lag changes in Run Rate. The actual amount of recurring revenues we will realize over the following 12 months will differ from Run Rate for numerous reasons, including:</w:t>
      </w:r>
    </w:p>
    <w:p>
      <w:pPr>
        <w:spacing w:after="0" w:line="47" w:lineRule="exact"/>
        <w:rPr>
          <w:sz w:val="20"/>
          <w:szCs w:val="20"/>
          <w:color w:val="auto"/>
        </w:rPr>
      </w:pPr>
    </w:p>
    <w:p>
      <w:pPr>
        <w:ind w:left="200" w:hanging="192"/>
        <w:spacing w:after="0"/>
        <w:tabs>
          <w:tab w:leader="none" w:pos="200" w:val="left"/>
        </w:tabs>
        <w:numPr>
          <w:ilvl w:val="0"/>
          <w:numId w:val="145"/>
        </w:numPr>
        <w:rPr>
          <w:rFonts w:ascii="Arial" w:cs="Arial" w:eastAsia="Arial" w:hAnsi="Arial"/>
          <w:sz w:val="16"/>
          <w:szCs w:val="16"/>
          <w:color w:val="1A3FD6"/>
        </w:rPr>
      </w:pPr>
      <w:r>
        <w:rPr>
          <w:rFonts w:ascii="Arial" w:cs="Arial" w:eastAsia="Arial" w:hAnsi="Arial"/>
          <w:sz w:val="16"/>
          <w:szCs w:val="16"/>
          <w:color w:val="auto"/>
        </w:rPr>
        <w:t>fluctuations in revenues associated with new recurring sales;</w:t>
      </w:r>
    </w:p>
    <w:p>
      <w:pPr>
        <w:spacing w:after="0" w:line="72" w:lineRule="exact"/>
        <w:rPr>
          <w:rFonts w:ascii="Arial" w:cs="Arial" w:eastAsia="Arial" w:hAnsi="Arial"/>
          <w:sz w:val="16"/>
          <w:szCs w:val="16"/>
          <w:color w:val="1A3FD6"/>
        </w:rPr>
      </w:pPr>
    </w:p>
    <w:p>
      <w:pPr>
        <w:ind w:left="200" w:hanging="192"/>
        <w:spacing w:after="0"/>
        <w:tabs>
          <w:tab w:leader="none" w:pos="200" w:val="left"/>
        </w:tabs>
        <w:numPr>
          <w:ilvl w:val="0"/>
          <w:numId w:val="145"/>
        </w:numPr>
        <w:rPr>
          <w:rFonts w:ascii="Arial" w:cs="Arial" w:eastAsia="Arial" w:hAnsi="Arial"/>
          <w:sz w:val="16"/>
          <w:szCs w:val="16"/>
          <w:color w:val="1A3FD6"/>
        </w:rPr>
      </w:pPr>
      <w:r>
        <w:rPr>
          <w:rFonts w:ascii="Arial" w:cs="Arial" w:eastAsia="Arial" w:hAnsi="Arial"/>
          <w:sz w:val="16"/>
          <w:szCs w:val="16"/>
          <w:color w:val="auto"/>
        </w:rPr>
        <w:t>modifications, cancellations and non-renewals of existing Client Contracts, subject to specified notice requirements;</w:t>
      </w:r>
    </w:p>
    <w:p>
      <w:pPr>
        <w:spacing w:after="0" w:line="86" w:lineRule="exact"/>
        <w:rPr>
          <w:rFonts w:ascii="Arial" w:cs="Arial" w:eastAsia="Arial" w:hAnsi="Arial"/>
          <w:sz w:val="16"/>
          <w:szCs w:val="16"/>
          <w:color w:val="1A3FD6"/>
        </w:rPr>
      </w:pPr>
    </w:p>
    <w:p>
      <w:pPr>
        <w:ind w:left="200" w:right="20" w:hanging="192"/>
        <w:spacing w:after="0" w:line="308" w:lineRule="auto"/>
        <w:tabs>
          <w:tab w:leader="none" w:pos="197" w:val="left"/>
        </w:tabs>
        <w:numPr>
          <w:ilvl w:val="0"/>
          <w:numId w:val="145"/>
        </w:numPr>
        <w:rPr>
          <w:rFonts w:ascii="Arial" w:cs="Arial" w:eastAsia="Arial" w:hAnsi="Arial"/>
          <w:sz w:val="16"/>
          <w:szCs w:val="16"/>
          <w:color w:val="1A3FD6"/>
        </w:rPr>
      </w:pPr>
      <w:r>
        <w:rPr>
          <w:rFonts w:ascii="Arial" w:cs="Arial" w:eastAsia="Arial" w:hAnsi="Arial"/>
          <w:sz w:val="16"/>
          <w:szCs w:val="16"/>
          <w:color w:val="auto"/>
        </w:rPr>
        <w:t>differences between the recurring license start date and the date the Client Contract is executed due to, for example, contracts with onboarding periods or fee waiver periods;</w:t>
      </w:r>
    </w:p>
    <w:p>
      <w:pPr>
        <w:ind w:left="200" w:hanging="192"/>
        <w:spacing w:after="0" w:line="308" w:lineRule="auto"/>
        <w:tabs>
          <w:tab w:leader="none" w:pos="197" w:val="left"/>
        </w:tabs>
        <w:numPr>
          <w:ilvl w:val="0"/>
          <w:numId w:val="145"/>
        </w:numPr>
        <w:rPr>
          <w:rFonts w:ascii="Arial" w:cs="Arial" w:eastAsia="Arial" w:hAnsi="Arial"/>
          <w:sz w:val="16"/>
          <w:szCs w:val="16"/>
          <w:color w:val="1A3FD6"/>
        </w:rPr>
      </w:pPr>
      <w:r>
        <w:rPr>
          <w:rFonts w:ascii="Arial" w:cs="Arial" w:eastAsia="Arial" w:hAnsi="Arial"/>
          <w:sz w:val="16"/>
          <w:szCs w:val="16"/>
          <w:color w:val="auto"/>
        </w:rPr>
        <w:t>fluctuations in asset-based fees, which may result from changes in certain investment products’ total expense ratios, market movements, including foreign currency exchange rates, or from investment inflows into and outflows from investment products linked to our indexes;</w:t>
      </w:r>
    </w:p>
    <w:p>
      <w:pPr>
        <w:ind w:left="200" w:hanging="192"/>
        <w:spacing w:after="0"/>
        <w:tabs>
          <w:tab w:leader="none" w:pos="200" w:val="left"/>
        </w:tabs>
        <w:numPr>
          <w:ilvl w:val="0"/>
          <w:numId w:val="145"/>
        </w:numPr>
        <w:rPr>
          <w:rFonts w:ascii="Arial" w:cs="Arial" w:eastAsia="Arial" w:hAnsi="Arial"/>
          <w:sz w:val="16"/>
          <w:szCs w:val="16"/>
          <w:color w:val="1A3FD6"/>
        </w:rPr>
      </w:pPr>
      <w:r>
        <w:rPr>
          <w:rFonts w:ascii="Arial" w:cs="Arial" w:eastAsia="Arial" w:hAnsi="Arial"/>
          <w:sz w:val="16"/>
          <w:szCs w:val="16"/>
          <w:color w:val="auto"/>
        </w:rPr>
        <w:t>fluctuations in fees based on trading volumes of futures and options contracts linked to our indexes;</w:t>
      </w:r>
    </w:p>
    <w:p>
      <w:pPr>
        <w:spacing w:after="0" w:line="86" w:lineRule="exact"/>
        <w:rPr>
          <w:rFonts w:ascii="Arial" w:cs="Arial" w:eastAsia="Arial" w:hAnsi="Arial"/>
          <w:sz w:val="16"/>
          <w:szCs w:val="16"/>
          <w:color w:val="1A3FD6"/>
        </w:rPr>
      </w:pPr>
    </w:p>
    <w:p>
      <w:pPr>
        <w:ind w:left="200" w:hanging="192"/>
        <w:spacing w:after="0"/>
        <w:tabs>
          <w:tab w:leader="none" w:pos="200" w:val="left"/>
        </w:tabs>
        <w:numPr>
          <w:ilvl w:val="0"/>
          <w:numId w:val="145"/>
        </w:numPr>
        <w:rPr>
          <w:rFonts w:ascii="Arial" w:cs="Arial" w:eastAsia="Arial" w:hAnsi="Arial"/>
          <w:sz w:val="16"/>
          <w:szCs w:val="16"/>
          <w:color w:val="1A3FD6"/>
        </w:rPr>
      </w:pPr>
      <w:r>
        <w:rPr>
          <w:rFonts w:ascii="Arial" w:cs="Arial" w:eastAsia="Arial" w:hAnsi="Arial"/>
          <w:sz w:val="16"/>
          <w:szCs w:val="16"/>
          <w:color w:val="auto"/>
        </w:rPr>
        <w:t>fluctuations in the number of hedge funds for which we provide investment information and risk analysis to hedge fund investors;</w:t>
      </w:r>
    </w:p>
    <w:p>
      <w:pPr>
        <w:spacing w:after="0" w:line="86" w:lineRule="exact"/>
        <w:rPr>
          <w:rFonts w:ascii="Arial" w:cs="Arial" w:eastAsia="Arial" w:hAnsi="Arial"/>
          <w:sz w:val="16"/>
          <w:szCs w:val="16"/>
          <w:color w:val="1A3FD6"/>
        </w:rPr>
      </w:pPr>
    </w:p>
    <w:p>
      <w:pPr>
        <w:ind w:left="200" w:hanging="192"/>
        <w:spacing w:after="0"/>
        <w:tabs>
          <w:tab w:leader="none" w:pos="200" w:val="left"/>
        </w:tabs>
        <w:numPr>
          <w:ilvl w:val="0"/>
          <w:numId w:val="145"/>
        </w:numPr>
        <w:rPr>
          <w:rFonts w:ascii="Arial" w:cs="Arial" w:eastAsia="Arial" w:hAnsi="Arial"/>
          <w:sz w:val="16"/>
          <w:szCs w:val="16"/>
          <w:color w:val="1A3FD6"/>
        </w:rPr>
      </w:pPr>
      <w:r>
        <w:rPr>
          <w:rFonts w:ascii="Arial" w:cs="Arial" w:eastAsia="Arial" w:hAnsi="Arial"/>
          <w:sz w:val="16"/>
          <w:szCs w:val="16"/>
          <w:color w:val="auto"/>
        </w:rPr>
        <w:t>price changes or discounts;</w:t>
      </w:r>
    </w:p>
    <w:p>
      <w:pPr>
        <w:spacing w:after="0" w:line="72" w:lineRule="exact"/>
        <w:rPr>
          <w:rFonts w:ascii="Arial" w:cs="Arial" w:eastAsia="Arial" w:hAnsi="Arial"/>
          <w:sz w:val="16"/>
          <w:szCs w:val="16"/>
          <w:color w:val="1A3FD6"/>
        </w:rPr>
      </w:pPr>
    </w:p>
    <w:p>
      <w:pPr>
        <w:ind w:left="200" w:right="100" w:hanging="192"/>
        <w:spacing w:after="0" w:line="308" w:lineRule="auto"/>
        <w:tabs>
          <w:tab w:leader="none" w:pos="197" w:val="left"/>
        </w:tabs>
        <w:numPr>
          <w:ilvl w:val="0"/>
          <w:numId w:val="145"/>
        </w:numPr>
        <w:rPr>
          <w:rFonts w:ascii="Arial" w:cs="Arial" w:eastAsia="Arial" w:hAnsi="Arial"/>
          <w:sz w:val="16"/>
          <w:szCs w:val="16"/>
          <w:color w:val="1A3FD6"/>
        </w:rPr>
      </w:pPr>
      <w:r>
        <w:rPr>
          <w:rFonts w:ascii="Arial" w:cs="Arial" w:eastAsia="Arial" w:hAnsi="Arial"/>
          <w:sz w:val="16"/>
          <w:szCs w:val="16"/>
          <w:color w:val="auto"/>
        </w:rPr>
        <w:t>revenue recognition differences under U.S. GAAP, including those related to the timing of implementation and report deliveries for certain of our products and services;</w:t>
      </w:r>
    </w:p>
    <w:p>
      <w:pPr>
        <w:ind w:left="200" w:hanging="192"/>
        <w:spacing w:after="0"/>
        <w:tabs>
          <w:tab w:leader="none" w:pos="200" w:val="left"/>
        </w:tabs>
        <w:numPr>
          <w:ilvl w:val="0"/>
          <w:numId w:val="145"/>
        </w:numPr>
        <w:rPr>
          <w:rFonts w:ascii="Arial" w:cs="Arial" w:eastAsia="Arial" w:hAnsi="Arial"/>
          <w:sz w:val="16"/>
          <w:szCs w:val="16"/>
          <w:color w:val="1A3FD6"/>
        </w:rPr>
      </w:pPr>
      <w:r>
        <w:rPr>
          <w:rFonts w:ascii="Arial" w:cs="Arial" w:eastAsia="Arial" w:hAnsi="Arial"/>
          <w:sz w:val="16"/>
          <w:szCs w:val="16"/>
          <w:color w:val="auto"/>
        </w:rPr>
        <w:t>fluctuations in foreign currency exchange rates; and</w:t>
      </w:r>
    </w:p>
    <w:p>
      <w:pPr>
        <w:spacing w:after="0" w:line="86" w:lineRule="exact"/>
        <w:rPr>
          <w:rFonts w:ascii="Arial" w:cs="Arial" w:eastAsia="Arial" w:hAnsi="Arial"/>
          <w:sz w:val="16"/>
          <w:szCs w:val="16"/>
          <w:color w:val="1A3FD6"/>
        </w:rPr>
      </w:pPr>
    </w:p>
    <w:p>
      <w:pPr>
        <w:ind w:left="200" w:hanging="192"/>
        <w:spacing w:after="0"/>
        <w:tabs>
          <w:tab w:leader="none" w:pos="200" w:val="left"/>
        </w:tabs>
        <w:numPr>
          <w:ilvl w:val="0"/>
          <w:numId w:val="145"/>
        </w:numPr>
        <w:rPr>
          <w:rFonts w:ascii="Arial" w:cs="Arial" w:eastAsia="Arial" w:hAnsi="Arial"/>
          <w:sz w:val="16"/>
          <w:szCs w:val="16"/>
          <w:color w:val="1A3FD6"/>
        </w:rPr>
      </w:pPr>
      <w:r>
        <w:rPr>
          <w:rFonts w:ascii="Arial" w:cs="Arial" w:eastAsia="Arial" w:hAnsi="Arial"/>
          <w:sz w:val="16"/>
          <w:szCs w:val="16"/>
          <w:color w:val="auto"/>
        </w:rPr>
        <w:t>the impact of acquisitions and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type w:val="continuous"/>
        </w:sectPr>
      </w:pPr>
    </w:p>
    <w:bookmarkStart w:id="130" w:name="page131"/>
    <w:bookmarkEnd w:id="130"/>
    <w:p>
      <w:pPr>
        <w:ind w:left="6620"/>
        <w:spacing w:after="0"/>
        <w:tabs>
          <w:tab w:leader="none" w:pos="1090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Annex C: MSCI Inc. 2025 Omnibus Incentive Plan | MSCI</w:t>
      </w:r>
      <w:r>
        <w:rPr>
          <w:sz w:val="20"/>
          <w:szCs w:val="20"/>
          <w:color w:val="auto"/>
        </w:rPr>
        <w:tab/>
      </w:r>
      <w:r>
        <w:rPr>
          <w:rFonts w:ascii="Arial" w:cs="Arial" w:eastAsia="Arial" w:hAnsi="Arial"/>
          <w:sz w:val="14"/>
          <w:szCs w:val="14"/>
          <w:b w:val="1"/>
          <w:bCs w:val="1"/>
          <w:color w:val="1A3FD6"/>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434975</wp:posOffset>
            </wp:positionV>
            <wp:extent cx="488315" cy="6172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488315" cy="617220"/>
                    </a:xfrm>
                    <a:prstGeom prst="rect">
                      <a:avLst/>
                    </a:prstGeom>
                    <a:noFill/>
                  </pic:spPr>
                </pic:pic>
              </a:graphicData>
            </a:graphic>
          </wp:anchor>
        </w:drawing>
      </w:r>
    </w:p>
    <w:p>
      <w:pPr>
        <w:sectPr>
          <w:pgSz w:w="11900" w:h="16838" w:orient="portrait"/>
          <w:cols w:equalWidth="0" w:num="1">
            <w:col w:w="11200"/>
          </w:cols>
          <w:pgMar w:left="320" w:top="29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380" w:right="1600"/>
        <w:spacing w:after="0" w:line="281" w:lineRule="auto"/>
        <w:rPr>
          <w:sz w:val="20"/>
          <w:szCs w:val="20"/>
          <w:color w:val="auto"/>
        </w:rPr>
      </w:pPr>
      <w:r>
        <w:rPr>
          <w:rFonts w:ascii="Arial" w:cs="Arial" w:eastAsia="Arial" w:hAnsi="Arial"/>
          <w:sz w:val="50"/>
          <w:szCs w:val="50"/>
          <w:b w:val="1"/>
          <w:bCs w:val="1"/>
          <w:color w:val="1A3FD6"/>
        </w:rPr>
        <w:t>Annex C: MSCI Inc. 2025 Omnibus Incentive Plan</w:t>
      </w:r>
    </w:p>
    <w:p>
      <w:pPr>
        <w:spacing w:after="0" w:line="376" w:lineRule="exact"/>
        <w:rPr>
          <w:sz w:val="20"/>
          <w:szCs w:val="20"/>
          <w:color w:val="auto"/>
        </w:rPr>
      </w:pPr>
    </w:p>
    <w:p>
      <w:pPr>
        <w:jc w:val="both"/>
        <w:ind w:right="280" w:firstLine="648"/>
        <w:spacing w:after="0" w:line="29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i w:val="1"/>
          <w:iCs w:val="1"/>
          <w:color w:val="auto"/>
        </w:rPr>
        <w:t>Purpose</w:t>
      </w:r>
      <w:r>
        <w:rPr>
          <w:rFonts w:ascii="Arial" w:cs="Arial" w:eastAsia="Arial" w:hAnsi="Arial"/>
          <w:sz w:val="16"/>
          <w:szCs w:val="16"/>
          <w:color w:val="auto"/>
        </w:rPr>
        <w:t>. The purpose of the MSCI Inc. 2025 Omnibus Incentive Plan (as amended from time to time, the “Plan”) is to motivate and reward employees and other individuals to perform at the highest level and contribute significantly to the success of MSCI Inc. (the “Company”), thereby furthering the best interests of the Company and its shareholders.</w:t>
      </w:r>
    </w:p>
    <w:p>
      <w:pPr>
        <w:spacing w:after="0" w:line="57"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6"/>
          <w:szCs w:val="16"/>
          <w:color w:val="auto"/>
        </w:rPr>
        <w:t>Section 2.</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 As used in the Plan, the following terms shall have the meanings set forth below:</w:t>
      </w:r>
    </w:p>
    <w:p>
      <w:pPr>
        <w:spacing w:after="0" w:line="140" w:lineRule="exact"/>
        <w:rPr>
          <w:sz w:val="20"/>
          <w:szCs w:val="20"/>
          <w:color w:val="auto"/>
        </w:rPr>
      </w:pPr>
    </w:p>
    <w:p>
      <w:pPr>
        <w:ind w:right="240" w:firstLine="656"/>
        <w:spacing w:after="0" w:line="292" w:lineRule="auto"/>
        <w:tabs>
          <w:tab w:leader="none" w:pos="1291" w:val="left"/>
        </w:tabs>
        <w:numPr>
          <w:ilvl w:val="0"/>
          <w:numId w:val="146"/>
        </w:numPr>
        <w:rPr>
          <w:rFonts w:ascii="Arial" w:cs="Arial" w:eastAsia="Arial" w:hAnsi="Arial"/>
          <w:sz w:val="16"/>
          <w:szCs w:val="16"/>
          <w:color w:val="auto"/>
        </w:rPr>
      </w:pPr>
      <w:r>
        <w:rPr>
          <w:rFonts w:ascii="Arial" w:cs="Arial" w:eastAsia="Arial" w:hAnsi="Arial"/>
          <w:sz w:val="16"/>
          <w:szCs w:val="16"/>
          <w:b w:val="1"/>
          <w:bCs w:val="1"/>
          <w:color w:val="auto"/>
        </w:rPr>
        <w:t xml:space="preserve">“Affiliate” </w:t>
      </w:r>
      <w:r>
        <w:rPr>
          <w:rFonts w:ascii="Arial" w:cs="Arial" w:eastAsia="Arial" w:hAnsi="Arial"/>
          <w:sz w:val="16"/>
          <w:szCs w:val="16"/>
          <w:color w:val="auto"/>
        </w:rPr>
        <w:t>means any entity that, directly or indirectly through one or more intermediaries controls, is controlled by or is under common</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with, the Company. Whether employment by or service with an Affiliate is included within the scope of this Plan shall be determined by the Committee.</w:t>
      </w:r>
    </w:p>
    <w:p>
      <w:pPr>
        <w:spacing w:after="0" w:line="70" w:lineRule="exact"/>
        <w:rPr>
          <w:rFonts w:ascii="Arial" w:cs="Arial" w:eastAsia="Arial" w:hAnsi="Arial"/>
          <w:sz w:val="16"/>
          <w:szCs w:val="16"/>
          <w:color w:val="auto"/>
        </w:rPr>
      </w:pPr>
    </w:p>
    <w:p>
      <w:pPr>
        <w:ind w:right="20" w:firstLine="656"/>
        <w:spacing w:after="0" w:line="304" w:lineRule="auto"/>
        <w:tabs>
          <w:tab w:leader="none" w:pos="1291" w:val="left"/>
        </w:tabs>
        <w:numPr>
          <w:ilvl w:val="0"/>
          <w:numId w:val="146"/>
        </w:numPr>
        <w:rPr>
          <w:rFonts w:ascii="Arial" w:cs="Arial" w:eastAsia="Arial" w:hAnsi="Arial"/>
          <w:sz w:val="16"/>
          <w:szCs w:val="16"/>
          <w:color w:val="auto"/>
        </w:rPr>
      </w:pPr>
      <w:r>
        <w:rPr>
          <w:rFonts w:ascii="Arial" w:cs="Arial" w:eastAsia="Arial" w:hAnsi="Arial"/>
          <w:sz w:val="16"/>
          <w:szCs w:val="16"/>
          <w:b w:val="1"/>
          <w:bCs w:val="1"/>
          <w:color w:val="auto"/>
        </w:rPr>
        <w:t xml:space="preserve">“Award” </w:t>
      </w:r>
      <w:r>
        <w:rPr>
          <w:rFonts w:ascii="Arial" w:cs="Arial" w:eastAsia="Arial" w:hAnsi="Arial"/>
          <w:sz w:val="16"/>
          <w:szCs w:val="16"/>
          <w:color w:val="auto"/>
        </w:rPr>
        <w:t>means any Option, SAR, Restricted Stock, RSU, Retainer, Performance Award, Other Cash-Based Award or Other Stock-Based</w:t>
      </w:r>
      <w:r>
        <w:rPr>
          <w:rFonts w:ascii="Arial" w:cs="Arial" w:eastAsia="Arial" w:hAnsi="Arial"/>
          <w:sz w:val="16"/>
          <w:szCs w:val="16"/>
          <w:b w:val="1"/>
          <w:bCs w:val="1"/>
          <w:color w:val="auto"/>
        </w:rPr>
        <w:t xml:space="preserve"> </w:t>
      </w:r>
      <w:r>
        <w:rPr>
          <w:rFonts w:ascii="Arial" w:cs="Arial" w:eastAsia="Arial" w:hAnsi="Arial"/>
          <w:sz w:val="16"/>
          <w:szCs w:val="16"/>
          <w:color w:val="auto"/>
        </w:rPr>
        <w:t>Award granted under the Plan.</w:t>
      </w:r>
    </w:p>
    <w:p>
      <w:pPr>
        <w:spacing w:after="0" w:line="60" w:lineRule="exact"/>
        <w:rPr>
          <w:rFonts w:ascii="Arial" w:cs="Arial" w:eastAsia="Arial" w:hAnsi="Arial"/>
          <w:sz w:val="16"/>
          <w:szCs w:val="16"/>
          <w:color w:val="auto"/>
        </w:rPr>
      </w:pPr>
    </w:p>
    <w:p>
      <w:pPr>
        <w:ind w:firstLine="656"/>
        <w:spacing w:after="0" w:line="321" w:lineRule="auto"/>
        <w:tabs>
          <w:tab w:leader="none" w:pos="1282" w:val="left"/>
        </w:tabs>
        <w:numPr>
          <w:ilvl w:val="0"/>
          <w:numId w:val="146"/>
        </w:numPr>
        <w:rPr>
          <w:rFonts w:ascii="Arial" w:cs="Arial" w:eastAsia="Arial" w:hAnsi="Arial"/>
          <w:sz w:val="16"/>
          <w:szCs w:val="16"/>
          <w:color w:val="auto"/>
        </w:rPr>
      </w:pPr>
      <w:r>
        <w:rPr>
          <w:rFonts w:ascii="Arial" w:cs="Arial" w:eastAsia="Arial" w:hAnsi="Arial"/>
          <w:sz w:val="16"/>
          <w:szCs w:val="16"/>
          <w:b w:val="1"/>
          <w:bCs w:val="1"/>
          <w:color w:val="auto"/>
        </w:rPr>
        <w:t xml:space="preserve">“Award Agreement” </w:t>
      </w:r>
      <w:r>
        <w:rPr>
          <w:rFonts w:ascii="Arial" w:cs="Arial" w:eastAsia="Arial" w:hAnsi="Arial"/>
          <w:sz w:val="16"/>
          <w:szCs w:val="16"/>
          <w:color w:val="auto"/>
        </w:rPr>
        <w:t>means any agreement, contract or other instrument or document (including in electronic form) evidencing any Award</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under the Plan, which may, but need not, be executed or acknowledged by a Participant.</w:t>
      </w:r>
    </w:p>
    <w:p>
      <w:pPr>
        <w:spacing w:after="0" w:line="34" w:lineRule="exact"/>
        <w:rPr>
          <w:rFonts w:ascii="Arial" w:cs="Arial" w:eastAsia="Arial" w:hAnsi="Arial"/>
          <w:sz w:val="16"/>
          <w:szCs w:val="16"/>
          <w:color w:val="auto"/>
        </w:rPr>
      </w:pPr>
    </w:p>
    <w:p>
      <w:pPr>
        <w:ind w:left="1280" w:hanging="624"/>
        <w:spacing w:after="0"/>
        <w:tabs>
          <w:tab w:leader="none" w:pos="1280" w:val="left"/>
        </w:tabs>
        <w:numPr>
          <w:ilvl w:val="0"/>
          <w:numId w:val="146"/>
        </w:numPr>
        <w:rPr>
          <w:rFonts w:ascii="Arial" w:cs="Arial" w:eastAsia="Arial" w:hAnsi="Arial"/>
          <w:sz w:val="16"/>
          <w:szCs w:val="16"/>
          <w:color w:val="auto"/>
        </w:rPr>
      </w:pPr>
      <w:r>
        <w:rPr>
          <w:rFonts w:ascii="Arial" w:cs="Arial" w:eastAsia="Arial" w:hAnsi="Arial"/>
          <w:sz w:val="16"/>
          <w:szCs w:val="16"/>
          <w:b w:val="1"/>
          <w:bCs w:val="1"/>
          <w:color w:val="auto"/>
        </w:rPr>
        <w:t xml:space="preserve">“Beneficial Owner” </w:t>
      </w:r>
      <w:r>
        <w:rPr>
          <w:rFonts w:ascii="Arial" w:cs="Arial" w:eastAsia="Arial" w:hAnsi="Arial"/>
          <w:sz w:val="16"/>
          <w:szCs w:val="16"/>
          <w:color w:val="auto"/>
        </w:rPr>
        <w:t>has the meaning ascribed to such term in Rule 13d-3 under the Exchange Act.</w:t>
      </w:r>
    </w:p>
    <w:p>
      <w:pPr>
        <w:spacing w:after="0" w:line="140" w:lineRule="exact"/>
        <w:rPr>
          <w:rFonts w:ascii="Arial" w:cs="Arial" w:eastAsia="Arial" w:hAnsi="Arial"/>
          <w:sz w:val="16"/>
          <w:szCs w:val="16"/>
          <w:color w:val="auto"/>
        </w:rPr>
      </w:pPr>
    </w:p>
    <w:p>
      <w:pPr>
        <w:jc w:val="both"/>
        <w:ind w:right="40" w:firstLine="656"/>
        <w:spacing w:after="0" w:line="289" w:lineRule="auto"/>
        <w:tabs>
          <w:tab w:leader="none" w:pos="1291" w:val="left"/>
        </w:tabs>
        <w:numPr>
          <w:ilvl w:val="0"/>
          <w:numId w:val="146"/>
        </w:numPr>
        <w:rPr>
          <w:rFonts w:ascii="Arial" w:cs="Arial" w:eastAsia="Arial" w:hAnsi="Arial"/>
          <w:sz w:val="16"/>
          <w:szCs w:val="16"/>
          <w:color w:val="auto"/>
        </w:rPr>
      </w:pPr>
      <w:r>
        <w:rPr>
          <w:rFonts w:ascii="Arial" w:cs="Arial" w:eastAsia="Arial" w:hAnsi="Arial"/>
          <w:sz w:val="16"/>
          <w:szCs w:val="16"/>
          <w:b w:val="1"/>
          <w:bCs w:val="1"/>
          <w:color w:val="auto"/>
        </w:rPr>
        <w:t xml:space="preserve">“Beneficiary” </w:t>
      </w:r>
      <w:r>
        <w:rPr>
          <w:rFonts w:ascii="Arial" w:cs="Arial" w:eastAsia="Arial" w:hAnsi="Arial"/>
          <w:sz w:val="16"/>
          <w:szCs w:val="16"/>
          <w:color w:val="auto"/>
        </w:rPr>
        <w:t>means a Person entitled to receive payments or other benefits or exercise rights that are available under the Plan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event of a Participant’s death. If no such Person can be named or is named by a Participant, or if no Beneficiary designated by a Participant is eligible to receive payments or other benefits or exercise rights that are available under the Plan at the Participant’s death, such Participant’s Beneficiary shall be such Participant’s estate.</w:t>
      </w:r>
    </w:p>
    <w:p>
      <w:pPr>
        <w:spacing w:after="0" w:line="58" w:lineRule="exact"/>
        <w:rPr>
          <w:rFonts w:ascii="Arial" w:cs="Arial" w:eastAsia="Arial" w:hAnsi="Arial"/>
          <w:sz w:val="16"/>
          <w:szCs w:val="16"/>
          <w:color w:val="auto"/>
        </w:rPr>
      </w:pPr>
    </w:p>
    <w:p>
      <w:pPr>
        <w:ind w:left="1280" w:hanging="624"/>
        <w:spacing w:after="0"/>
        <w:tabs>
          <w:tab w:leader="none" w:pos="1280" w:val="left"/>
        </w:tabs>
        <w:numPr>
          <w:ilvl w:val="0"/>
          <w:numId w:val="146"/>
        </w:numPr>
        <w:rPr>
          <w:rFonts w:ascii="Arial" w:cs="Arial" w:eastAsia="Arial" w:hAnsi="Arial"/>
          <w:sz w:val="16"/>
          <w:szCs w:val="16"/>
          <w:color w:val="auto"/>
        </w:rPr>
      </w:pPr>
      <w:r>
        <w:rPr>
          <w:rFonts w:ascii="Arial" w:cs="Arial" w:eastAsia="Arial" w:hAnsi="Arial"/>
          <w:sz w:val="16"/>
          <w:szCs w:val="16"/>
          <w:b w:val="1"/>
          <w:bCs w:val="1"/>
          <w:color w:val="auto"/>
        </w:rPr>
        <w:t xml:space="preserve">“Board” </w:t>
      </w:r>
      <w:r>
        <w:rPr>
          <w:rFonts w:ascii="Arial" w:cs="Arial" w:eastAsia="Arial" w:hAnsi="Arial"/>
          <w:sz w:val="16"/>
          <w:szCs w:val="16"/>
          <w:color w:val="auto"/>
        </w:rPr>
        <w:t>means the Board of Directors of the Company.</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146"/>
        </w:numPr>
        <w:rPr>
          <w:rFonts w:ascii="Arial" w:cs="Arial" w:eastAsia="Arial" w:hAnsi="Arial"/>
          <w:sz w:val="16"/>
          <w:szCs w:val="16"/>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means the occurrence of any one or more of the following events:</w:t>
      </w:r>
    </w:p>
    <w:p>
      <w:pPr>
        <w:spacing w:after="0" w:line="126" w:lineRule="exact"/>
        <w:rPr>
          <w:rFonts w:ascii="Arial" w:cs="Arial" w:eastAsia="Arial" w:hAnsi="Arial"/>
          <w:sz w:val="16"/>
          <w:szCs w:val="16"/>
          <w:color w:val="auto"/>
        </w:rPr>
      </w:pPr>
    </w:p>
    <w:p>
      <w:pPr>
        <w:ind w:left="660" w:firstLine="644"/>
        <w:spacing w:after="0" w:line="282" w:lineRule="auto"/>
        <w:tabs>
          <w:tab w:leader="none" w:pos="1938" w:val="left"/>
        </w:tabs>
        <w:numPr>
          <w:ilvl w:val="1"/>
          <w:numId w:val="146"/>
        </w:numPr>
        <w:rPr>
          <w:rFonts w:ascii="Arial" w:cs="Arial" w:eastAsia="Arial" w:hAnsi="Arial"/>
          <w:sz w:val="16"/>
          <w:szCs w:val="16"/>
          <w:color w:val="auto"/>
        </w:rPr>
      </w:pPr>
      <w:r>
        <w:rPr>
          <w:rFonts w:ascii="Arial" w:cs="Arial" w:eastAsia="Arial" w:hAnsi="Arial"/>
          <w:sz w:val="16"/>
          <w:szCs w:val="16"/>
          <w:color w:val="auto"/>
        </w:rPr>
        <w:t>any Person, other than (A) any employee plan established by the Company or any Subsidiary, (B) the Company or any of its Affiliates, (C) an underwriter temporarily holding securities pursuant to an offering of such securities, or (D) an entity owned, directly or indirectly, by stockholders of the Company in substantially the same proportions as their ownership of the Company, is (or becomes, during any 12-month period) the Beneficial Owner, directly or indirectly, of securities of the Company (not including in the securities beneficially owned by such Person any securities acquired directly from the Company or its Affiliates other than in connection with the acquisition by the Company or its Affiliates of a business) representing 30% or more of the total voting power of the stock of the Company; provided that the provisions of this subsection (i) are not intended to apply to or include as a Change in Control any transaction that is specifically excepted from the definition of Change in Control under subsection (iii) below;</w:t>
      </w:r>
    </w:p>
    <w:p>
      <w:pPr>
        <w:spacing w:after="0" w:line="66" w:lineRule="exact"/>
        <w:rPr>
          <w:rFonts w:ascii="Arial" w:cs="Arial" w:eastAsia="Arial" w:hAnsi="Arial"/>
          <w:sz w:val="16"/>
          <w:szCs w:val="16"/>
          <w:color w:val="auto"/>
        </w:rPr>
      </w:pPr>
    </w:p>
    <w:p>
      <w:pPr>
        <w:ind w:left="660" w:right="60" w:firstLine="644"/>
        <w:spacing w:after="0" w:line="280" w:lineRule="auto"/>
        <w:tabs>
          <w:tab w:leader="none" w:pos="1933" w:val="left"/>
        </w:tabs>
        <w:numPr>
          <w:ilvl w:val="1"/>
          <w:numId w:val="146"/>
        </w:numPr>
        <w:rPr>
          <w:rFonts w:ascii="Arial" w:cs="Arial" w:eastAsia="Arial" w:hAnsi="Arial"/>
          <w:sz w:val="16"/>
          <w:szCs w:val="16"/>
          <w:color w:val="auto"/>
        </w:rPr>
      </w:pPr>
      <w:r>
        <w:rPr>
          <w:rFonts w:ascii="Arial" w:cs="Arial" w:eastAsia="Arial" w:hAnsi="Arial"/>
          <w:sz w:val="16"/>
          <w:szCs w:val="16"/>
          <w:color w:val="auto"/>
        </w:rPr>
        <w:t>a change in the composition of the Board such that, during any 12-month period, the individuals who, as of the beginning of such period, constitute the Board (the “Existing Board”) cease for any reason to constitute at least 50% of the Board; provided, however, that any individual becoming a member of the Board subsequent to the beginning of such period whose election, or nomination for election by the Company’s stockholders, was approved by a vote of at least a majority of the Directors immediately prior to the date of such appointment or election shall be considered as though such individual were a member of the Existing Board; provided further, that, notwithstanding the foregoing, no individual whose initial assumption of office occurs as a result of either an actual or threatened election contest (as such terms are used in Rule 14a-11 or Regulation 14A promulgated under the Exchange Act or successor statutes or rules containing analogous concepts) or other actual or threatened solicitation of proxies or consents by or on behalf of an individual, corporation, partnership, group, associate or other entity or Person other than the Board, shall in any event be considered to be a member of the Existing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2" w:right="379" w:bottom="1440" w:gutter="0" w:footer="0" w:header="0"/>
          <w:type w:val="continuous"/>
        </w:sectPr>
      </w:pPr>
    </w:p>
    <w:bookmarkStart w:id="131" w:name="page132"/>
    <w:bookmarkEnd w:id="131"/>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130</w:t>
      </w:r>
      <w:r>
        <w:rPr>
          <w:sz w:val="20"/>
          <w:szCs w:val="20"/>
          <w:color w:val="auto"/>
        </w:rPr>
        <w:tab/>
      </w:r>
      <w:r>
        <w:rPr>
          <w:rFonts w:ascii="Arial" w:cs="Arial" w:eastAsia="Arial" w:hAnsi="Arial"/>
          <w:sz w:val="14"/>
          <w:szCs w:val="14"/>
          <w:b w:val="1"/>
          <w:bCs w:val="1"/>
          <w:color w:val="1A3FD6"/>
        </w:rPr>
        <w:t>2025 PROXY STATEMENT</w:t>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firstLine="644"/>
        <w:spacing w:after="0" w:line="278" w:lineRule="auto"/>
        <w:tabs>
          <w:tab w:leader="none" w:pos="1942"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consummation of a merger, amalgamation or consolidation of the Company or any of its Subsidiaries with any other corporation or other entity, or the issuance of voting securities in connection with a merger, amalgamation or consolidation of the Company pursuant to applicable stock exchange requirements; provided that immediately following such transaction the voting securities of the Company or such Subsidiary outstanding immediately prior thereto do not continue to represent (either by remaining outstanding or by being converted into voting securities of the surviving entity of such transaction or parent entity thereof) 50% or more of the total voting power and total fair market value of the Company’s or such Subsidiary’s stock (or, if the Company or such Subsidiary is not the surviving entity of such merger or consolidation, 50% or more of the total voting power and total fair market value of the stock of such surviving entity or parent entity thereof); and provided, further, that such a transaction effected to implement a recapitalization of the Company or any of its Subsidiaries (or similar transaction) in which no Person is or becomes the Beneficial Owner, directly or indirectly, of securities of the Company or any such Subsidiary (not including in the securities beneficially owned by such Person any securities acquired directly from the Company or its Affiliates other than in connection with the acquisition by the Company or its Affiliates of a business) representing 50% or more of either the then-outstanding Shares or the combined voting power and total fair market value of the Company’s then-outstanding voting securities shall not be considered a Change in Control; or</w:t>
      </w:r>
    </w:p>
    <w:p>
      <w:pPr>
        <w:spacing w:after="0" w:line="75" w:lineRule="exact"/>
        <w:rPr>
          <w:rFonts w:ascii="Arial" w:cs="Arial" w:eastAsia="Arial" w:hAnsi="Arial"/>
          <w:sz w:val="16"/>
          <w:szCs w:val="16"/>
          <w:color w:val="auto"/>
        </w:rPr>
      </w:pPr>
    </w:p>
    <w:p>
      <w:pPr>
        <w:ind w:left="660" w:right="120" w:firstLine="644"/>
        <w:spacing w:after="0" w:line="289" w:lineRule="auto"/>
        <w:tabs>
          <w:tab w:leader="none" w:pos="1951"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sale or disposition by the Company of all or substantially all of the Company’s assets in which any Person acquires (or has acquired during the 12-month period ending on the date of the most recent acquisition by such Person) assets from the Company that have a total gross fair market value equal to more than 50% of the total gross fair market value of all of the assets of the Company immediately prior to such acquisition or acquisitions.</w:t>
      </w:r>
    </w:p>
    <w:p>
      <w:pPr>
        <w:spacing w:after="0" w:line="72"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Notwithstanding the foregoing, (A) no Change in Control shall be deemed to have occurred if there is consummated any transaction or series of integrated transactions immediately following which the record holders of the Shares immediately prior to such transaction or series of transactions continue to have substantially the same proportionate ownership in an entity which owns substantially all of the assets of the Company immediately prior to such transaction or series of transactions, (B) for any Award or portion thereof that constitutes “deferred compensation” (as defined in Section 409A of the Code), to the extent necessary to avoid the imposition of interest or additional tax under Section 409A of the Code, no event or circumstances described in any of clauses</w:t>
      </w:r>
    </w:p>
    <w:p>
      <w:pPr>
        <w:spacing w:after="0" w:line="1" w:lineRule="exact"/>
        <w:rPr>
          <w:sz w:val="20"/>
          <w:szCs w:val="20"/>
          <w:color w:val="auto"/>
        </w:rPr>
      </w:pPr>
    </w:p>
    <w:p>
      <w:pPr>
        <w:ind w:right="80" w:firstLine="8"/>
        <w:spacing w:after="0" w:line="279" w:lineRule="auto"/>
        <w:tabs>
          <w:tab w:leader="none" w:pos="189"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through (iv) above shall constitute a Change in Control unless such event or circumstances also constitute a change in the ownership or effective control of the Company, or in the ownership of a substantial portion of the Company’s assets, as defined in Section 409A of the Code and (C) no Change in Control shall be deemed to have occurred upon the acquisition of additional control of the Company by any Person that is considered to effectively control the Company. In no event will a Change in Control be deemed to have occurred if any Participant is part of a “group” within the meaning of Section 13(d)(3) of the Exchange Act that effects a Change in Control. Terms used in the definition of a Change in Control shall be as defined or interpreted in a manner consistent with Section 409A of the Code.</w:t>
      </w:r>
    </w:p>
    <w:p>
      <w:pPr>
        <w:spacing w:after="0" w:line="81" w:lineRule="exact"/>
        <w:rPr>
          <w:rFonts w:ascii="Arial" w:cs="Arial" w:eastAsia="Arial" w:hAnsi="Arial"/>
          <w:sz w:val="16"/>
          <w:szCs w:val="16"/>
          <w:color w:val="auto"/>
        </w:rPr>
      </w:pPr>
    </w:p>
    <w:p>
      <w:pPr>
        <w:ind w:right="260" w:firstLine="656"/>
        <w:spacing w:after="0" w:line="321" w:lineRule="auto"/>
        <w:tabs>
          <w:tab w:leader="none" w:pos="1291" w:val="left"/>
        </w:tabs>
        <w:numPr>
          <w:ilvl w:val="1"/>
          <w:numId w:val="148"/>
        </w:numPr>
        <w:rPr>
          <w:rFonts w:ascii="Arial" w:cs="Arial" w:eastAsia="Arial" w:hAnsi="Arial"/>
          <w:sz w:val="16"/>
          <w:szCs w:val="16"/>
          <w:color w:val="auto"/>
        </w:rPr>
      </w:pPr>
      <w:r>
        <w:rPr>
          <w:rFonts w:ascii="Arial" w:cs="Arial" w:eastAsia="Arial" w:hAnsi="Arial"/>
          <w:sz w:val="16"/>
          <w:szCs w:val="16"/>
          <w:b w:val="1"/>
          <w:bCs w:val="1"/>
          <w:color w:val="auto"/>
        </w:rPr>
        <w:t xml:space="preserve">“Code” </w:t>
      </w:r>
      <w:r>
        <w:rPr>
          <w:rFonts w:ascii="Arial" w:cs="Arial" w:eastAsia="Arial" w:hAnsi="Arial"/>
          <w:sz w:val="16"/>
          <w:szCs w:val="16"/>
          <w:color w:val="auto"/>
        </w:rPr>
        <w:t>means the Internal Revenue Code of 1986, as amended from time to time, and the rules, regulations and guidance thereunder.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Any reference to a provision in the Code shall include any successor provision thereto.</w:t>
      </w:r>
    </w:p>
    <w:p>
      <w:pPr>
        <w:spacing w:after="0" w:line="34" w:lineRule="exact"/>
        <w:rPr>
          <w:rFonts w:ascii="Arial" w:cs="Arial" w:eastAsia="Arial" w:hAnsi="Arial"/>
          <w:sz w:val="16"/>
          <w:szCs w:val="16"/>
          <w:color w:val="auto"/>
        </w:rPr>
      </w:pPr>
    </w:p>
    <w:p>
      <w:pPr>
        <w:ind w:right="180" w:firstLine="656"/>
        <w:spacing w:after="0" w:line="321" w:lineRule="auto"/>
        <w:tabs>
          <w:tab w:leader="none" w:pos="1278" w:val="left"/>
        </w:tabs>
        <w:numPr>
          <w:ilvl w:val="1"/>
          <w:numId w:val="148"/>
        </w:numPr>
        <w:rPr>
          <w:rFonts w:ascii="Arial" w:cs="Arial" w:eastAsia="Arial" w:hAnsi="Arial"/>
          <w:sz w:val="16"/>
          <w:szCs w:val="16"/>
          <w:color w:val="auto"/>
        </w:rPr>
      </w:pPr>
      <w:r>
        <w:rPr>
          <w:rFonts w:ascii="Arial" w:cs="Arial" w:eastAsia="Arial" w:hAnsi="Arial"/>
          <w:sz w:val="16"/>
          <w:szCs w:val="16"/>
          <w:b w:val="1"/>
          <w:bCs w:val="1"/>
          <w:color w:val="auto"/>
        </w:rPr>
        <w:t xml:space="preserve">“Committee” </w:t>
      </w:r>
      <w:r>
        <w:rPr>
          <w:rFonts w:ascii="Arial" w:cs="Arial" w:eastAsia="Arial" w:hAnsi="Arial"/>
          <w:sz w:val="16"/>
          <w:szCs w:val="16"/>
          <w:color w:val="auto"/>
        </w:rPr>
        <w:t>means the compensation committee of the Board unless another committee is designated by the Board. If there is no</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committee of the Board and the Board does not designate another committee, references herein to the “Committee” shall refer to the Board.</w:t>
      </w:r>
    </w:p>
    <w:p>
      <w:pPr>
        <w:spacing w:after="0" w:line="34" w:lineRule="exact"/>
        <w:rPr>
          <w:rFonts w:ascii="Arial" w:cs="Arial" w:eastAsia="Arial" w:hAnsi="Arial"/>
          <w:sz w:val="16"/>
          <w:szCs w:val="16"/>
          <w:color w:val="auto"/>
        </w:rPr>
      </w:pPr>
    </w:p>
    <w:p>
      <w:pPr>
        <w:ind w:right="660" w:firstLine="656"/>
        <w:spacing w:after="0" w:line="321" w:lineRule="auto"/>
        <w:tabs>
          <w:tab w:leader="none" w:pos="1278" w:val="left"/>
        </w:tabs>
        <w:numPr>
          <w:ilvl w:val="1"/>
          <w:numId w:val="148"/>
        </w:numPr>
        <w:rPr>
          <w:rFonts w:ascii="Arial" w:cs="Arial" w:eastAsia="Arial" w:hAnsi="Arial"/>
          <w:sz w:val="16"/>
          <w:szCs w:val="16"/>
          <w:color w:val="auto"/>
        </w:rPr>
      </w:pPr>
      <w:r>
        <w:rPr>
          <w:rFonts w:ascii="Arial" w:cs="Arial" w:eastAsia="Arial" w:hAnsi="Arial"/>
          <w:sz w:val="16"/>
          <w:szCs w:val="16"/>
          <w:b w:val="1"/>
          <w:bCs w:val="1"/>
          <w:color w:val="auto"/>
        </w:rPr>
        <w:t xml:space="preserve">“Consultant” </w:t>
      </w:r>
      <w:r>
        <w:rPr>
          <w:rFonts w:ascii="Arial" w:cs="Arial" w:eastAsia="Arial" w:hAnsi="Arial"/>
          <w:sz w:val="16"/>
          <w:szCs w:val="16"/>
          <w:color w:val="auto"/>
        </w:rPr>
        <w:t>means any individual, including an advisor, who is providing services to the Company or any Subsidiary or who has</w:t>
      </w:r>
      <w:r>
        <w:rPr>
          <w:rFonts w:ascii="Arial" w:cs="Arial" w:eastAsia="Arial" w:hAnsi="Arial"/>
          <w:sz w:val="16"/>
          <w:szCs w:val="16"/>
          <w:b w:val="1"/>
          <w:bCs w:val="1"/>
          <w:color w:val="auto"/>
        </w:rPr>
        <w:t xml:space="preserve"> </w:t>
      </w:r>
      <w:r>
        <w:rPr>
          <w:rFonts w:ascii="Arial" w:cs="Arial" w:eastAsia="Arial" w:hAnsi="Arial"/>
          <w:sz w:val="16"/>
          <w:szCs w:val="16"/>
          <w:color w:val="auto"/>
        </w:rPr>
        <w:t>accepted an offer of service or consultancy from the Company or any Subsidiary.</w:t>
      </w:r>
    </w:p>
    <w:p>
      <w:pPr>
        <w:spacing w:after="0" w:line="47" w:lineRule="exact"/>
        <w:rPr>
          <w:rFonts w:ascii="Arial" w:cs="Arial" w:eastAsia="Arial" w:hAnsi="Arial"/>
          <w:sz w:val="16"/>
          <w:szCs w:val="16"/>
          <w:color w:val="auto"/>
        </w:rPr>
      </w:pPr>
    </w:p>
    <w:p>
      <w:pPr>
        <w:ind w:left="1300" w:hanging="644"/>
        <w:spacing w:after="0"/>
        <w:tabs>
          <w:tab w:leader="none" w:pos="1300" w:val="left"/>
        </w:tabs>
        <w:numPr>
          <w:ilvl w:val="1"/>
          <w:numId w:val="148"/>
        </w:numPr>
        <w:rPr>
          <w:rFonts w:ascii="Arial" w:cs="Arial" w:eastAsia="Arial" w:hAnsi="Arial"/>
          <w:sz w:val="16"/>
          <w:szCs w:val="16"/>
          <w:color w:val="auto"/>
        </w:rPr>
      </w:pPr>
      <w:r>
        <w:rPr>
          <w:rFonts w:ascii="Arial" w:cs="Arial" w:eastAsia="Arial" w:hAnsi="Arial"/>
          <w:sz w:val="16"/>
          <w:szCs w:val="16"/>
          <w:b w:val="1"/>
          <w:bCs w:val="1"/>
          <w:color w:val="auto"/>
        </w:rPr>
        <w:t xml:space="preserve">“Director” </w:t>
      </w:r>
      <w:r>
        <w:rPr>
          <w:rFonts w:ascii="Arial" w:cs="Arial" w:eastAsia="Arial" w:hAnsi="Arial"/>
          <w:sz w:val="16"/>
          <w:szCs w:val="16"/>
          <w:color w:val="auto"/>
        </w:rPr>
        <w:t>means any member of the Board.</w:t>
      </w:r>
    </w:p>
    <w:p>
      <w:pPr>
        <w:spacing w:after="0" w:line="126" w:lineRule="exact"/>
        <w:rPr>
          <w:rFonts w:ascii="Arial" w:cs="Arial" w:eastAsia="Arial" w:hAnsi="Arial"/>
          <w:sz w:val="16"/>
          <w:szCs w:val="16"/>
          <w:color w:val="auto"/>
        </w:rPr>
      </w:pPr>
    </w:p>
    <w:p>
      <w:pPr>
        <w:ind w:left="1280" w:hanging="624"/>
        <w:spacing w:after="0"/>
        <w:tabs>
          <w:tab w:leader="none" w:pos="1280" w:val="left"/>
        </w:tabs>
        <w:numPr>
          <w:ilvl w:val="1"/>
          <w:numId w:val="148"/>
        </w:numPr>
        <w:rPr>
          <w:rFonts w:ascii="Arial" w:cs="Arial" w:eastAsia="Arial" w:hAnsi="Arial"/>
          <w:sz w:val="16"/>
          <w:szCs w:val="16"/>
          <w:color w:val="auto"/>
        </w:rPr>
      </w:pPr>
      <w:r>
        <w:rPr>
          <w:rFonts w:ascii="Arial" w:cs="Arial" w:eastAsia="Arial" w:hAnsi="Arial"/>
          <w:sz w:val="16"/>
          <w:szCs w:val="16"/>
          <w:b w:val="1"/>
          <w:bCs w:val="1"/>
          <w:color w:val="auto"/>
        </w:rPr>
        <w:t xml:space="preserve">“Effective Date” </w:t>
      </w:r>
      <w:r>
        <w:rPr>
          <w:rFonts w:ascii="Arial" w:cs="Arial" w:eastAsia="Arial" w:hAnsi="Arial"/>
          <w:sz w:val="16"/>
          <w:szCs w:val="16"/>
          <w:color w:val="auto"/>
        </w:rPr>
        <w:t>means the date on which the Plan is approved by the shareholders of the Company.</w:t>
      </w:r>
    </w:p>
    <w:p>
      <w:pPr>
        <w:spacing w:after="0" w:line="140" w:lineRule="exact"/>
        <w:rPr>
          <w:rFonts w:ascii="Arial" w:cs="Arial" w:eastAsia="Arial" w:hAnsi="Arial"/>
          <w:sz w:val="16"/>
          <w:szCs w:val="16"/>
          <w:color w:val="auto"/>
        </w:rPr>
      </w:pPr>
    </w:p>
    <w:p>
      <w:pPr>
        <w:ind w:right="280" w:firstLine="656"/>
        <w:spacing w:after="0" w:line="292" w:lineRule="auto"/>
        <w:tabs>
          <w:tab w:leader="none" w:pos="1282" w:val="left"/>
        </w:tabs>
        <w:numPr>
          <w:ilvl w:val="1"/>
          <w:numId w:val="148"/>
        </w:numPr>
        <w:rPr>
          <w:rFonts w:ascii="Arial" w:cs="Arial" w:eastAsia="Arial" w:hAnsi="Arial"/>
          <w:sz w:val="16"/>
          <w:szCs w:val="16"/>
          <w:color w:val="auto"/>
        </w:rPr>
      </w:pPr>
      <w:r>
        <w:rPr>
          <w:rFonts w:ascii="Arial" w:cs="Arial" w:eastAsia="Arial" w:hAnsi="Arial"/>
          <w:sz w:val="16"/>
          <w:szCs w:val="16"/>
          <w:b w:val="1"/>
          <w:bCs w:val="1"/>
          <w:color w:val="auto"/>
        </w:rPr>
        <w:t xml:space="preserve">“Employee” </w:t>
      </w:r>
      <w:r>
        <w:rPr>
          <w:rFonts w:ascii="Arial" w:cs="Arial" w:eastAsia="Arial" w:hAnsi="Arial"/>
          <w:sz w:val="16"/>
          <w:szCs w:val="16"/>
          <w:color w:val="auto"/>
        </w:rPr>
        <w:t>means any individual, including any officer, employed by the Company or any Subsidiary or Affiliate or any prospective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or officer who has accepted an offer of employment from the Company or any Subsidiary or Affiliate, with the status of employment determined based upon such factors as are deemed appropriate by the Committee in its discretion, subject to any requirements of the Code or applicable laws.</w:t>
      </w:r>
    </w:p>
    <w:p>
      <w:pPr>
        <w:spacing w:after="0" w:line="70" w:lineRule="exact"/>
        <w:rPr>
          <w:rFonts w:ascii="Arial" w:cs="Arial" w:eastAsia="Arial" w:hAnsi="Arial"/>
          <w:sz w:val="16"/>
          <w:szCs w:val="16"/>
          <w:color w:val="auto"/>
        </w:rPr>
      </w:pPr>
    </w:p>
    <w:p>
      <w:pPr>
        <w:ind w:right="360" w:firstLine="656"/>
        <w:spacing w:after="0" w:line="304" w:lineRule="auto"/>
        <w:tabs>
          <w:tab w:leader="none" w:pos="1291" w:val="left"/>
        </w:tabs>
        <w:numPr>
          <w:ilvl w:val="1"/>
          <w:numId w:val="148"/>
        </w:numPr>
        <w:rPr>
          <w:rFonts w:ascii="Arial" w:cs="Arial" w:eastAsia="Arial" w:hAnsi="Arial"/>
          <w:sz w:val="16"/>
          <w:szCs w:val="16"/>
          <w:color w:val="auto"/>
        </w:rPr>
      </w:pPr>
      <w:r>
        <w:rPr>
          <w:rFonts w:ascii="Arial" w:cs="Arial" w:eastAsia="Arial" w:hAnsi="Arial"/>
          <w:sz w:val="16"/>
          <w:szCs w:val="16"/>
          <w:b w:val="1"/>
          <w:bCs w:val="1"/>
          <w:color w:val="auto"/>
        </w:rPr>
        <w:t xml:space="preserve">“Exchange Act” </w:t>
      </w:r>
      <w:r>
        <w:rPr>
          <w:rFonts w:ascii="Arial" w:cs="Arial" w:eastAsia="Arial" w:hAnsi="Arial"/>
          <w:sz w:val="16"/>
          <w:szCs w:val="16"/>
          <w:color w:val="auto"/>
        </w:rPr>
        <w:t>means the Securities Exchange Act of 1934, as amended from time to time, and the rules, regulations and guidance</w:t>
      </w:r>
      <w:r>
        <w:rPr>
          <w:rFonts w:ascii="Arial" w:cs="Arial" w:eastAsia="Arial" w:hAnsi="Arial"/>
          <w:sz w:val="16"/>
          <w:szCs w:val="16"/>
          <w:b w:val="1"/>
          <w:bCs w:val="1"/>
          <w:color w:val="auto"/>
        </w:rPr>
        <w:t xml:space="preserve"> </w:t>
      </w:r>
      <w:r>
        <w:rPr>
          <w:rFonts w:ascii="Arial" w:cs="Arial" w:eastAsia="Arial" w:hAnsi="Arial"/>
          <w:sz w:val="16"/>
          <w:szCs w:val="16"/>
          <w:color w:val="auto"/>
        </w:rPr>
        <w:t>thereunder. Any reference to a provision in the Exchange Act shall include any successor provision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132" w:name="page133"/>
    <w:bookmarkEnd w:id="132"/>
    <w:p>
      <w:pPr>
        <w:ind w:left="5964"/>
        <w:spacing w:after="0"/>
        <w:tabs>
          <w:tab w:leader="none" w:pos="10244"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Annex C: MSCI Inc. 2025 Omnibus Incentive Plan | MSCI</w:t>
      </w:r>
      <w:r>
        <w:rPr>
          <w:sz w:val="20"/>
          <w:szCs w:val="20"/>
          <w:color w:val="auto"/>
        </w:rPr>
        <w:tab/>
      </w:r>
      <w:r>
        <w:rPr>
          <w:rFonts w:ascii="Arial" w:cs="Arial" w:eastAsia="Arial" w:hAnsi="Arial"/>
          <w:sz w:val="14"/>
          <w:szCs w:val="14"/>
          <w:b w:val="1"/>
          <w:bCs w:val="1"/>
          <w:color w:val="1A3FD6"/>
        </w:rPr>
        <w:t>131</w:t>
      </w:r>
    </w:p>
    <w:p>
      <w:pPr>
        <w:sectPr>
          <w:pgSz w:w="11900" w:h="16838" w:orient="portrait"/>
          <w:cols w:equalWidth="0" w:num="1">
            <w:col w:w="10564"/>
          </w:cols>
          <w:pgMar w:left="976" w:top="2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56" w:right="60" w:firstLine="656"/>
        <w:spacing w:after="0" w:line="282" w:lineRule="auto"/>
        <w:tabs>
          <w:tab w:leader="none" w:pos="622"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 xml:space="preserve">“Fair Market Value” </w:t>
      </w:r>
      <w:r>
        <w:rPr>
          <w:rFonts w:ascii="Arial" w:cs="Arial" w:eastAsia="Arial" w:hAnsi="Arial"/>
          <w:sz w:val="16"/>
          <w:szCs w:val="16"/>
          <w:color w:val="auto"/>
        </w:rPr>
        <w:t>means (i) with respect to Shares, the closing price of a Share on the trading day immediately preceding the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(or, if there is no reported sale on such date, on the last preceding date on which any reported sale occurred), on the principal stock market or exchange on which the Shares are quoted or traded, or if Shares are not so quoted or traded, the fair market value of a Share as determined by the Committee, and (ii) with respect to any property other than Shares, the fair market value of such property determined by such methods or procedures as shall be established from time to time by the Committee.</w:t>
      </w:r>
    </w:p>
    <w:p>
      <w:pPr>
        <w:spacing w:after="0" w:line="80" w:lineRule="exact"/>
        <w:rPr>
          <w:rFonts w:ascii="Arial" w:cs="Arial" w:eastAsia="Arial" w:hAnsi="Arial"/>
          <w:sz w:val="16"/>
          <w:szCs w:val="16"/>
          <w:color w:val="auto"/>
        </w:rPr>
      </w:pPr>
    </w:p>
    <w:p>
      <w:pPr>
        <w:ind w:left="-656" w:right="100" w:firstLine="656"/>
        <w:spacing w:after="0" w:line="321" w:lineRule="auto"/>
        <w:tabs>
          <w:tab w:leader="none" w:pos="635"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 xml:space="preserve">“Incentive Stock Option” </w:t>
      </w:r>
      <w:r>
        <w:rPr>
          <w:rFonts w:ascii="Arial" w:cs="Arial" w:eastAsia="Arial" w:hAnsi="Arial"/>
          <w:sz w:val="16"/>
          <w:szCs w:val="16"/>
          <w:color w:val="auto"/>
        </w:rPr>
        <w:t>means an option representing the right to purchase Shares from the Company, granted pursuant to Section 6,</w:t>
      </w:r>
      <w:r>
        <w:rPr>
          <w:rFonts w:ascii="Arial" w:cs="Arial" w:eastAsia="Arial" w:hAnsi="Arial"/>
          <w:sz w:val="16"/>
          <w:szCs w:val="16"/>
          <w:b w:val="1"/>
          <w:bCs w:val="1"/>
          <w:color w:val="auto"/>
        </w:rPr>
        <w:t xml:space="preserve"> </w:t>
      </w:r>
      <w:r>
        <w:rPr>
          <w:rFonts w:ascii="Arial" w:cs="Arial" w:eastAsia="Arial" w:hAnsi="Arial"/>
          <w:sz w:val="16"/>
          <w:szCs w:val="16"/>
          <w:color w:val="auto"/>
        </w:rPr>
        <w:t>that meets the requirements of Section 422 of the Code.</w:t>
      </w:r>
    </w:p>
    <w:p>
      <w:pPr>
        <w:spacing w:after="0" w:line="34" w:lineRule="exact"/>
        <w:rPr>
          <w:rFonts w:ascii="Arial" w:cs="Arial" w:eastAsia="Arial" w:hAnsi="Arial"/>
          <w:sz w:val="16"/>
          <w:szCs w:val="16"/>
          <w:color w:val="auto"/>
        </w:rPr>
      </w:pPr>
    </w:p>
    <w:p>
      <w:pPr>
        <w:ind w:left="-656" w:right="400" w:firstLine="656"/>
        <w:spacing w:after="0" w:line="321" w:lineRule="auto"/>
        <w:tabs>
          <w:tab w:leader="none" w:pos="622"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 xml:space="preserve">“Intrinsic Value” </w:t>
      </w:r>
      <w:r>
        <w:rPr>
          <w:rFonts w:ascii="Arial" w:cs="Arial" w:eastAsia="Arial" w:hAnsi="Arial"/>
          <w:sz w:val="16"/>
          <w:szCs w:val="16"/>
          <w:color w:val="auto"/>
        </w:rPr>
        <w:t>with respect to an Option or SAR Award means (i) (A) the excess, if any, of the price or implied price per Share in a</w:t>
      </w:r>
      <w:r>
        <w:rPr>
          <w:rFonts w:ascii="Arial" w:cs="Arial" w:eastAsia="Arial" w:hAnsi="Arial"/>
          <w:sz w:val="16"/>
          <w:szCs w:val="16"/>
          <w:b w:val="1"/>
          <w:bCs w:val="1"/>
          <w:color w:val="auto"/>
        </w:rPr>
        <w:t xml:space="preserve"> </w:t>
      </w:r>
      <w:r>
        <w:rPr>
          <w:rFonts w:ascii="Arial" w:cs="Arial" w:eastAsia="Arial" w:hAnsi="Arial"/>
          <w:sz w:val="16"/>
          <w:szCs w:val="16"/>
          <w:color w:val="auto"/>
        </w:rPr>
        <w:t>Change in Control or other event over (B) the exercise or hurdle price of such Award multiplied by (ii) the number of Shares covered by such Award.</w:t>
      </w:r>
    </w:p>
    <w:p>
      <w:pPr>
        <w:spacing w:after="0" w:line="34" w:lineRule="exact"/>
        <w:rPr>
          <w:rFonts w:ascii="Arial" w:cs="Arial" w:eastAsia="Arial" w:hAnsi="Arial"/>
          <w:sz w:val="16"/>
          <w:szCs w:val="16"/>
          <w:color w:val="auto"/>
        </w:rPr>
      </w:pPr>
    </w:p>
    <w:p>
      <w:pPr>
        <w:ind w:left="-656" w:right="520" w:firstLine="656"/>
        <w:spacing w:after="0" w:line="321" w:lineRule="auto"/>
        <w:tabs>
          <w:tab w:leader="none" w:pos="626"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 xml:space="preserve">“Non-Qualified Stock Option” </w:t>
      </w:r>
      <w:r>
        <w:rPr>
          <w:rFonts w:ascii="Arial" w:cs="Arial" w:eastAsia="Arial" w:hAnsi="Arial"/>
          <w:sz w:val="16"/>
          <w:szCs w:val="16"/>
          <w:color w:val="auto"/>
        </w:rPr>
        <w:t>means an option representing the right to purchase Shares from the Company, granted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6, that is not an Incentive Stock Option.</w:t>
      </w:r>
    </w:p>
    <w:p>
      <w:pPr>
        <w:spacing w:after="0" w:line="47" w:lineRule="exact"/>
        <w:rPr>
          <w:rFonts w:ascii="Arial" w:cs="Arial" w:eastAsia="Arial" w:hAnsi="Arial"/>
          <w:sz w:val="16"/>
          <w:szCs w:val="16"/>
          <w:color w:val="auto"/>
        </w:rPr>
      </w:pPr>
    </w:p>
    <w:p>
      <w:pPr>
        <w:ind w:left="644" w:hanging="644"/>
        <w:spacing w:after="0"/>
        <w:tabs>
          <w:tab w:leader="none" w:pos="644"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 xml:space="preserve">“Option” </w:t>
      </w:r>
      <w:r>
        <w:rPr>
          <w:rFonts w:ascii="Arial" w:cs="Arial" w:eastAsia="Arial" w:hAnsi="Arial"/>
          <w:sz w:val="16"/>
          <w:szCs w:val="16"/>
          <w:color w:val="auto"/>
        </w:rPr>
        <w:t>means an Incentive Stock Option or a Non-Qualified Stock Option.</w:t>
      </w:r>
    </w:p>
    <w:p>
      <w:pPr>
        <w:spacing w:after="0" w:line="126" w:lineRule="exact"/>
        <w:rPr>
          <w:rFonts w:ascii="Arial" w:cs="Arial" w:eastAsia="Arial" w:hAnsi="Arial"/>
          <w:sz w:val="16"/>
          <w:szCs w:val="16"/>
          <w:color w:val="auto"/>
        </w:rPr>
      </w:pPr>
    </w:p>
    <w:p>
      <w:pPr>
        <w:ind w:left="-656" w:right="20" w:firstLine="656"/>
        <w:spacing w:after="0" w:line="321" w:lineRule="auto"/>
        <w:tabs>
          <w:tab w:leader="none" w:pos="617"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 xml:space="preserve">“Other Cash-Based Award” </w:t>
      </w:r>
      <w:r>
        <w:rPr>
          <w:rFonts w:ascii="Arial" w:cs="Arial" w:eastAsia="Arial" w:hAnsi="Arial"/>
          <w:sz w:val="16"/>
          <w:szCs w:val="16"/>
          <w:color w:val="auto"/>
        </w:rPr>
        <w:t>means an Award granted pursuant to Section 10, including cash awarded as a bonus or upon the attainment</w:t>
      </w:r>
      <w:r>
        <w:rPr>
          <w:rFonts w:ascii="Arial" w:cs="Arial" w:eastAsia="Arial" w:hAnsi="Arial"/>
          <w:sz w:val="16"/>
          <w:szCs w:val="16"/>
          <w:b w:val="1"/>
          <w:bCs w:val="1"/>
          <w:color w:val="auto"/>
        </w:rPr>
        <w:t xml:space="preserve"> </w:t>
      </w:r>
      <w:r>
        <w:rPr>
          <w:rFonts w:ascii="Arial" w:cs="Arial" w:eastAsia="Arial" w:hAnsi="Arial"/>
          <w:sz w:val="16"/>
          <w:szCs w:val="16"/>
          <w:color w:val="auto"/>
        </w:rPr>
        <w:t>of specified performance criteria or otherwise as permitted under the Plan.</w:t>
      </w:r>
    </w:p>
    <w:p>
      <w:pPr>
        <w:spacing w:after="0" w:line="34" w:lineRule="exact"/>
        <w:rPr>
          <w:rFonts w:ascii="Arial" w:cs="Arial" w:eastAsia="Arial" w:hAnsi="Arial"/>
          <w:sz w:val="16"/>
          <w:szCs w:val="16"/>
          <w:color w:val="auto"/>
        </w:rPr>
      </w:pPr>
    </w:p>
    <w:p>
      <w:pPr>
        <w:ind w:left="-656" w:firstLine="656"/>
        <w:spacing w:after="0" w:line="289" w:lineRule="auto"/>
        <w:tabs>
          <w:tab w:leader="none" w:pos="635"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 xml:space="preserve">“Other Stock-Based Award” </w:t>
      </w:r>
      <w:r>
        <w:rPr>
          <w:rFonts w:ascii="Arial" w:cs="Arial" w:eastAsia="Arial" w:hAnsi="Arial"/>
          <w:sz w:val="16"/>
          <w:szCs w:val="16"/>
          <w:color w:val="auto"/>
        </w:rPr>
        <w:t>means an Award granted pursuant to Section 10 that may be denominated or payable in, valued in whole or</w:t>
      </w:r>
      <w:r>
        <w:rPr>
          <w:rFonts w:ascii="Arial" w:cs="Arial" w:eastAsia="Arial" w:hAnsi="Arial"/>
          <w:sz w:val="16"/>
          <w:szCs w:val="16"/>
          <w:b w:val="1"/>
          <w:bCs w:val="1"/>
          <w:color w:val="auto"/>
        </w:rPr>
        <w:t xml:space="preserve"> </w:t>
      </w:r>
      <w:r>
        <w:rPr>
          <w:rFonts w:ascii="Arial" w:cs="Arial" w:eastAsia="Arial" w:hAnsi="Arial"/>
          <w:sz w:val="16"/>
          <w:szCs w:val="16"/>
          <w:color w:val="auto"/>
        </w:rPr>
        <w:t>in part by reference to, or otherwise based on, or related to, Shares or factors that may influence the value of Shares, including convertible or exchangeable debt securities, other rights convertible or exchangeable into Shares, purchase rights for Shares, dividend rights or dividend equivalent rights or Awards with value and payment contingent upon performance of the Company or business units thereof or any other factors designated by the Committee.</w:t>
      </w:r>
    </w:p>
    <w:p>
      <w:pPr>
        <w:spacing w:after="0" w:line="72" w:lineRule="exact"/>
        <w:rPr>
          <w:rFonts w:ascii="Arial" w:cs="Arial" w:eastAsia="Arial" w:hAnsi="Arial"/>
          <w:sz w:val="16"/>
          <w:szCs w:val="16"/>
          <w:color w:val="auto"/>
        </w:rPr>
      </w:pPr>
    </w:p>
    <w:p>
      <w:pPr>
        <w:ind w:left="644" w:hanging="644"/>
        <w:spacing w:after="0"/>
        <w:tabs>
          <w:tab w:leader="none" w:pos="644"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 xml:space="preserve">“Participant” </w:t>
      </w:r>
      <w:r>
        <w:rPr>
          <w:rFonts w:ascii="Arial" w:cs="Arial" w:eastAsia="Arial" w:hAnsi="Arial"/>
          <w:sz w:val="16"/>
          <w:szCs w:val="16"/>
          <w:color w:val="auto"/>
        </w:rPr>
        <w:t>means the recipient of an Award granted under the Plan.</w:t>
      </w:r>
    </w:p>
    <w:p>
      <w:pPr>
        <w:spacing w:after="0" w:line="126" w:lineRule="exact"/>
        <w:rPr>
          <w:rFonts w:ascii="Arial" w:cs="Arial" w:eastAsia="Arial" w:hAnsi="Arial"/>
          <w:sz w:val="16"/>
          <w:szCs w:val="16"/>
          <w:color w:val="auto"/>
        </w:rPr>
      </w:pPr>
    </w:p>
    <w:p>
      <w:pPr>
        <w:ind w:left="624" w:hanging="624"/>
        <w:spacing w:after="0"/>
        <w:tabs>
          <w:tab w:leader="none" w:pos="624"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 xml:space="preserve">“Performance Award” </w:t>
      </w:r>
      <w:r>
        <w:rPr>
          <w:rFonts w:ascii="Arial" w:cs="Arial" w:eastAsia="Arial" w:hAnsi="Arial"/>
          <w:sz w:val="16"/>
          <w:szCs w:val="16"/>
          <w:color w:val="auto"/>
        </w:rPr>
        <w:t>means an Award granted pursuant to Section 9.</w:t>
      </w:r>
    </w:p>
    <w:p>
      <w:pPr>
        <w:spacing w:after="0" w:line="140" w:lineRule="exact"/>
        <w:rPr>
          <w:rFonts w:ascii="Arial" w:cs="Arial" w:eastAsia="Arial" w:hAnsi="Arial"/>
          <w:sz w:val="16"/>
          <w:szCs w:val="16"/>
          <w:color w:val="auto"/>
        </w:rPr>
      </w:pPr>
    </w:p>
    <w:p>
      <w:pPr>
        <w:ind w:left="-656" w:right="660" w:firstLine="656"/>
        <w:spacing w:after="0" w:line="304" w:lineRule="auto"/>
        <w:tabs>
          <w:tab w:leader="none" w:pos="626"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 xml:space="preserve">“Performance Period” </w:t>
      </w:r>
      <w:r>
        <w:rPr>
          <w:rFonts w:ascii="Arial" w:cs="Arial" w:eastAsia="Arial" w:hAnsi="Arial"/>
          <w:sz w:val="16"/>
          <w:szCs w:val="16"/>
          <w:color w:val="auto"/>
        </w:rPr>
        <w:t>means the period established by the Committee with respect to any Performance Award during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goals specified by the Committee with respect to such Award are to be measured.</w:t>
      </w:r>
    </w:p>
    <w:p>
      <w:pPr>
        <w:spacing w:after="0" w:line="60" w:lineRule="exact"/>
        <w:rPr>
          <w:rFonts w:ascii="Arial" w:cs="Arial" w:eastAsia="Arial" w:hAnsi="Arial"/>
          <w:sz w:val="16"/>
          <w:szCs w:val="16"/>
          <w:color w:val="auto"/>
        </w:rPr>
      </w:pPr>
    </w:p>
    <w:p>
      <w:pPr>
        <w:ind w:left="-656" w:right="280" w:firstLine="656"/>
        <w:spacing w:after="0" w:line="321" w:lineRule="auto"/>
        <w:tabs>
          <w:tab w:leader="none" w:pos="640"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 xml:space="preserve">“Person” </w:t>
      </w:r>
      <w:r>
        <w:rPr>
          <w:rFonts w:ascii="Arial" w:cs="Arial" w:eastAsia="Arial" w:hAnsi="Arial"/>
          <w:sz w:val="16"/>
          <w:szCs w:val="16"/>
          <w:color w:val="auto"/>
        </w:rPr>
        <w:t>has the meaning ascribed to such term in Section 3(a)(9) of the Exchange Act and used in Sections 13(d) and 14(d) thereof,</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 “group” as defined in Section 13(d) thereof.</w:t>
      </w:r>
    </w:p>
    <w:p>
      <w:pPr>
        <w:spacing w:after="0" w:line="34" w:lineRule="exact"/>
        <w:rPr>
          <w:rFonts w:ascii="Arial" w:cs="Arial" w:eastAsia="Arial" w:hAnsi="Arial"/>
          <w:sz w:val="16"/>
          <w:szCs w:val="16"/>
          <w:color w:val="auto"/>
        </w:rPr>
      </w:pPr>
    </w:p>
    <w:p>
      <w:pPr>
        <w:ind w:left="644" w:hanging="644"/>
        <w:spacing w:after="0"/>
        <w:tabs>
          <w:tab w:leader="none" w:pos="644"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 xml:space="preserve">“Prior Plan Award” </w:t>
      </w:r>
      <w:r>
        <w:rPr>
          <w:rFonts w:ascii="Arial" w:cs="Arial" w:eastAsia="Arial" w:hAnsi="Arial"/>
          <w:sz w:val="16"/>
          <w:szCs w:val="16"/>
          <w:color w:val="auto"/>
        </w:rPr>
        <w:t>means any award that is outstanding as of the Effective Date that was previously granted under a Prior Plan.</w:t>
      </w:r>
    </w:p>
    <w:p>
      <w:pPr>
        <w:spacing w:after="0" w:line="140" w:lineRule="exact"/>
        <w:rPr>
          <w:sz w:val="20"/>
          <w:szCs w:val="20"/>
          <w:color w:val="auto"/>
        </w:rPr>
      </w:pPr>
    </w:p>
    <w:p>
      <w:pPr>
        <w:ind w:left="-656" w:right="140" w:firstLine="656"/>
        <w:spacing w:after="0" w:line="304" w:lineRule="auto"/>
        <w:tabs>
          <w:tab w:leader="none" w:pos="460" w:val="left"/>
        </w:tabs>
        <w:numPr>
          <w:ilvl w:val="0"/>
          <w:numId w:val="150"/>
        </w:numPr>
        <w:rPr>
          <w:rFonts w:ascii="Arial" w:cs="Arial" w:eastAsia="Arial" w:hAnsi="Arial"/>
          <w:sz w:val="16"/>
          <w:szCs w:val="16"/>
          <w:color w:val="auto"/>
        </w:rPr>
      </w:pPr>
      <w:r>
        <w:rPr>
          <w:rFonts w:ascii="Arial" w:cs="Arial" w:eastAsia="Arial" w:hAnsi="Arial"/>
          <w:sz w:val="16"/>
          <w:szCs w:val="16"/>
          <w:b w:val="1"/>
          <w:bCs w:val="1"/>
          <w:color w:val="auto"/>
        </w:rPr>
        <w:t xml:space="preserve">“Prior Plans” </w:t>
      </w:r>
      <w:r>
        <w:rPr>
          <w:rFonts w:ascii="Arial" w:cs="Arial" w:eastAsia="Arial" w:hAnsi="Arial"/>
          <w:sz w:val="16"/>
          <w:szCs w:val="16"/>
          <w:color w:val="auto"/>
        </w:rPr>
        <w:t>means each of the MSCI Inc. 2016 Omnibus Incentive Plan and the MSCI Inc. 2016 Non-Employee Directors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Plan, in each as amended or restated from time to time.</w:t>
      </w:r>
    </w:p>
    <w:p>
      <w:pPr>
        <w:spacing w:after="0" w:line="60" w:lineRule="exact"/>
        <w:rPr>
          <w:rFonts w:ascii="Arial" w:cs="Arial" w:eastAsia="Arial" w:hAnsi="Arial"/>
          <w:sz w:val="16"/>
          <w:szCs w:val="16"/>
          <w:color w:val="auto"/>
        </w:rPr>
      </w:pPr>
    </w:p>
    <w:p>
      <w:pPr>
        <w:ind w:left="464" w:hanging="464"/>
        <w:spacing w:after="0"/>
        <w:tabs>
          <w:tab w:leader="none" w:pos="464" w:val="left"/>
        </w:tabs>
        <w:numPr>
          <w:ilvl w:val="0"/>
          <w:numId w:val="150"/>
        </w:numPr>
        <w:rPr>
          <w:rFonts w:ascii="Arial" w:cs="Arial" w:eastAsia="Arial" w:hAnsi="Arial"/>
          <w:sz w:val="16"/>
          <w:szCs w:val="16"/>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means any Share subject to certain restrictions and forfeiture conditions, granted pursuant to Section 8.</w:t>
      </w:r>
    </w:p>
    <w:p>
      <w:pPr>
        <w:spacing w:after="0" w:line="140" w:lineRule="exact"/>
        <w:rPr>
          <w:rFonts w:ascii="Arial" w:cs="Arial" w:eastAsia="Arial" w:hAnsi="Arial"/>
          <w:sz w:val="16"/>
          <w:szCs w:val="16"/>
          <w:color w:val="auto"/>
        </w:rPr>
      </w:pPr>
    </w:p>
    <w:p>
      <w:pPr>
        <w:ind w:left="-656" w:right="60" w:firstLine="656"/>
        <w:spacing w:after="0" w:line="304" w:lineRule="auto"/>
        <w:tabs>
          <w:tab w:leader="none" w:pos="442" w:val="left"/>
        </w:tabs>
        <w:numPr>
          <w:ilvl w:val="0"/>
          <w:numId w:val="150"/>
        </w:numPr>
        <w:rPr>
          <w:rFonts w:ascii="Arial" w:cs="Arial" w:eastAsia="Arial" w:hAnsi="Arial"/>
          <w:sz w:val="16"/>
          <w:szCs w:val="16"/>
          <w:color w:val="auto"/>
        </w:rPr>
      </w:pPr>
      <w:r>
        <w:rPr>
          <w:rFonts w:ascii="Arial" w:cs="Arial" w:eastAsia="Arial" w:hAnsi="Arial"/>
          <w:sz w:val="16"/>
          <w:szCs w:val="16"/>
          <w:b w:val="1"/>
          <w:bCs w:val="1"/>
          <w:color w:val="auto"/>
        </w:rPr>
        <w:t xml:space="preserve">“Retainer” </w:t>
      </w:r>
      <w:r>
        <w:rPr>
          <w:rFonts w:ascii="Arial" w:cs="Arial" w:eastAsia="Arial" w:hAnsi="Arial"/>
          <w:sz w:val="16"/>
          <w:szCs w:val="16"/>
          <w:color w:val="auto"/>
        </w:rPr>
        <w:t>means an annual retainer payable to a non-employee Director pursuant to Section 11 for service as (i) a member of the Board or</w:t>
      </w:r>
      <w:r>
        <w:rPr>
          <w:rFonts w:ascii="Arial" w:cs="Arial" w:eastAsia="Arial" w:hAnsi="Arial"/>
          <w:sz w:val="16"/>
          <w:szCs w:val="16"/>
          <w:b w:val="1"/>
          <w:bCs w:val="1"/>
          <w:color w:val="auto"/>
        </w:rPr>
        <w:t xml:space="preserve"> </w:t>
      </w:r>
      <w:r>
        <w:rPr>
          <w:rFonts w:ascii="Arial" w:cs="Arial" w:eastAsia="Arial" w:hAnsi="Arial"/>
          <w:sz w:val="16"/>
          <w:szCs w:val="16"/>
          <w:color w:val="auto"/>
        </w:rPr>
        <w:t>a committee of the Board or (ii) chair or lead director of the Board or chair of any such committee.</w:t>
      </w:r>
    </w:p>
    <w:p>
      <w:pPr>
        <w:spacing w:after="0" w:line="60" w:lineRule="exact"/>
        <w:rPr>
          <w:rFonts w:ascii="Arial" w:cs="Arial" w:eastAsia="Arial" w:hAnsi="Arial"/>
          <w:sz w:val="16"/>
          <w:szCs w:val="16"/>
          <w:color w:val="auto"/>
        </w:rPr>
      </w:pPr>
    </w:p>
    <w:p>
      <w:pPr>
        <w:ind w:left="-656" w:right="200" w:firstLine="656"/>
        <w:spacing w:after="0" w:line="292" w:lineRule="auto"/>
        <w:tabs>
          <w:tab w:leader="none" w:pos="460" w:val="left"/>
        </w:tabs>
        <w:numPr>
          <w:ilvl w:val="0"/>
          <w:numId w:val="150"/>
        </w:numPr>
        <w:rPr>
          <w:rFonts w:ascii="Arial" w:cs="Arial" w:eastAsia="Arial" w:hAnsi="Arial"/>
          <w:sz w:val="16"/>
          <w:szCs w:val="16"/>
          <w:color w:val="auto"/>
        </w:rPr>
      </w:pPr>
      <w:r>
        <w:rPr>
          <w:rFonts w:ascii="Arial" w:cs="Arial" w:eastAsia="Arial" w:hAnsi="Arial"/>
          <w:sz w:val="16"/>
          <w:szCs w:val="16"/>
          <w:b w:val="1"/>
          <w:bCs w:val="1"/>
          <w:color w:val="auto"/>
        </w:rPr>
        <w:t xml:space="preserve">“RSU” </w:t>
      </w:r>
      <w:r>
        <w:rPr>
          <w:rFonts w:ascii="Arial" w:cs="Arial" w:eastAsia="Arial" w:hAnsi="Arial"/>
          <w:sz w:val="16"/>
          <w:szCs w:val="16"/>
          <w:color w:val="auto"/>
        </w:rPr>
        <w:t>means a contractual right granted pursuant to Section 8 that is denominated in Shares. Each RSU represents a right to receive the</w:t>
      </w:r>
      <w:r>
        <w:rPr>
          <w:rFonts w:ascii="Arial" w:cs="Arial" w:eastAsia="Arial" w:hAnsi="Arial"/>
          <w:sz w:val="16"/>
          <w:szCs w:val="16"/>
          <w:b w:val="1"/>
          <w:bCs w:val="1"/>
          <w:color w:val="auto"/>
        </w:rPr>
        <w:t xml:space="preserve"> </w:t>
      </w:r>
      <w:r>
        <w:rPr>
          <w:rFonts w:ascii="Arial" w:cs="Arial" w:eastAsia="Arial" w:hAnsi="Arial"/>
          <w:sz w:val="16"/>
          <w:szCs w:val="16"/>
          <w:color w:val="auto"/>
        </w:rPr>
        <w:t>value of one Share (or a percentage of such value) in cash, Shares or a combination thereof. Awards of RSUs may include the right to receive dividend equivalents.</w:t>
      </w:r>
    </w:p>
    <w:p>
      <w:pPr>
        <w:spacing w:after="0" w:line="70" w:lineRule="exact"/>
        <w:rPr>
          <w:rFonts w:ascii="Arial" w:cs="Arial" w:eastAsia="Arial" w:hAnsi="Arial"/>
          <w:sz w:val="16"/>
          <w:szCs w:val="16"/>
          <w:color w:val="auto"/>
        </w:rPr>
      </w:pPr>
    </w:p>
    <w:p>
      <w:pPr>
        <w:ind w:left="-656" w:right="300" w:firstLine="656"/>
        <w:spacing w:after="0" w:line="292" w:lineRule="auto"/>
        <w:tabs>
          <w:tab w:leader="none" w:pos="460" w:val="left"/>
        </w:tabs>
        <w:numPr>
          <w:ilvl w:val="0"/>
          <w:numId w:val="150"/>
        </w:numPr>
        <w:rPr>
          <w:rFonts w:ascii="Arial" w:cs="Arial" w:eastAsia="Arial" w:hAnsi="Arial"/>
          <w:sz w:val="16"/>
          <w:szCs w:val="16"/>
          <w:color w:val="auto"/>
        </w:rPr>
      </w:pPr>
      <w:r>
        <w:rPr>
          <w:rFonts w:ascii="Arial" w:cs="Arial" w:eastAsia="Arial" w:hAnsi="Arial"/>
          <w:sz w:val="16"/>
          <w:szCs w:val="16"/>
          <w:b w:val="1"/>
          <w:bCs w:val="1"/>
          <w:color w:val="auto"/>
        </w:rPr>
        <w:t xml:space="preserve">“SAR” </w:t>
      </w:r>
      <w:r>
        <w:rPr>
          <w:rFonts w:ascii="Arial" w:cs="Arial" w:eastAsia="Arial" w:hAnsi="Arial"/>
          <w:sz w:val="16"/>
          <w:szCs w:val="16"/>
          <w:color w:val="auto"/>
        </w:rPr>
        <w:t>means any right granted pursuant to Section 7 to receive upon exercise by a Participant or settlement, in cash, Shares or a</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thereof, the excess of (i) the Fair Market Value of one Share on the date of exercise or settlement over (ii) the exercise or hurdle price of the right on the date of grant.</w:t>
      </w:r>
    </w:p>
    <w:p>
      <w:pPr>
        <w:spacing w:after="0" w:line="57" w:lineRule="exact"/>
        <w:rPr>
          <w:rFonts w:ascii="Arial" w:cs="Arial" w:eastAsia="Arial" w:hAnsi="Arial"/>
          <w:sz w:val="16"/>
          <w:szCs w:val="16"/>
          <w:color w:val="auto"/>
        </w:rPr>
      </w:pPr>
    </w:p>
    <w:p>
      <w:pPr>
        <w:ind w:left="384" w:hanging="384"/>
        <w:spacing w:after="0"/>
        <w:tabs>
          <w:tab w:leader="none" w:pos="384" w:val="left"/>
        </w:tabs>
        <w:numPr>
          <w:ilvl w:val="0"/>
          <w:numId w:val="150"/>
        </w:numPr>
        <w:rPr>
          <w:rFonts w:ascii="Arial" w:cs="Arial" w:eastAsia="Arial" w:hAnsi="Arial"/>
          <w:sz w:val="16"/>
          <w:szCs w:val="16"/>
          <w:color w:val="auto"/>
        </w:rPr>
      </w:pPr>
      <w:r>
        <w:rPr>
          <w:rFonts w:ascii="Arial" w:cs="Arial" w:eastAsia="Arial" w:hAnsi="Arial"/>
          <w:sz w:val="16"/>
          <w:szCs w:val="16"/>
          <w:b w:val="1"/>
          <w:bCs w:val="1"/>
          <w:color w:val="auto"/>
        </w:rPr>
        <w:t xml:space="preserve">“SEC” </w:t>
      </w:r>
      <w:r>
        <w:rPr>
          <w:rFonts w:ascii="Arial" w:cs="Arial" w:eastAsia="Arial" w:hAnsi="Arial"/>
          <w:sz w:val="16"/>
          <w:szCs w:val="16"/>
          <w:color w:val="auto"/>
        </w:rPr>
        <w:t>means the Securities and Exchange Commission.</w:t>
      </w:r>
    </w:p>
    <w:p>
      <w:pPr>
        <w:spacing w:after="0" w:line="140" w:lineRule="exact"/>
        <w:rPr>
          <w:rFonts w:ascii="Arial" w:cs="Arial" w:eastAsia="Arial" w:hAnsi="Arial"/>
          <w:sz w:val="16"/>
          <w:szCs w:val="16"/>
          <w:color w:val="auto"/>
        </w:rPr>
      </w:pPr>
    </w:p>
    <w:p>
      <w:pPr>
        <w:ind w:left="464" w:hanging="464"/>
        <w:spacing w:after="0"/>
        <w:tabs>
          <w:tab w:leader="none" w:pos="464" w:val="left"/>
        </w:tabs>
        <w:numPr>
          <w:ilvl w:val="0"/>
          <w:numId w:val="150"/>
        </w:numPr>
        <w:rPr>
          <w:rFonts w:ascii="Arial" w:cs="Arial" w:eastAsia="Arial" w:hAnsi="Arial"/>
          <w:sz w:val="16"/>
          <w:szCs w:val="16"/>
          <w:color w:val="auto"/>
        </w:rPr>
      </w:pPr>
      <w:r>
        <w:rPr>
          <w:rFonts w:ascii="Arial" w:cs="Arial" w:eastAsia="Arial" w:hAnsi="Arial"/>
          <w:sz w:val="16"/>
          <w:szCs w:val="16"/>
          <w:b w:val="1"/>
          <w:bCs w:val="1"/>
          <w:color w:val="auto"/>
        </w:rPr>
        <w:t xml:space="preserve">“Share” </w:t>
      </w:r>
      <w:r>
        <w:rPr>
          <w:rFonts w:ascii="Arial" w:cs="Arial" w:eastAsia="Arial" w:hAnsi="Arial"/>
          <w:sz w:val="16"/>
          <w:szCs w:val="16"/>
          <w:color w:val="auto"/>
        </w:rPr>
        <w:t>means a share of the Company’s common stock, $0.01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770890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4"/>
          </w:cols>
          <w:pgMar w:left="976" w:top="292" w:right="359" w:bottom="1440" w:gutter="0" w:footer="0" w:header="0"/>
          <w:type w:val="continuous"/>
        </w:sectPr>
      </w:pPr>
    </w:p>
    <w:bookmarkStart w:id="133" w:name="page134"/>
    <w:bookmarkEnd w:id="133"/>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01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32320" cy="334010"/>
                    </a:xfrm>
                    <a:prstGeom prst="rect">
                      <a:avLst/>
                    </a:prstGeom>
                    <a:noFill/>
                  </pic:spPr>
                </pic:pic>
              </a:graphicData>
            </a:graphic>
          </wp:anchor>
        </w:drawing>
        <w:t>132</w:t>
      </w:r>
      <w:r>
        <w:rPr>
          <w:sz w:val="20"/>
          <w:szCs w:val="20"/>
          <w:color w:val="auto"/>
        </w:rPr>
        <w:tab/>
      </w:r>
      <w:r>
        <w:rPr>
          <w:rFonts w:ascii="Arial" w:cs="Arial" w:eastAsia="Arial" w:hAnsi="Arial"/>
          <w:sz w:val="14"/>
          <w:szCs w:val="14"/>
          <w:b w:val="1"/>
          <w:bCs w:val="1"/>
          <w:color w:val="1A3FD6"/>
        </w:rPr>
        <w:t>2025 PROXY STATEMENT</w:t>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580" w:firstLine="656"/>
        <w:spacing w:after="0" w:line="292" w:lineRule="auto"/>
        <w:tabs>
          <w:tab w:leader="none" w:pos="1116" w:val="left"/>
        </w:tabs>
        <w:numPr>
          <w:ilvl w:val="0"/>
          <w:numId w:val="151"/>
        </w:numPr>
        <w:rPr>
          <w:rFonts w:ascii="Arial" w:cs="Arial" w:eastAsia="Arial" w:hAnsi="Arial"/>
          <w:sz w:val="16"/>
          <w:szCs w:val="16"/>
          <w:color w:val="auto"/>
        </w:rPr>
      </w:pPr>
      <w:r>
        <w:rPr>
          <w:rFonts w:ascii="Arial" w:cs="Arial" w:eastAsia="Arial" w:hAnsi="Arial"/>
          <w:sz w:val="16"/>
          <w:szCs w:val="16"/>
          <w:b w:val="1"/>
          <w:bCs w:val="1"/>
          <w:color w:val="auto"/>
        </w:rPr>
        <w:t xml:space="preserve">“Subsidiary” </w:t>
      </w:r>
      <w:r>
        <w:rPr>
          <w:rFonts w:ascii="Arial" w:cs="Arial" w:eastAsia="Arial" w:hAnsi="Arial"/>
          <w:sz w:val="16"/>
          <w:szCs w:val="16"/>
          <w:color w:val="auto"/>
        </w:rPr>
        <w:t>means an entity of which the Company directly or indirectly holds all or a majority of the value of the outstanding equity</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interests of such entity or a majority of the voting power with respect to the voting securities of such entity. Whether employment by or service with a Subsidiary is included within the scope of this Plan shall be determined by the Committee.</w:t>
      </w:r>
    </w:p>
    <w:p>
      <w:pPr>
        <w:spacing w:after="0" w:line="70" w:lineRule="exact"/>
        <w:rPr>
          <w:rFonts w:ascii="Arial" w:cs="Arial" w:eastAsia="Arial" w:hAnsi="Arial"/>
          <w:sz w:val="16"/>
          <w:szCs w:val="16"/>
          <w:color w:val="auto"/>
        </w:rPr>
      </w:pPr>
    </w:p>
    <w:p>
      <w:pPr>
        <w:ind w:right="100" w:firstLine="656"/>
        <w:spacing w:after="0" w:line="304" w:lineRule="auto"/>
        <w:tabs>
          <w:tab w:leader="none" w:pos="1008" w:val="left"/>
        </w:tabs>
        <w:numPr>
          <w:ilvl w:val="0"/>
          <w:numId w:val="151"/>
        </w:numPr>
        <w:rPr>
          <w:rFonts w:ascii="Arial" w:cs="Arial" w:eastAsia="Arial" w:hAnsi="Arial"/>
          <w:sz w:val="16"/>
          <w:szCs w:val="16"/>
          <w:color w:val="auto"/>
        </w:rPr>
      </w:pPr>
      <w:r>
        <w:rPr>
          <w:rFonts w:ascii="Arial" w:cs="Arial" w:eastAsia="Arial" w:hAnsi="Arial"/>
          <w:sz w:val="16"/>
          <w:szCs w:val="16"/>
          <w:b w:val="1"/>
          <w:bCs w:val="1"/>
          <w:color w:val="auto"/>
        </w:rPr>
        <w:t xml:space="preserve">“Substitute Award” </w:t>
      </w:r>
      <w:r>
        <w:rPr>
          <w:rFonts w:ascii="Arial" w:cs="Arial" w:eastAsia="Arial" w:hAnsi="Arial"/>
          <w:sz w:val="16"/>
          <w:szCs w:val="16"/>
          <w:color w:val="auto"/>
        </w:rPr>
        <w:t>means an Award granted in assumption of, or in substitution for, an outstanding award previously granted by a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 business acquired by the Company or any of its Subsidiaries or with which the Company or any of its Subsidiaries combines.</w:t>
      </w:r>
    </w:p>
    <w:p>
      <w:pPr>
        <w:spacing w:after="0" w:line="60" w:lineRule="exact"/>
        <w:rPr>
          <w:rFonts w:ascii="Arial" w:cs="Arial" w:eastAsia="Arial" w:hAnsi="Arial"/>
          <w:sz w:val="16"/>
          <w:szCs w:val="16"/>
          <w:color w:val="auto"/>
        </w:rPr>
      </w:pPr>
    </w:p>
    <w:p>
      <w:pPr>
        <w:ind w:right="20" w:firstLine="656"/>
        <w:spacing w:after="0" w:line="278" w:lineRule="auto"/>
        <w:tabs>
          <w:tab w:leader="none" w:pos="1008" w:val="left"/>
        </w:tabs>
        <w:numPr>
          <w:ilvl w:val="0"/>
          <w:numId w:val="151"/>
        </w:numPr>
        <w:rPr>
          <w:rFonts w:ascii="Arial" w:cs="Arial" w:eastAsia="Arial" w:hAnsi="Arial"/>
          <w:sz w:val="16"/>
          <w:szCs w:val="16"/>
          <w:color w:val="auto"/>
        </w:rPr>
      </w:pPr>
      <w:r>
        <w:rPr>
          <w:rFonts w:ascii="Arial" w:cs="Arial" w:eastAsia="Arial" w:hAnsi="Arial"/>
          <w:sz w:val="16"/>
          <w:szCs w:val="16"/>
          <w:b w:val="1"/>
          <w:bCs w:val="1"/>
          <w:color w:val="auto"/>
        </w:rPr>
        <w:t xml:space="preserve">“Termination of Service” </w:t>
      </w:r>
      <w:r>
        <w:rPr>
          <w:rFonts w:ascii="Arial" w:cs="Arial" w:eastAsia="Arial" w:hAnsi="Arial"/>
          <w:sz w:val="16"/>
          <w:szCs w:val="16"/>
          <w:color w:val="auto"/>
        </w:rPr>
        <w:t>means, in the case of a Participant who is an Employee, cessation of the employment relationship such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is no longer an employee of the Company or any Subsidiary or Affiliate, or, in the case of a Participant who is a Consultant, Director or other service provider, the date the performance of services for the Company or any Subsidiary has ended; provided, however, that, unless the Committee determines otherwise, in the case of a Participant who is an Employee, the transfer of employment from the Company to a Subsidiary or Affiliate, from a Subsidiary or Affiliate to the Company, from one Subsidiary or Affiliate to another Subsidiary or Affiliate or the cessation of employee status but the continuation of the performance of services for the Company or a Subsidiary as a Director or Consultant shall not be deemed a cessation of service that would constitute a Termination of Service; provided, further, that, unless the Committee determines otherwise, a Termination of Service shall be deemed to occur for a Participant employed by, or performing services for, a Subsidiary when such Subsidiary ceases to be a Subsidiary unless such Participant’s employment or service continues with the Company or another Subsidiary. Notwithstanding the foregoing, with respect to any Award subject to Section 409A of the Code (and not exempt therefrom), a Termination of Service occurs when a Participant experiences a “separation of service” (as such term is defined under Section 409A of the Code).</w:t>
      </w:r>
    </w:p>
    <w:p>
      <w:pPr>
        <w:spacing w:after="0" w:line="86"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6"/>
          <w:szCs w:val="16"/>
          <w:color w:val="auto"/>
        </w:rPr>
        <w:t>Section 3.</w:t>
      </w:r>
      <w:r>
        <w:rPr>
          <w:sz w:val="20"/>
          <w:szCs w:val="20"/>
          <w:color w:val="auto"/>
        </w:rPr>
        <w:tab/>
      </w:r>
      <w:r>
        <w:rPr>
          <w:rFonts w:ascii="Arial" w:cs="Arial" w:eastAsia="Arial" w:hAnsi="Arial"/>
          <w:sz w:val="15"/>
          <w:szCs w:val="15"/>
          <w:i w:val="1"/>
          <w:iCs w:val="1"/>
          <w:color w:val="auto"/>
        </w:rPr>
        <w:t>Eligibility.</w:t>
      </w:r>
    </w:p>
    <w:p>
      <w:pPr>
        <w:spacing w:after="0" w:line="127" w:lineRule="exact"/>
        <w:rPr>
          <w:sz w:val="20"/>
          <w:szCs w:val="20"/>
          <w:color w:val="auto"/>
        </w:rPr>
      </w:pPr>
    </w:p>
    <w:p>
      <w:pPr>
        <w:jc w:val="both"/>
        <w:ind w:right="40" w:firstLine="656"/>
        <w:spacing w:after="0" w:line="292" w:lineRule="auto"/>
        <w:tabs>
          <w:tab w:leader="none" w:pos="1291"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Any Employee, non-employee Director or Consultant shall be eligible to be selected to receive an Award under the Plan, to the extent that an offer of an Award or a receipt of such Award is permitted by applicable law, stock market or exchange rules and regulations or accounting or tax rules and regulations.</w:t>
      </w:r>
    </w:p>
    <w:p>
      <w:pPr>
        <w:spacing w:after="0" w:line="70" w:lineRule="exact"/>
        <w:rPr>
          <w:rFonts w:ascii="Arial" w:cs="Arial" w:eastAsia="Arial" w:hAnsi="Arial"/>
          <w:sz w:val="16"/>
          <w:szCs w:val="16"/>
          <w:color w:val="auto"/>
        </w:rPr>
      </w:pPr>
    </w:p>
    <w:p>
      <w:pPr>
        <w:ind w:right="540" w:firstLine="656"/>
        <w:spacing w:after="0" w:line="292" w:lineRule="auto"/>
        <w:tabs>
          <w:tab w:leader="none" w:pos="1291" w:val="left"/>
        </w:tabs>
        <w:numPr>
          <w:ilvl w:val="0"/>
          <w:numId w:val="152"/>
        </w:numPr>
        <w:rPr>
          <w:rFonts w:ascii="Arial" w:cs="Arial" w:eastAsia="Arial" w:hAnsi="Arial"/>
          <w:sz w:val="16"/>
          <w:szCs w:val="16"/>
          <w:color w:val="auto"/>
        </w:rPr>
      </w:pPr>
      <w:r>
        <w:rPr>
          <w:rFonts w:ascii="Arial" w:cs="Arial" w:eastAsia="Arial" w:hAnsi="Arial"/>
          <w:sz w:val="16"/>
          <w:szCs w:val="16"/>
          <w:color w:val="auto"/>
        </w:rPr>
        <w:t>Holders of options and other types of awards granted by a company or other business that is acquired by the Company or any of its Subsidiaries or with which the Company or any of its Subsidiaries combines are eligible for grants of Substitute Awards under the Plan to the extent permitted by applicable law, stock market or exchange rules and regulations or accounting or tax rules and regulations.</w:t>
      </w:r>
    </w:p>
    <w:p>
      <w:pPr>
        <w:spacing w:after="0" w:line="71"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6"/>
          <w:szCs w:val="16"/>
          <w:color w:val="auto"/>
        </w:rPr>
        <w:t>Section 4.</w:t>
      </w:r>
      <w:r>
        <w:rPr>
          <w:sz w:val="20"/>
          <w:szCs w:val="20"/>
          <w:color w:val="auto"/>
        </w:rPr>
        <w:tab/>
      </w:r>
      <w:r>
        <w:rPr>
          <w:rFonts w:ascii="Arial" w:cs="Arial" w:eastAsia="Arial" w:hAnsi="Arial"/>
          <w:sz w:val="16"/>
          <w:szCs w:val="16"/>
          <w:i w:val="1"/>
          <w:iCs w:val="1"/>
          <w:color w:val="auto"/>
        </w:rPr>
        <w:t>Administration.</w:t>
      </w:r>
    </w:p>
    <w:p>
      <w:pPr>
        <w:spacing w:after="0" w:line="127" w:lineRule="exact"/>
        <w:rPr>
          <w:sz w:val="20"/>
          <w:szCs w:val="20"/>
          <w:color w:val="auto"/>
        </w:rPr>
      </w:pPr>
    </w:p>
    <w:p>
      <w:pPr>
        <w:ind w:firstLine="656"/>
        <w:spacing w:after="0" w:line="292" w:lineRule="auto"/>
        <w:tabs>
          <w:tab w:leader="none" w:pos="1291" w:val="left"/>
        </w:tabs>
        <w:numPr>
          <w:ilvl w:val="0"/>
          <w:numId w:val="153"/>
        </w:numPr>
        <w:rPr>
          <w:rFonts w:ascii="Arial" w:cs="Arial" w:eastAsia="Arial" w:hAnsi="Arial"/>
          <w:sz w:val="16"/>
          <w:szCs w:val="16"/>
          <w:color w:val="auto"/>
        </w:rPr>
      </w:pPr>
      <w:r>
        <w:rPr>
          <w:rFonts w:ascii="Arial" w:cs="Arial" w:eastAsia="Arial" w:hAnsi="Arial"/>
          <w:sz w:val="16"/>
          <w:szCs w:val="16"/>
          <w:i w:val="1"/>
          <w:iCs w:val="1"/>
          <w:color w:val="auto"/>
        </w:rPr>
        <w:t xml:space="preserve">Administration of the Plan. </w:t>
      </w:r>
      <w:r>
        <w:rPr>
          <w:rFonts w:ascii="Arial" w:cs="Arial" w:eastAsia="Arial" w:hAnsi="Arial"/>
          <w:sz w:val="16"/>
          <w:szCs w:val="16"/>
          <w:color w:val="auto"/>
        </w:rPr>
        <w:t>The Plan shall be administered by the Committee. All decisions of the Committee shall be final, conclusive and</w:t>
      </w:r>
      <w:r>
        <w:rPr>
          <w:rFonts w:ascii="Arial" w:cs="Arial" w:eastAsia="Arial" w:hAnsi="Arial"/>
          <w:sz w:val="16"/>
          <w:szCs w:val="16"/>
          <w:i w:val="1"/>
          <w:iCs w:val="1"/>
          <w:color w:val="auto"/>
        </w:rPr>
        <w:t xml:space="preserve"> </w:t>
      </w:r>
      <w:r>
        <w:rPr>
          <w:rFonts w:ascii="Arial" w:cs="Arial" w:eastAsia="Arial" w:hAnsi="Arial"/>
          <w:sz w:val="16"/>
          <w:szCs w:val="16"/>
          <w:color w:val="auto"/>
        </w:rPr>
        <w:t>binding upon all parties, including the Company, its shareholders, Participants and any Beneficiaries thereof. The Committee may issue rules and regulations for administration of the Plan.</w:t>
      </w:r>
    </w:p>
    <w:p>
      <w:pPr>
        <w:spacing w:after="0" w:line="70" w:lineRule="exact"/>
        <w:rPr>
          <w:rFonts w:ascii="Arial" w:cs="Arial" w:eastAsia="Arial" w:hAnsi="Arial"/>
          <w:sz w:val="16"/>
          <w:szCs w:val="16"/>
          <w:color w:val="auto"/>
        </w:rPr>
      </w:pPr>
    </w:p>
    <w:p>
      <w:pPr>
        <w:ind w:right="160" w:firstLine="656"/>
        <w:spacing w:after="0" w:line="282" w:lineRule="auto"/>
        <w:tabs>
          <w:tab w:leader="none" w:pos="1291" w:val="left"/>
        </w:tabs>
        <w:numPr>
          <w:ilvl w:val="0"/>
          <w:numId w:val="153"/>
        </w:numPr>
        <w:rPr>
          <w:rFonts w:ascii="Arial" w:cs="Arial" w:eastAsia="Arial" w:hAnsi="Arial"/>
          <w:sz w:val="16"/>
          <w:szCs w:val="16"/>
          <w:color w:val="auto"/>
        </w:rPr>
      </w:pPr>
      <w:r>
        <w:rPr>
          <w:rFonts w:ascii="Arial" w:cs="Arial" w:eastAsia="Arial" w:hAnsi="Arial"/>
          <w:sz w:val="16"/>
          <w:szCs w:val="16"/>
          <w:i w:val="1"/>
          <w:iCs w:val="1"/>
          <w:color w:val="auto"/>
        </w:rPr>
        <w:t xml:space="preserve">Delegation of Authority. </w:t>
      </w:r>
      <w:r>
        <w:rPr>
          <w:rFonts w:ascii="Arial" w:cs="Arial" w:eastAsia="Arial" w:hAnsi="Arial"/>
          <w:sz w:val="16"/>
          <w:szCs w:val="16"/>
          <w:color w:val="auto"/>
        </w:rPr>
        <w:t>To the extent permitted by applicable law, including under Section 157(c) of the Delaware General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Law, the Committee may delegate some or all of its authority under the Plan, including the authority to grant or administer Options and SARs or other Awards (except that such delegation shall not be applicable to any Award for a Person then covered by Section 16 of the Exchange Act), to one or more subcommittees of the Committee (which may consist of solely one Director) or to other persons or groups of persons as it deems necessary, appropriate or advisable under conditions or limitations that the Committee may set at the time of the delegation.</w:t>
      </w:r>
    </w:p>
    <w:p>
      <w:pPr>
        <w:spacing w:after="0" w:line="80" w:lineRule="exact"/>
        <w:rPr>
          <w:rFonts w:ascii="Arial" w:cs="Arial" w:eastAsia="Arial" w:hAnsi="Arial"/>
          <w:sz w:val="16"/>
          <w:szCs w:val="16"/>
          <w:color w:val="auto"/>
        </w:rPr>
      </w:pPr>
    </w:p>
    <w:p>
      <w:pPr>
        <w:ind w:left="1300" w:hanging="644"/>
        <w:spacing w:after="0"/>
        <w:tabs>
          <w:tab w:leader="none" w:pos="1300" w:val="left"/>
        </w:tabs>
        <w:numPr>
          <w:ilvl w:val="0"/>
          <w:numId w:val="153"/>
        </w:numPr>
        <w:rPr>
          <w:rFonts w:ascii="Arial" w:cs="Arial" w:eastAsia="Arial" w:hAnsi="Arial"/>
          <w:sz w:val="16"/>
          <w:szCs w:val="16"/>
          <w:color w:val="auto"/>
        </w:rPr>
      </w:pPr>
      <w:r>
        <w:rPr>
          <w:rFonts w:ascii="Arial" w:cs="Arial" w:eastAsia="Arial" w:hAnsi="Arial"/>
          <w:sz w:val="16"/>
          <w:szCs w:val="16"/>
          <w:i w:val="1"/>
          <w:iCs w:val="1"/>
          <w:color w:val="auto"/>
        </w:rPr>
        <w:t xml:space="preserve">Authority of Committee. </w:t>
      </w:r>
      <w:r>
        <w:rPr>
          <w:rFonts w:ascii="Arial" w:cs="Arial" w:eastAsia="Arial" w:hAnsi="Arial"/>
          <w:sz w:val="16"/>
          <w:szCs w:val="16"/>
          <w:color w:val="auto"/>
        </w:rPr>
        <w:t>Subject to the terms of the Plan and applicable law, the Committee (or its delegate) shall have full discretion and</w:t>
      </w:r>
    </w:p>
    <w:p>
      <w:pPr>
        <w:spacing w:after="0" w:line="32" w:lineRule="exact"/>
        <w:rPr>
          <w:rFonts w:ascii="Arial" w:cs="Arial" w:eastAsia="Arial" w:hAnsi="Arial"/>
          <w:sz w:val="16"/>
          <w:szCs w:val="16"/>
          <w:color w:val="auto"/>
        </w:rPr>
      </w:pPr>
    </w:p>
    <w:p>
      <w:pPr>
        <w:ind w:right="100"/>
        <w:spacing w:after="0" w:line="278" w:lineRule="auto"/>
        <w:rPr>
          <w:rFonts w:ascii="Arial" w:cs="Arial" w:eastAsia="Arial" w:hAnsi="Arial"/>
          <w:sz w:val="16"/>
          <w:szCs w:val="16"/>
          <w:color w:val="auto"/>
        </w:rPr>
      </w:pPr>
      <w:r>
        <w:rPr>
          <w:rFonts w:ascii="Arial" w:cs="Arial" w:eastAsia="Arial" w:hAnsi="Arial"/>
          <w:sz w:val="16"/>
          <w:szCs w:val="16"/>
          <w:color w:val="auto"/>
        </w:rPr>
        <w:t>authority to: (i) designate Participants; (ii) determine the type or types of Awards (including Substitute Awards) to be granted to each Participant under the Plan; (iii) determine the number of Shares to be covered by (or with respect to which payments, rights or other matters are to be calculated in connection with) Awards; (iv) determine the terms and conditions of any Award and prescribe the form of each Award Agreement which need not be identical for each Participant; (v) determine whether, to what extent and under what circumstances Awards may be settled or exercised in cash, Shares, other Awards, other property, net settlement, or any combination thereof, or canceled, forfeited or suspended, and the method or methods by which Awards may be settled, exercised, canceled, forfeited or suspended; (vi) determine whether, to what extent and under what circumstances cash, Shares, other Awards, other property and other amounts payable with respect to an Award under the Plan shall be deferred either automatically or at the election of the holder thereof or of the Committee; (vii) amend terms or conditions of any outstanding Awards; (viii) correct any defect, supply any omission and reconcile any inconsistency in the Plan or any Award, in the manner and to the extent it shall deem desirable to carry the Plan into effect; (ix) interpret and administer the Plan and any instrument or agreement relating to, or Award made under, the Plan; (x) establish, amend, suspend or waive such rules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734695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134" w:name="page135"/>
    <w:bookmarkEnd w:id="134"/>
    <w:p>
      <w:pPr>
        <w:ind w:left="6620"/>
        <w:spacing w:after="0"/>
        <w:tabs>
          <w:tab w:leader="none" w:pos="1090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Annex C: MSCI Inc. 2025 Omnibus Incentive Plan | MSCI</w:t>
      </w:r>
      <w:r>
        <w:rPr>
          <w:sz w:val="20"/>
          <w:szCs w:val="20"/>
          <w:color w:val="auto"/>
        </w:rPr>
        <w:tab/>
      </w:r>
      <w:r>
        <w:rPr>
          <w:rFonts w:ascii="Arial" w:cs="Arial" w:eastAsia="Arial" w:hAnsi="Arial"/>
          <w:sz w:val="14"/>
          <w:szCs w:val="14"/>
          <w:b w:val="1"/>
          <w:bCs w:val="1"/>
          <w:color w:val="1A3FD6"/>
        </w:rPr>
        <w:t>133</w:t>
      </w:r>
    </w:p>
    <w:p>
      <w:pPr>
        <w:sectPr>
          <w:pgSz w:w="11900" w:h="16838" w:orient="portrait"/>
          <w:cols w:equalWidth="0" w:num="1">
            <w:col w:w="11220"/>
          </w:cols>
          <w:pgMar w:left="320" w:top="2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regulations and appoint such agents, trustees, brokers, depositories and advisors and determine such terms of their engagement as it shall deem appropriate for the proper administration of the Plan and due compliance with applicable law, stock market or exchange rules and regulations or accounting or tax rules and regulations; and (xi) make any other determination and take any other action that the Committee deems necessary or desirable for the administration of the Plan and due compliance with applicable law, stock market or exchange rules and regulations or accounting or tax rules and regulations. Notwithstanding anything to the contrary contained herein, the Board may, in its sole discretion, at any time and from time to time, grant Awards or administer the Plan. In any such case, the Board shall have all of the authority and responsibility granted to the Committee herein.</w:t>
      </w:r>
    </w:p>
    <w:p>
      <w:pPr>
        <w:spacing w:after="0" w:line="80"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16"/>
          <w:szCs w:val="16"/>
          <w:color w:val="auto"/>
        </w:rPr>
        <w:t>Section 5.</w:t>
      </w:r>
      <w:r>
        <w:rPr>
          <w:sz w:val="20"/>
          <w:szCs w:val="20"/>
          <w:color w:val="auto"/>
        </w:rPr>
        <w:tab/>
      </w:r>
      <w:r>
        <w:rPr>
          <w:rFonts w:ascii="Arial" w:cs="Arial" w:eastAsia="Arial" w:hAnsi="Arial"/>
          <w:sz w:val="16"/>
          <w:szCs w:val="16"/>
          <w:i w:val="1"/>
          <w:iCs w:val="1"/>
          <w:color w:val="auto"/>
        </w:rPr>
        <w:t>Shares Available for Awards.</w:t>
      </w:r>
    </w:p>
    <w:p>
      <w:pPr>
        <w:spacing w:after="0" w:line="127" w:lineRule="exact"/>
        <w:rPr>
          <w:sz w:val="20"/>
          <w:szCs w:val="20"/>
          <w:color w:val="auto"/>
        </w:rPr>
      </w:pPr>
    </w:p>
    <w:p>
      <w:pPr>
        <w:ind w:firstLine="656"/>
        <w:spacing w:after="0" w:line="282" w:lineRule="auto"/>
        <w:tabs>
          <w:tab w:leader="none" w:pos="129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Subject to adjustment as provided in Section 5(c) and except for Substitute Awards, the maximum number of Shares available for issuance under the Plan shall not exceed in the aggregate (i) 3,621,064 Shares plus (ii) the total number of Shares remaining available for issuance under the Prior Plans as of the Effective Date. Shares underlying Substitute Awards and Shares remaining available for grant under a plan of an acquired company or of a company with which the Company or one of its Subsidiaries combines (whether by way of amalgamation, merger, sale and purchase of shares or other securities or otherwise), appropriately adjusted to reflect the acquisition or combination transaction, shall not reduce the number of Shares remaining available for grant hereunder.</w:t>
      </w:r>
    </w:p>
    <w:p>
      <w:pPr>
        <w:spacing w:after="0" w:line="25" w:lineRule="exact"/>
        <w:rPr>
          <w:rFonts w:ascii="Arial" w:cs="Arial" w:eastAsia="Arial" w:hAnsi="Arial"/>
          <w:sz w:val="16"/>
          <w:szCs w:val="16"/>
          <w:color w:val="auto"/>
        </w:rPr>
      </w:pPr>
    </w:p>
    <w:p>
      <w:pPr>
        <w:ind w:right="120" w:firstLine="656"/>
        <w:spacing w:after="0" w:line="279" w:lineRule="auto"/>
        <w:tabs>
          <w:tab w:leader="none" w:pos="129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If any Award or Prior Plan Award is forfeited, cancelled, expires, terminates or otherwise lapses or is settled in cash, in whole or in part, without the delivery of Shares, then the Shares covered by such forfeited, expired, terminated or lapsed Award or Prior Plan Award shall again be available for grant under the Plan. For the avoidance of doubt, the following will not again become available for issuance under the Plan: (i) any Shares withheld in respect of taxes relating to any Award or Prior Plan Award; (ii) any Shares tendered or withheld to pay the exercise price of Options or SARs (including any stock options or stock appreciation rights that are Prior Plan Awards); (iii) any Shares with respect to an Award repurchased by the Company using Option exercise proceeds; or (iv) any Shares subject to a SAR granted under the Plan or a Prior Plan that are not issued in connection with the stock settlement of the SAR upon the exercise thereof.</w:t>
      </w:r>
    </w:p>
    <w:p>
      <w:pPr>
        <w:spacing w:after="0" w:line="82" w:lineRule="exact"/>
        <w:rPr>
          <w:rFonts w:ascii="Arial" w:cs="Arial" w:eastAsia="Arial" w:hAnsi="Arial"/>
          <w:sz w:val="16"/>
          <w:szCs w:val="16"/>
          <w:color w:val="auto"/>
        </w:rPr>
      </w:pPr>
    </w:p>
    <w:p>
      <w:pPr>
        <w:ind w:right="20" w:firstLine="656"/>
        <w:spacing w:after="0" w:line="279" w:lineRule="auto"/>
        <w:tabs>
          <w:tab w:leader="none" w:pos="128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In the event that the Committee determines that, as a result of any dividend or other distribution (other than an ordinary dividend or distribution), recapitalization, stock split, reverse stock split, reorganization, merger, consolidation, amalgamation, separation, rights offering, split-up, spin-off, combination, repurchase or exchange of Shares or other securities of the Company, issuance of warrants or other rights to purchase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necessary in order to prevent dilution or enlargement of the benefits or potential benefits intended to be made available under the Plan, then the Committee shall, subject to compliance with Section 409A of the Code and other applicable law, adjust equitably so as to ensure no undue enrichment or harm, (including, without limitation, by payment of cash) any or all of:</w:t>
      </w:r>
    </w:p>
    <w:p>
      <w:pPr>
        <w:spacing w:after="0" w:line="84" w:lineRule="exact"/>
        <w:rPr>
          <w:rFonts w:ascii="Arial" w:cs="Arial" w:eastAsia="Arial" w:hAnsi="Arial"/>
          <w:sz w:val="16"/>
          <w:szCs w:val="16"/>
          <w:color w:val="auto"/>
        </w:rPr>
      </w:pPr>
    </w:p>
    <w:p>
      <w:pPr>
        <w:ind w:left="660" w:right="400" w:firstLine="644"/>
        <w:spacing w:after="0" w:line="304" w:lineRule="auto"/>
        <w:tabs>
          <w:tab w:leader="none" w:pos="1938" w:val="left"/>
        </w:tabs>
        <w:numPr>
          <w:ilvl w:val="1"/>
          <w:numId w:val="154"/>
        </w:numPr>
        <w:rPr>
          <w:rFonts w:ascii="Arial" w:cs="Arial" w:eastAsia="Arial" w:hAnsi="Arial"/>
          <w:sz w:val="16"/>
          <w:szCs w:val="16"/>
          <w:color w:val="auto"/>
        </w:rPr>
      </w:pPr>
      <w:r>
        <w:rPr>
          <w:rFonts w:ascii="Arial" w:cs="Arial" w:eastAsia="Arial" w:hAnsi="Arial"/>
          <w:sz w:val="16"/>
          <w:szCs w:val="16"/>
          <w:color w:val="auto"/>
        </w:rPr>
        <w:t>the number and type of Shares (or other securities) which thereafter may be made the subject of Awards, including the limits specified in Section 5(a) and Section 5(f);</w:t>
      </w:r>
    </w:p>
    <w:p>
      <w:pPr>
        <w:spacing w:after="0" w:line="60" w:lineRule="exact"/>
        <w:rPr>
          <w:rFonts w:ascii="Arial" w:cs="Arial" w:eastAsia="Arial" w:hAnsi="Arial"/>
          <w:sz w:val="16"/>
          <w:szCs w:val="16"/>
          <w:color w:val="auto"/>
        </w:rPr>
      </w:pPr>
    </w:p>
    <w:p>
      <w:pPr>
        <w:ind w:left="1920" w:hanging="616"/>
        <w:spacing w:after="0"/>
        <w:tabs>
          <w:tab w:leader="none" w:pos="192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the number and type of Shares (or other securities) subject to outstanding Awards;</w:t>
      </w:r>
    </w:p>
    <w:p>
      <w:pPr>
        <w:spacing w:after="0" w:line="126" w:lineRule="exact"/>
        <w:rPr>
          <w:rFonts w:ascii="Arial" w:cs="Arial" w:eastAsia="Arial" w:hAnsi="Arial"/>
          <w:sz w:val="16"/>
          <w:szCs w:val="16"/>
          <w:color w:val="auto"/>
        </w:rPr>
      </w:pPr>
    </w:p>
    <w:p>
      <w:pPr>
        <w:ind w:left="660" w:right="440" w:firstLine="644"/>
        <w:spacing w:after="0" w:line="321" w:lineRule="auto"/>
        <w:tabs>
          <w:tab w:leader="none" w:pos="1942" w:val="left"/>
        </w:tabs>
        <w:numPr>
          <w:ilvl w:val="1"/>
          <w:numId w:val="154"/>
        </w:numPr>
        <w:rPr>
          <w:rFonts w:ascii="Arial" w:cs="Arial" w:eastAsia="Arial" w:hAnsi="Arial"/>
          <w:sz w:val="16"/>
          <w:szCs w:val="16"/>
          <w:color w:val="auto"/>
        </w:rPr>
      </w:pPr>
      <w:r>
        <w:rPr>
          <w:rFonts w:ascii="Arial" w:cs="Arial" w:eastAsia="Arial" w:hAnsi="Arial"/>
          <w:sz w:val="16"/>
          <w:szCs w:val="16"/>
          <w:color w:val="auto"/>
        </w:rPr>
        <w:t>the grant, purchase, exercise or hurdle price with respect to any Award or, if deemed appropriate, make provision for a cash payment to the holder of an outstanding Award; and</w:t>
      </w:r>
    </w:p>
    <w:p>
      <w:pPr>
        <w:spacing w:after="0" w:line="47" w:lineRule="exact"/>
        <w:rPr>
          <w:rFonts w:ascii="Arial" w:cs="Arial" w:eastAsia="Arial" w:hAnsi="Arial"/>
          <w:sz w:val="16"/>
          <w:szCs w:val="16"/>
          <w:color w:val="auto"/>
        </w:rPr>
      </w:pPr>
    </w:p>
    <w:p>
      <w:pPr>
        <w:ind w:left="1940" w:hanging="636"/>
        <w:spacing w:after="0"/>
        <w:tabs>
          <w:tab w:leader="none" w:pos="194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the terms and conditions of any outstanding Awards, including the performance criteria of any Performance Awards;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provided, however, that the number of Shares subject to any Award denominated in Shares shall always be a whole number.</w:t>
      </w:r>
    </w:p>
    <w:p>
      <w:pPr>
        <w:spacing w:after="0" w:line="140" w:lineRule="exact"/>
        <w:rPr>
          <w:sz w:val="20"/>
          <w:szCs w:val="20"/>
          <w:color w:val="auto"/>
        </w:rPr>
      </w:pPr>
    </w:p>
    <w:p>
      <w:pPr>
        <w:ind w:right="720" w:firstLine="656"/>
        <w:spacing w:after="0" w:line="304" w:lineRule="auto"/>
        <w:tabs>
          <w:tab w:leader="none" w:pos="1278"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Any Shares delivered pursuant to an Award may consist, in whole or in part, of authorized and unissued Shares, treasury Shares (including shares repurchased or reacquired by the Company) or Shares otherwise acquired by the Company.</w:t>
      </w:r>
    </w:p>
    <w:p>
      <w:pPr>
        <w:spacing w:after="0" w:line="60" w:lineRule="exact"/>
        <w:rPr>
          <w:rFonts w:ascii="Arial" w:cs="Arial" w:eastAsia="Arial" w:hAnsi="Arial"/>
          <w:sz w:val="16"/>
          <w:szCs w:val="16"/>
          <w:color w:val="auto"/>
        </w:rPr>
      </w:pPr>
    </w:p>
    <w:p>
      <w:pPr>
        <w:ind w:right="200" w:firstLine="656"/>
        <w:spacing w:after="0" w:line="289" w:lineRule="auto"/>
        <w:tabs>
          <w:tab w:leader="none" w:pos="1291"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 Participant who is a non-employee Director may not receive compensation for any calendar year (including the calendar year in which the non-employee Director is first elected or appointed to the Board) in excess of $1,000,000 in the aggregate, including cash payments and Awards. For purposes of applying the limitation in this Section 5(e), Awards will be considered compensation in the calendar year in which the date of grant occurs and the value of such Award shall be its grant date fair value for financial reporting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719455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type w:val="continuous"/>
        </w:sectPr>
      </w:pPr>
    </w:p>
    <w:bookmarkStart w:id="135" w:name="page136"/>
    <w:bookmarkEnd w:id="135"/>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134</w:t>
      </w:r>
      <w:r>
        <w:rPr>
          <w:sz w:val="20"/>
          <w:szCs w:val="20"/>
          <w:color w:val="auto"/>
        </w:rPr>
        <w:tab/>
      </w:r>
      <w:r>
        <w:rPr>
          <w:rFonts w:ascii="Arial" w:cs="Arial" w:eastAsia="Arial" w:hAnsi="Arial"/>
          <w:sz w:val="14"/>
          <w:szCs w:val="14"/>
          <w:b w:val="1"/>
          <w:bCs w:val="1"/>
          <w:color w:val="1A3FD6"/>
        </w:rPr>
        <w:t>2025 PROXY STATEMENT</w:t>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0" w:firstLine="656"/>
        <w:spacing w:after="0" w:line="321" w:lineRule="auto"/>
        <w:tabs>
          <w:tab w:leader="none" w:pos="1273" w:val="left"/>
        </w:tabs>
        <w:numPr>
          <w:ilvl w:val="0"/>
          <w:numId w:val="156"/>
        </w:numPr>
        <w:rPr>
          <w:rFonts w:ascii="Arial" w:cs="Arial" w:eastAsia="Arial" w:hAnsi="Arial"/>
          <w:sz w:val="16"/>
          <w:szCs w:val="16"/>
          <w:color w:val="auto"/>
        </w:rPr>
      </w:pPr>
      <w:r>
        <w:rPr>
          <w:rFonts w:ascii="Arial" w:cs="Arial" w:eastAsia="Arial" w:hAnsi="Arial"/>
          <w:sz w:val="16"/>
          <w:szCs w:val="16"/>
          <w:color w:val="auto"/>
        </w:rPr>
        <w:t>Subject to adjustment as provided in Section 5(c), the maximum number of Shares available for issuance with respect to Incentive Stock Options shall be 3,621,064.</w:t>
      </w:r>
    </w:p>
    <w:p>
      <w:pPr>
        <w:spacing w:after="0" w:line="34" w:lineRule="exact"/>
        <w:rPr>
          <w:sz w:val="20"/>
          <w:szCs w:val="20"/>
          <w:color w:val="auto"/>
        </w:rPr>
      </w:pPr>
    </w:p>
    <w:p>
      <w:pPr>
        <w:ind w:right="100" w:firstLine="648"/>
        <w:spacing w:after="0" w:line="321"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i w:val="1"/>
          <w:iCs w:val="1"/>
          <w:color w:val="auto"/>
        </w:rPr>
        <w:t>Options.</w:t>
      </w:r>
      <w:r>
        <w:rPr>
          <w:rFonts w:ascii="Arial" w:cs="Arial" w:eastAsia="Arial" w:hAnsi="Arial"/>
          <w:sz w:val="16"/>
          <w:szCs w:val="16"/>
          <w:color w:val="auto"/>
        </w:rPr>
        <w:t xml:space="preserve"> The Committee is authorized to grant Options to Participants with the following terms and conditions and with such additional terms and conditions, in either case not inconsistent with the provisions of the Plan, as the Committee shall determine:</w:t>
      </w:r>
    </w:p>
    <w:p>
      <w:pPr>
        <w:spacing w:after="0" w:line="34" w:lineRule="exact"/>
        <w:rPr>
          <w:sz w:val="20"/>
          <w:szCs w:val="20"/>
          <w:color w:val="auto"/>
        </w:rPr>
      </w:pPr>
    </w:p>
    <w:p>
      <w:pPr>
        <w:ind w:right="160" w:firstLine="656"/>
        <w:spacing w:after="0" w:line="321" w:lineRule="auto"/>
        <w:tabs>
          <w:tab w:leader="none" w:pos="1291"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exercise price per Share under an Option shall be determined by the Committee at the time of grant; provided, however, that, except in the case of Substitute Awards, such exercise price shall not be less than the Fair Market Value of a Share on the date of grant of such Option.</w:t>
      </w:r>
    </w:p>
    <w:p>
      <w:pPr>
        <w:spacing w:after="0" w:line="47" w:lineRule="exact"/>
        <w:rPr>
          <w:rFonts w:ascii="Arial" w:cs="Arial" w:eastAsia="Arial" w:hAnsi="Arial"/>
          <w:sz w:val="16"/>
          <w:szCs w:val="16"/>
          <w:color w:val="auto"/>
        </w:rPr>
      </w:pPr>
    </w:p>
    <w:p>
      <w:pPr>
        <w:ind w:right="240" w:firstLine="656"/>
        <w:spacing w:after="0" w:line="304" w:lineRule="auto"/>
        <w:tabs>
          <w:tab w:leader="none" w:pos="1291"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term of each Option shall be fixed by the Committee but shall not exceed 10 years from the date of grant of such Option. Subject to Section 14, the Committee shall determine the time or times at which an Option becomes vested and exercisable in whole or in part.</w:t>
      </w:r>
    </w:p>
    <w:p>
      <w:pPr>
        <w:spacing w:after="0" w:line="60" w:lineRule="exact"/>
        <w:rPr>
          <w:rFonts w:ascii="Arial" w:cs="Arial" w:eastAsia="Arial" w:hAnsi="Arial"/>
          <w:sz w:val="16"/>
          <w:szCs w:val="16"/>
          <w:color w:val="auto"/>
        </w:rPr>
      </w:pPr>
    </w:p>
    <w:p>
      <w:pPr>
        <w:ind w:firstLine="656"/>
        <w:spacing w:after="0" w:line="289" w:lineRule="auto"/>
        <w:tabs>
          <w:tab w:leader="none" w:pos="1282"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Committee shall determine the method or methods by which, and the form or forms, including cash, Shares, other Awards, other property, net settlement, broker-assisted cashless exercise or any combination thereof, having a Fair Market Value on the exercise date equal to the exercise price of the Shares as to which the Option shall be exercised, in which payment of the exercise price with respect thereto may be made or deemed to have been made.</w:t>
      </w:r>
    </w:p>
    <w:p>
      <w:pPr>
        <w:spacing w:after="0" w:line="58" w:lineRule="exact"/>
        <w:rPr>
          <w:rFonts w:ascii="Arial" w:cs="Arial" w:eastAsia="Arial" w:hAnsi="Arial"/>
          <w:sz w:val="16"/>
          <w:szCs w:val="16"/>
          <w:color w:val="auto"/>
        </w:rPr>
      </w:pPr>
    </w:p>
    <w:p>
      <w:pPr>
        <w:ind w:right="380" w:firstLine="656"/>
        <w:spacing w:after="0" w:line="321" w:lineRule="auto"/>
        <w:tabs>
          <w:tab w:leader="none" w:pos="1278" w:val="left"/>
        </w:tabs>
        <w:numPr>
          <w:ilvl w:val="0"/>
          <w:numId w:val="157"/>
        </w:numPr>
        <w:rPr>
          <w:rFonts w:ascii="Arial" w:cs="Arial" w:eastAsia="Arial" w:hAnsi="Arial"/>
          <w:sz w:val="16"/>
          <w:szCs w:val="16"/>
          <w:color w:val="auto"/>
        </w:rPr>
      </w:pPr>
      <w:r>
        <w:rPr>
          <w:rFonts w:ascii="Arial" w:cs="Arial" w:eastAsia="Arial" w:hAnsi="Arial"/>
          <w:sz w:val="16"/>
          <w:szCs w:val="16"/>
          <w:color w:val="auto"/>
        </w:rPr>
        <w:t>No grant of Options may be accompanied by a tandem award of dividend equivalents or provide for dividends, dividend equivalents or other distributions to be paid on such Options (except as provided under Section 5(c)).</w:t>
      </w:r>
    </w:p>
    <w:p>
      <w:pPr>
        <w:spacing w:after="0" w:line="34" w:lineRule="exact"/>
        <w:rPr>
          <w:rFonts w:ascii="Arial" w:cs="Arial" w:eastAsia="Arial" w:hAnsi="Arial"/>
          <w:sz w:val="16"/>
          <w:szCs w:val="16"/>
          <w:color w:val="auto"/>
        </w:rPr>
      </w:pPr>
    </w:p>
    <w:p>
      <w:pPr>
        <w:ind w:right="200" w:firstLine="656"/>
        <w:spacing w:after="0" w:line="287" w:lineRule="auto"/>
        <w:tabs>
          <w:tab w:leader="none" w:pos="1291"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Committee may, in its discretion, specify in the applicable Award Agreement that if, as of the last trading day immediately prior to an Option’s expiration date, the Fair Market Value of a Share underlying any outstanding and unexercised portion of such Option is greater than the exercise price then in effect, then such outstanding and unexercised Option shall be deemed automatically exercised immediately before its expiration. For the avoidance of doubt, the automatic exercise of any Option under this Section 6(e) shall not apply at any time on or following the Participant’s Termination of Service.</w:t>
      </w:r>
    </w:p>
    <w:p>
      <w:pPr>
        <w:spacing w:after="0" w:line="60" w:lineRule="exact"/>
        <w:rPr>
          <w:rFonts w:ascii="Arial" w:cs="Arial" w:eastAsia="Arial" w:hAnsi="Arial"/>
          <w:sz w:val="16"/>
          <w:szCs w:val="16"/>
          <w:color w:val="auto"/>
        </w:rPr>
      </w:pPr>
    </w:p>
    <w:p>
      <w:pPr>
        <w:ind w:right="20" w:firstLine="656"/>
        <w:spacing w:after="0" w:line="321" w:lineRule="auto"/>
        <w:tabs>
          <w:tab w:leader="none" w:pos="127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terms of any Incentive Stock Option granted under the Plan shall comply in all respects with the provisions of Section 422 of the Code. Incentive Stock Options may be granted only to employees of the Company or of a parent or subsidiary corporation (as defined in Section 424 of the Code).</w:t>
      </w:r>
    </w:p>
    <w:p>
      <w:pPr>
        <w:spacing w:after="0" w:line="34" w:lineRule="exact"/>
        <w:rPr>
          <w:sz w:val="20"/>
          <w:szCs w:val="20"/>
          <w:color w:val="auto"/>
        </w:rPr>
      </w:pPr>
    </w:p>
    <w:p>
      <w:pPr>
        <w:ind w:right="80" w:firstLine="648"/>
        <w:spacing w:after="0" w:line="321"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i w:val="1"/>
          <w:iCs w:val="1"/>
          <w:color w:val="auto"/>
        </w:rPr>
        <w:t>Stock Appreciation Rights.</w:t>
      </w:r>
      <w:r>
        <w:rPr>
          <w:rFonts w:ascii="Arial" w:cs="Arial" w:eastAsia="Arial" w:hAnsi="Arial"/>
          <w:sz w:val="16"/>
          <w:szCs w:val="16"/>
          <w:color w:val="auto"/>
        </w:rPr>
        <w:t xml:space="preserve"> The Committee is authorized to grant SARs to Participants with the following terms and conditions and with such additional terms and conditions, in either case not inconsistent with the provisions of the Plan, as the Committee shall determine:</w:t>
      </w:r>
    </w:p>
    <w:p>
      <w:pPr>
        <w:spacing w:after="0" w:line="48" w:lineRule="exact"/>
        <w:rPr>
          <w:sz w:val="20"/>
          <w:szCs w:val="20"/>
          <w:color w:val="auto"/>
        </w:rPr>
      </w:pPr>
    </w:p>
    <w:p>
      <w:pPr>
        <w:ind w:right="300" w:firstLine="656"/>
        <w:spacing w:after="0" w:line="304" w:lineRule="auto"/>
        <w:tabs>
          <w:tab w:leader="none" w:pos="1291" w:val="left"/>
        </w:tabs>
        <w:numPr>
          <w:ilvl w:val="0"/>
          <w:numId w:val="158"/>
        </w:numPr>
        <w:rPr>
          <w:rFonts w:ascii="Arial" w:cs="Arial" w:eastAsia="Arial" w:hAnsi="Arial"/>
          <w:sz w:val="16"/>
          <w:szCs w:val="16"/>
          <w:color w:val="auto"/>
        </w:rPr>
      </w:pPr>
      <w:r>
        <w:rPr>
          <w:rFonts w:ascii="Arial" w:cs="Arial" w:eastAsia="Arial" w:hAnsi="Arial"/>
          <w:sz w:val="16"/>
          <w:szCs w:val="16"/>
          <w:color w:val="auto"/>
        </w:rPr>
        <w:t>SARs may be granted under the Plan to Participants either alone (“freestanding”) or in addition to other Awards granted under the Plan (“tandem”) and may, but need not, relate to a specific Option granted under Section 6.</w:t>
      </w:r>
    </w:p>
    <w:p>
      <w:pPr>
        <w:spacing w:after="0" w:line="60" w:lineRule="exact"/>
        <w:rPr>
          <w:rFonts w:ascii="Arial" w:cs="Arial" w:eastAsia="Arial" w:hAnsi="Arial"/>
          <w:sz w:val="16"/>
          <w:szCs w:val="16"/>
          <w:color w:val="auto"/>
        </w:rPr>
      </w:pPr>
    </w:p>
    <w:p>
      <w:pPr>
        <w:ind w:right="80" w:firstLine="656"/>
        <w:spacing w:after="0" w:line="304" w:lineRule="auto"/>
        <w:tabs>
          <w:tab w:leader="none" w:pos="1291"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exercise or hurdle price per Share under a SAR shall be determined by the Committee; provided, however, that, except in the case of Substitute Awards, such exercise or hurdle price shall not be less than the Fair Market Value of a Share on the date of grant of such SAR.</w:t>
      </w:r>
    </w:p>
    <w:p>
      <w:pPr>
        <w:spacing w:after="0" w:line="60" w:lineRule="exact"/>
        <w:rPr>
          <w:rFonts w:ascii="Arial" w:cs="Arial" w:eastAsia="Arial" w:hAnsi="Arial"/>
          <w:sz w:val="16"/>
          <w:szCs w:val="16"/>
          <w:color w:val="auto"/>
        </w:rPr>
      </w:pPr>
    </w:p>
    <w:p>
      <w:pPr>
        <w:ind w:right="540" w:firstLine="656"/>
        <w:spacing w:after="0" w:line="321" w:lineRule="auto"/>
        <w:tabs>
          <w:tab w:leader="none" w:pos="1282"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term of each SAR shall be fixed by the Committee but shall not exceed 10 years from the date of grant of such SAR. Subject to Section 14, the Committee shall determine the time or times at which a SAR may be exercised or settled in whole or in part.</w:t>
      </w:r>
    </w:p>
    <w:p>
      <w:pPr>
        <w:spacing w:after="0" w:line="34" w:lineRule="exact"/>
        <w:rPr>
          <w:rFonts w:ascii="Arial" w:cs="Arial" w:eastAsia="Arial" w:hAnsi="Arial"/>
          <w:sz w:val="16"/>
          <w:szCs w:val="16"/>
          <w:color w:val="auto"/>
        </w:rPr>
      </w:pPr>
    </w:p>
    <w:p>
      <w:pPr>
        <w:ind w:right="360" w:firstLine="656"/>
        <w:spacing w:after="0" w:line="292" w:lineRule="auto"/>
        <w:tabs>
          <w:tab w:leader="none" w:pos="127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Upon the exercise of a SAR, the Company shall pay to the Participant an amount equal to the number of Shares subject to the SAR multiplied by the excess, if any, of the Fair Market Value of one Share on the exercise date over the exercise or hurdle price of such SAR. The Company shall pay such excess in cash, in Shares valued at Fair Market Value, or any combination thereof, as determined by the Committee.</w:t>
      </w:r>
    </w:p>
    <w:p>
      <w:pPr>
        <w:spacing w:after="0" w:line="70" w:lineRule="exact"/>
        <w:rPr>
          <w:rFonts w:ascii="Arial" w:cs="Arial" w:eastAsia="Arial" w:hAnsi="Arial"/>
          <w:sz w:val="16"/>
          <w:szCs w:val="16"/>
          <w:color w:val="auto"/>
        </w:rPr>
      </w:pPr>
    </w:p>
    <w:p>
      <w:pPr>
        <w:ind w:right="120" w:firstLine="656"/>
        <w:spacing w:after="0" w:line="289" w:lineRule="auto"/>
        <w:tabs>
          <w:tab w:leader="none" w:pos="1291"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Committee may, in its discretion, specify in the applicable Award Agreement that if, as of the last trading day immediately prior to a SAR’s expiration date, the Fair Market Value of a Share underlying any outstanding and unexercised portion of such SAR is greater than the exercise price then in effect, then such outstanding and unexercised SAR shall be deemed automatically exercised immediately before its expiration. For the avoidance of doubt, the automatic exercise of any SAR under this Section 7(e) shall not apply at any time on or following the Participant’s Termination of Service.</w:t>
      </w:r>
    </w:p>
    <w:p>
      <w:pPr>
        <w:spacing w:after="0" w:line="58" w:lineRule="exact"/>
        <w:rPr>
          <w:rFonts w:ascii="Arial" w:cs="Arial" w:eastAsia="Arial" w:hAnsi="Arial"/>
          <w:sz w:val="16"/>
          <w:szCs w:val="16"/>
          <w:color w:val="auto"/>
        </w:rPr>
      </w:pPr>
    </w:p>
    <w:p>
      <w:pPr>
        <w:ind w:right="100" w:firstLine="656"/>
        <w:spacing w:after="0" w:line="321" w:lineRule="auto"/>
        <w:tabs>
          <w:tab w:leader="none" w:pos="1273" w:val="left"/>
        </w:tabs>
        <w:numPr>
          <w:ilvl w:val="0"/>
          <w:numId w:val="158"/>
        </w:numPr>
        <w:rPr>
          <w:rFonts w:ascii="Arial" w:cs="Arial" w:eastAsia="Arial" w:hAnsi="Arial"/>
          <w:sz w:val="16"/>
          <w:szCs w:val="16"/>
          <w:color w:val="auto"/>
        </w:rPr>
      </w:pPr>
      <w:r>
        <w:rPr>
          <w:rFonts w:ascii="Arial" w:cs="Arial" w:eastAsia="Arial" w:hAnsi="Arial"/>
          <w:sz w:val="16"/>
          <w:szCs w:val="16"/>
          <w:color w:val="auto"/>
        </w:rPr>
        <w:t>No grant of SARs may be accompanied by a tandem award of dividend equivalents or provide for dividends, dividend equivalents or other distributions to be paid on such SARs (except as provided under Section 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712470</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136" w:name="page137"/>
    <w:bookmarkEnd w:id="136"/>
    <w:p>
      <w:pPr>
        <w:ind w:left="6620"/>
        <w:spacing w:after="0"/>
        <w:tabs>
          <w:tab w:leader="none" w:pos="1090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Annex C: MSCI Inc. 2025 Omnibus Incentive Plan | MSCI</w:t>
      </w:r>
      <w:r>
        <w:rPr>
          <w:sz w:val="20"/>
          <w:szCs w:val="20"/>
          <w:color w:val="auto"/>
        </w:rPr>
        <w:tab/>
      </w:r>
      <w:r>
        <w:rPr>
          <w:rFonts w:ascii="Arial" w:cs="Arial" w:eastAsia="Arial" w:hAnsi="Arial"/>
          <w:sz w:val="14"/>
          <w:szCs w:val="14"/>
          <w:b w:val="1"/>
          <w:bCs w:val="1"/>
          <w:color w:val="1A3FD6"/>
        </w:rPr>
        <w:t>135</w:t>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520" w:firstLine="648"/>
        <w:spacing w:after="0" w:line="292" w:lineRule="auto"/>
        <w:rPr>
          <w:sz w:val="20"/>
          <w:szCs w:val="20"/>
          <w:color w:val="auto"/>
        </w:rPr>
      </w:pPr>
      <w:r>
        <w:rPr>
          <w:rFonts w:ascii="Arial" w:cs="Arial" w:eastAsia="Arial" w:hAnsi="Arial"/>
          <w:sz w:val="16"/>
          <w:szCs w:val="16"/>
          <w:color w:val="auto"/>
        </w:rPr>
        <w:t>Section 8. Restricted Stock and RSUs. The Committee is authorized to grant Awards of Restricted Stock and RSUs to Participants with the following terms and conditions and with such additional terms and conditions, in either case not inconsistent with the provisions of the Plan, as the Committee shall determine:</w:t>
      </w:r>
    </w:p>
    <w:p>
      <w:pPr>
        <w:spacing w:after="0" w:line="71" w:lineRule="exact"/>
        <w:rPr>
          <w:sz w:val="20"/>
          <w:szCs w:val="20"/>
          <w:color w:val="auto"/>
        </w:rPr>
      </w:pPr>
    </w:p>
    <w:p>
      <w:pPr>
        <w:ind w:right="280" w:firstLine="656"/>
        <w:spacing w:after="0" w:line="304" w:lineRule="auto"/>
        <w:tabs>
          <w:tab w:leader="none" w:pos="1291"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Award Agreement shall specify the vesting schedule and, with respect to RSUs, the delivery schedule (which may include deferred delivery later than the vesting date).</w:t>
      </w:r>
    </w:p>
    <w:p>
      <w:pPr>
        <w:spacing w:after="0" w:line="60" w:lineRule="exact"/>
        <w:rPr>
          <w:rFonts w:ascii="Arial" w:cs="Arial" w:eastAsia="Arial" w:hAnsi="Arial"/>
          <w:sz w:val="16"/>
          <w:szCs w:val="16"/>
          <w:color w:val="auto"/>
        </w:rPr>
      </w:pPr>
    </w:p>
    <w:p>
      <w:pPr>
        <w:ind w:right="320" w:firstLine="656"/>
        <w:spacing w:after="0" w:line="321" w:lineRule="auto"/>
        <w:tabs>
          <w:tab w:leader="none" w:pos="1291"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Awards of Restricted Stock and RSUs shall be subject to such restrictions as the Committee may impose, which restrictions may lapse separately or in combination at such time or times, in such installments or otherwise, as the Committee may deem appropriate.</w:t>
      </w:r>
    </w:p>
    <w:p>
      <w:pPr>
        <w:spacing w:after="0" w:line="34" w:lineRule="exact"/>
        <w:rPr>
          <w:rFonts w:ascii="Arial" w:cs="Arial" w:eastAsia="Arial" w:hAnsi="Arial"/>
          <w:sz w:val="16"/>
          <w:szCs w:val="16"/>
          <w:color w:val="auto"/>
        </w:rPr>
      </w:pPr>
    </w:p>
    <w:p>
      <w:pPr>
        <w:ind w:right="300" w:firstLine="656"/>
        <w:spacing w:after="0" w:line="289" w:lineRule="auto"/>
        <w:tabs>
          <w:tab w:leader="none" w:pos="1282" w:val="left"/>
        </w:tabs>
        <w:numPr>
          <w:ilvl w:val="0"/>
          <w:numId w:val="159"/>
        </w:numPr>
        <w:rPr>
          <w:rFonts w:ascii="Arial" w:cs="Arial" w:eastAsia="Arial" w:hAnsi="Arial"/>
          <w:sz w:val="16"/>
          <w:szCs w:val="16"/>
          <w:color w:val="auto"/>
        </w:rPr>
      </w:pPr>
      <w:r>
        <w:rPr>
          <w:rFonts w:ascii="Arial" w:cs="Arial" w:eastAsia="Arial" w:hAnsi="Arial"/>
          <w:sz w:val="16"/>
          <w:szCs w:val="16"/>
          <w:color w:val="auto"/>
        </w:rPr>
        <w:t>Subject to the restrictions or limitations set forth in the applicable Award Agreement, a Participant generally shall have the rights and privileges of a stockholder with respect to Awards of Restricted Stock, including the right to vote such Shares of Restricted Stock and the right to receive dividends. An RSU shall not convey to the Participant the rights and privileges of a stockholder with respect to the Share subject to the RSU, such as the right to vote or the right to receive dividends, unless and until a Share is issued to the Participant to settle the RSU.</w:t>
      </w:r>
    </w:p>
    <w:p>
      <w:pPr>
        <w:spacing w:after="0" w:line="72" w:lineRule="exact"/>
        <w:rPr>
          <w:rFonts w:ascii="Arial" w:cs="Arial" w:eastAsia="Arial" w:hAnsi="Arial"/>
          <w:sz w:val="16"/>
          <w:szCs w:val="16"/>
          <w:color w:val="auto"/>
        </w:rPr>
      </w:pPr>
    </w:p>
    <w:p>
      <w:pPr>
        <w:ind w:right="80" w:firstLine="656"/>
        <w:spacing w:after="0" w:line="283" w:lineRule="auto"/>
        <w:tabs>
          <w:tab w:leader="none" w:pos="1278"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Committee may, in its discretion, specify in the applicable Award Agreement that any or all dividends, dividend equivalents or other distributions, as applicable, paid on Awards of Restricted Stock or RSUs prior to vesting or settlement, as applicable, be paid either in cash or in additional Shares and either on a current or deferred basis and that such dividends, dividend equivalents or other distributions may be reinvested in additional Shares, which may be subject to the same restrictions as the underlying Awards.</w:t>
      </w:r>
    </w:p>
    <w:p>
      <w:pPr>
        <w:spacing w:after="0" w:line="77" w:lineRule="exact"/>
        <w:rPr>
          <w:rFonts w:ascii="Arial" w:cs="Arial" w:eastAsia="Arial" w:hAnsi="Arial"/>
          <w:sz w:val="16"/>
          <w:szCs w:val="16"/>
          <w:color w:val="auto"/>
        </w:rPr>
      </w:pPr>
    </w:p>
    <w:p>
      <w:pPr>
        <w:ind w:right="720" w:firstLine="656"/>
        <w:spacing w:after="0" w:line="292" w:lineRule="auto"/>
        <w:tabs>
          <w:tab w:leader="none" w:pos="1291"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Any Award of Restricted Stock may be evidenced in such manner as the Committee may deem appropriate, including book-entry registration. Shares delivered upon the vesting and settlement of an RSU Award may be evidenced in such manner as the Committee may deem appropriate, including book-entry registration.</w:t>
      </w:r>
    </w:p>
    <w:p>
      <w:pPr>
        <w:spacing w:after="0" w:line="70" w:lineRule="exact"/>
        <w:rPr>
          <w:rFonts w:ascii="Arial" w:cs="Arial" w:eastAsia="Arial" w:hAnsi="Arial"/>
          <w:sz w:val="16"/>
          <w:szCs w:val="16"/>
          <w:color w:val="auto"/>
        </w:rPr>
      </w:pPr>
    </w:p>
    <w:p>
      <w:pPr>
        <w:ind w:right="60" w:firstLine="656"/>
        <w:spacing w:after="0" w:line="283" w:lineRule="auto"/>
        <w:tabs>
          <w:tab w:leader="none" w:pos="1273"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Committee may provide in an Award Agreement that an Award of Restricted Stock is conditioned upon the Participant making or refraining from making an election with respect to the Award under Section 83(b) of the Code. If a Participant makes an election pursuant to Section 83(b) of the Code with respect to an Award of Restricted Stock, the Participant shall be required to file promptly a copy of such election with the Company and the applicable Internal Revenue Service office.</w:t>
      </w:r>
    </w:p>
    <w:p>
      <w:pPr>
        <w:spacing w:after="0" w:line="77" w:lineRule="exact"/>
        <w:rPr>
          <w:rFonts w:ascii="Arial" w:cs="Arial" w:eastAsia="Arial" w:hAnsi="Arial"/>
          <w:sz w:val="16"/>
          <w:szCs w:val="16"/>
          <w:color w:val="auto"/>
        </w:rPr>
      </w:pPr>
    </w:p>
    <w:p>
      <w:pPr>
        <w:ind w:right="380" w:firstLine="656"/>
        <w:spacing w:after="0" w:line="321" w:lineRule="auto"/>
        <w:tabs>
          <w:tab w:leader="none" w:pos="1291"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Committee may determine the form or forms (including cash, Shares, other Awards, other property or any combination thereof) in which payment of the amount owing upon settlement of any RSU Award may be made.</w:t>
      </w:r>
    </w:p>
    <w:p>
      <w:pPr>
        <w:spacing w:after="0" w:line="34" w:lineRule="exact"/>
        <w:rPr>
          <w:sz w:val="20"/>
          <w:szCs w:val="20"/>
          <w:color w:val="auto"/>
        </w:rPr>
      </w:pPr>
    </w:p>
    <w:p>
      <w:pPr>
        <w:ind w:right="220" w:firstLine="648"/>
        <w:spacing w:after="0" w:line="321"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i w:val="1"/>
          <w:iCs w:val="1"/>
          <w:color w:val="auto"/>
        </w:rPr>
        <w:t>Performance Awards.</w:t>
      </w:r>
      <w:r>
        <w:rPr>
          <w:rFonts w:ascii="Arial" w:cs="Arial" w:eastAsia="Arial" w:hAnsi="Arial"/>
          <w:sz w:val="16"/>
          <w:szCs w:val="16"/>
          <w:color w:val="auto"/>
        </w:rPr>
        <w:t xml:space="preserve"> The Committee is authorized to grant Performance Awards to Participants with the following terms and conditions and with such additional terms and conditions, in either case not inconsistent with the provisions of the Plan, as the Committee shall determine:</w:t>
      </w:r>
    </w:p>
    <w:p>
      <w:pPr>
        <w:spacing w:after="0" w:line="34" w:lineRule="exact"/>
        <w:rPr>
          <w:sz w:val="20"/>
          <w:szCs w:val="20"/>
          <w:color w:val="auto"/>
        </w:rPr>
      </w:pPr>
    </w:p>
    <w:p>
      <w:pPr>
        <w:ind w:firstLine="656"/>
        <w:spacing w:after="0" w:line="282" w:lineRule="auto"/>
        <w:tabs>
          <w:tab w:leader="none" w:pos="1291" w:val="left"/>
        </w:tabs>
        <w:numPr>
          <w:ilvl w:val="0"/>
          <w:numId w:val="160"/>
        </w:numPr>
        <w:rPr>
          <w:rFonts w:ascii="Arial" w:cs="Arial" w:eastAsia="Arial" w:hAnsi="Arial"/>
          <w:sz w:val="16"/>
          <w:szCs w:val="16"/>
          <w:color w:val="auto"/>
        </w:rPr>
      </w:pPr>
      <w:r>
        <w:rPr>
          <w:rFonts w:ascii="Arial" w:cs="Arial" w:eastAsia="Arial" w:hAnsi="Arial"/>
          <w:sz w:val="16"/>
          <w:szCs w:val="16"/>
          <w:color w:val="auto"/>
        </w:rPr>
        <w:t>Performance Awards may be denominated as a cash amount, number of Shares or units or a combination thereof and are Awards which may be earned upon achievement or satisfaction of performance conditions specified by the Committee. In addition, the Committee may specify that any other Award shall constitute a Performance Award by conditioning the grant to a Participant or the right of a Participant to exercise the Award or have it settled, and the timing thereof, upon achievement or satisfaction of such performance conditions as may be specified by the Committee. The Committee may use such business criteria and other measures of performance as it may deem appropriate in establishing any performance conditions. Subject to the terms of the Plan, the performance goals to be achieved during any Performance Period, the length of any Performance Period, the amount of any Performance Award granted and the amount of any payment or transfer to be made pursuant to any Performance Award shall be determined by the Committee.</w:t>
      </w:r>
    </w:p>
    <w:p>
      <w:pPr>
        <w:spacing w:after="0" w:line="79" w:lineRule="exact"/>
        <w:rPr>
          <w:rFonts w:ascii="Arial" w:cs="Arial" w:eastAsia="Arial" w:hAnsi="Arial"/>
          <w:sz w:val="16"/>
          <w:szCs w:val="16"/>
          <w:color w:val="auto"/>
        </w:rPr>
      </w:pPr>
    </w:p>
    <w:p>
      <w:pPr>
        <w:ind w:right="60" w:firstLine="656"/>
        <w:spacing w:after="0" w:line="277" w:lineRule="auto"/>
        <w:tabs>
          <w:tab w:leader="none" w:pos="1291" w:val="left"/>
        </w:tabs>
        <w:numPr>
          <w:ilvl w:val="0"/>
          <w:numId w:val="160"/>
        </w:numPr>
        <w:rPr>
          <w:rFonts w:ascii="Arial" w:cs="Arial" w:eastAsia="Arial" w:hAnsi="Arial"/>
          <w:sz w:val="16"/>
          <w:szCs w:val="16"/>
          <w:color w:val="auto"/>
        </w:rPr>
      </w:pPr>
      <w:r>
        <w:rPr>
          <w:rFonts w:ascii="Arial" w:cs="Arial" w:eastAsia="Arial" w:hAnsi="Arial"/>
          <w:sz w:val="16"/>
          <w:szCs w:val="16"/>
          <w:color w:val="auto"/>
        </w:rPr>
        <w:t>Performance criteria may be measured on an absolute (e.g., plan or budget) or relative basis, may be established on a corporate-wide basis, with respect to one or more business units, divisions, subsidiaries or business segments, may be based on a ratio or separate calculation of any performance criteria and may be made relative to an index, one or more of the performance goals themselves, a previous period’s results or to a designated comparison group. Relative performance may be measured against a group of peer companies, a financial market index or other acceptable objective and quantifiable indices. If the Committee determines that a change in the business, operations, corporate structure or capital structure of the Company, or the manner in which the Company conducts its business, or other events or circumstances render the performance objectives unsuitable, the Committee may modify the performance objectives or the related minimum acceptable level of achievement, in whole or in part, as the Committee deems appropriate and equitable such that it does not provide any undue enrichment or harm. Performance measures may vary from Performance Award to Performance Award and from Participant to Participant, and may be established on a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137" w:name="page138"/>
    <w:bookmarkEnd w:id="137"/>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136</w:t>
      </w:r>
      <w:r>
        <w:rPr>
          <w:sz w:val="20"/>
          <w:szCs w:val="20"/>
          <w:color w:val="auto"/>
        </w:rPr>
        <w:tab/>
      </w:r>
      <w:r>
        <w:rPr>
          <w:rFonts w:ascii="Arial" w:cs="Arial" w:eastAsia="Arial" w:hAnsi="Arial"/>
          <w:sz w:val="14"/>
          <w:szCs w:val="14"/>
          <w:b w:val="1"/>
          <w:bCs w:val="1"/>
          <w:color w:val="1A3FD6"/>
        </w:rPr>
        <w:t>2025 PROXY STATEMENT</w:t>
      </w:r>
    </w:p>
    <w:p>
      <w:pPr>
        <w:sectPr>
          <w:pgSz w:w="11900" w:h="16838" w:orient="portrait"/>
          <w:cols w:equalWidth="0" w:num="1">
            <w:col w:w="11220"/>
          </w:cols>
          <w:pgMar w:left="320" w:top="2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40"/>
        <w:spacing w:after="0" w:line="292" w:lineRule="auto"/>
        <w:rPr>
          <w:sz w:val="20"/>
          <w:szCs w:val="20"/>
          <w:color w:val="auto"/>
        </w:rPr>
      </w:pPr>
      <w:r>
        <w:rPr>
          <w:rFonts w:ascii="Arial" w:cs="Arial" w:eastAsia="Arial" w:hAnsi="Arial"/>
          <w:sz w:val="16"/>
          <w:szCs w:val="16"/>
          <w:color w:val="auto"/>
        </w:rPr>
        <w:t>basis, in tandem or in the alternative. The Committee shall have the power to impose such other restrictions on Awards subject to this Section 9(b) as it may deem necessary or appropriate to ensure that such Awards satisfy all requirements of any applicable law, stock market or exchange rules and regulations or accounting or tax rules and regulations.</w:t>
      </w:r>
    </w:p>
    <w:p>
      <w:pPr>
        <w:spacing w:after="0" w:line="71" w:lineRule="exact"/>
        <w:rPr>
          <w:sz w:val="20"/>
          <w:szCs w:val="20"/>
          <w:color w:val="auto"/>
        </w:rPr>
      </w:pPr>
    </w:p>
    <w:p>
      <w:pPr>
        <w:ind w:right="160" w:firstLine="656"/>
        <w:spacing w:after="0" w:line="304" w:lineRule="auto"/>
        <w:tabs>
          <w:tab w:leader="none" w:pos="128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Settlement of Performance Awards shall be in cash, Shares, other Awards, other property, net settlement, or any combination thereof, as determined in the discretion of the Committee.</w:t>
      </w:r>
    </w:p>
    <w:p>
      <w:pPr>
        <w:spacing w:after="0" w:line="60" w:lineRule="exact"/>
        <w:rPr>
          <w:rFonts w:ascii="Arial" w:cs="Arial" w:eastAsia="Arial" w:hAnsi="Arial"/>
          <w:sz w:val="16"/>
          <w:szCs w:val="16"/>
          <w:color w:val="auto"/>
        </w:rPr>
      </w:pPr>
    </w:p>
    <w:p>
      <w:pPr>
        <w:ind w:right="140" w:firstLine="656"/>
        <w:spacing w:after="0" w:line="278" w:lineRule="auto"/>
        <w:tabs>
          <w:tab w:leader="none" w:pos="127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 Performance Award shall not convey to a Participant the rights and privileges of a stockholder with respect to the Share subject to the Performance Award, such as the right to vote (except as relates to Restricted Stock) or the right to receive dividends, unless and until Shares are issued to the Participant to settle the Performance Award. The Committee, in its sole discretion, may provide that a Performance Award shall convey the right to receive dividend equivalents on the Shares underlying the Performance Award with respect to any dividends declared during the period that the Performance Award is outstanding, in which case, such dividend equivalent rights shall accumulate and shall be paid in cash or Shares on the settlement date of the Performance Award, subject to the Participant’s earning of the Shares underlying the Performance Awards with respect to which such dividend equivalents are paid upon achievement or satisfaction of performance conditions specified by the Committee. Shares delivered upon the vesting and settlement of a Performance Award may be evidenced in such manner as the Committee may deem appropriate, including book-entry registration. For the avoidance of doubt, unless otherwise determined by the Committee, no dividend equivalent rights shall be provided with respect to any Shares subject to Performance Awards that are not earned or otherwise do not vest or settle pursuant to their terms.</w:t>
      </w:r>
    </w:p>
    <w:p>
      <w:pPr>
        <w:spacing w:after="0" w:line="82" w:lineRule="exact"/>
        <w:rPr>
          <w:rFonts w:ascii="Arial" w:cs="Arial" w:eastAsia="Arial" w:hAnsi="Arial"/>
          <w:sz w:val="16"/>
          <w:szCs w:val="16"/>
          <w:color w:val="auto"/>
        </w:rPr>
      </w:pPr>
    </w:p>
    <w:p>
      <w:pPr>
        <w:ind w:right="860" w:firstLine="656"/>
        <w:spacing w:after="0" w:line="321" w:lineRule="auto"/>
        <w:tabs>
          <w:tab w:leader="none" w:pos="1291"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Committee may, in its discretion, increase or reduce the amount of a settlement otherwise to be made in connection with a Performance Award.</w:t>
      </w:r>
    </w:p>
    <w:p>
      <w:pPr>
        <w:spacing w:after="0" w:line="34" w:lineRule="exact"/>
        <w:rPr>
          <w:sz w:val="20"/>
          <w:szCs w:val="20"/>
          <w:color w:val="auto"/>
        </w:rPr>
      </w:pPr>
    </w:p>
    <w:p>
      <w:pPr>
        <w:ind w:right="80" w:firstLine="648"/>
        <w:spacing w:after="0" w:line="282"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i w:val="1"/>
          <w:iCs w:val="1"/>
          <w:color w:val="auto"/>
        </w:rPr>
        <w:t>Other Cash-Based Awards and Other Stock-Based Awards.</w:t>
      </w:r>
      <w:r>
        <w:rPr>
          <w:rFonts w:ascii="Arial" w:cs="Arial" w:eastAsia="Arial" w:hAnsi="Arial"/>
          <w:sz w:val="16"/>
          <w:szCs w:val="16"/>
          <w:color w:val="auto"/>
        </w:rPr>
        <w:t xml:space="preserve"> The Committee is authorized, subject to limitations under applicable law, to grant Other Cash-Based Awards (either independently or as an element of or supplement to any other Award under the Plan) and Other Stock-Based Awards. The Committee shall determine the terms and conditions of such Awards. Shares delivered pursuant to an Award in the nature of a purchase right granted under this Section 10 shall be purchased for such consideration, and paid for at such times, by such methods and in such forms, including cash, Shares, other Awards, other property, net settlement, broker-assisted cashless exercise or any combination thereof, as the Committee shall determine; provided that the purchase price therefor shall not be less than the Fair Market Value of such Shares on the date of grant of such right.</w:t>
      </w:r>
    </w:p>
    <w:p>
      <w:pPr>
        <w:spacing w:after="0" w:line="80" w:lineRule="exact"/>
        <w:rPr>
          <w:sz w:val="20"/>
          <w:szCs w:val="20"/>
          <w:color w:val="auto"/>
        </w:rPr>
      </w:pPr>
    </w:p>
    <w:p>
      <w:pPr>
        <w:ind w:firstLine="648"/>
        <w:spacing w:after="0" w:line="277"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i w:val="1"/>
          <w:iCs w:val="1"/>
          <w:color w:val="auto"/>
        </w:rPr>
        <w:t>Retainers</w:t>
      </w:r>
      <w:r>
        <w:rPr>
          <w:rFonts w:ascii="Arial" w:cs="Arial" w:eastAsia="Arial" w:hAnsi="Arial"/>
          <w:sz w:val="16"/>
          <w:szCs w:val="16"/>
          <w:color w:val="auto"/>
        </w:rPr>
        <w:t>. The Committee is authorized, subject to limitations under applicable law, to grant Retainers to Participants. The Committee shall determine the terms and conditions of such Retainers, including without limitation (i) the amounts payable, (ii) the payment dates (including whether payment is made in a lump sum or installments and whether payment is made in advance or arrears), (iii) whether such Retainers may be electively received in Shares and (iv) whether such Retainers may be electively deferred, subject to Section 12 and such rules and procedures as the Committee may establish in accordance with Section 409A of the Code, and, if so, whether such deferred Retainers may be distributed in cash and/or Shares. Shares issued to Participants pursuant to (iii) and (iv) above shall count against the aggregate Share limit specified in Section 5(a). Unless otherwise determined by the Committee, the number of Shares that shall be issued to the Participant who elects to receive a Retainer in Shares shall equal the amount of cash that otherwise would have been paid to such Participant on the payment date of such Retainer divided by the Fair Market Value of a Share as of such payment date.</w:t>
      </w:r>
    </w:p>
    <w:p>
      <w:pPr>
        <w:spacing w:after="0" w:line="87" w:lineRule="exact"/>
        <w:rPr>
          <w:sz w:val="20"/>
          <w:szCs w:val="20"/>
          <w:color w:val="auto"/>
        </w:rPr>
      </w:pPr>
    </w:p>
    <w:p>
      <w:pPr>
        <w:ind w:firstLine="648"/>
        <w:spacing w:after="0" w:line="282"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i w:val="1"/>
          <w:iCs w:val="1"/>
          <w:color w:val="auto"/>
        </w:rPr>
        <w:t>Deferral Elections</w:t>
      </w:r>
      <w:r>
        <w:rPr>
          <w:rFonts w:ascii="Arial" w:cs="Arial" w:eastAsia="Arial" w:hAnsi="Arial"/>
          <w:sz w:val="16"/>
          <w:szCs w:val="16"/>
          <w:color w:val="auto"/>
        </w:rPr>
        <w:t>. The Committee, in its discretion, may permit a Participant to defer any Award (including any Retainer), subject to the rules and procedures as it may establish from time to time, in accordance with the requirements of Section 409A of the Code or other applicable law, and which may include provisions for the payment or crediting of dividend equivalents, on a current or deferred basis, or the deemed reinvestment of any deferred dividend equivalents, with respect to the number of Shares subject to such Award. The Committee shall set forth in writing (which may be in electronic form) the conditions under which any applicable deferral election may be made on or before the date such deferral election is required to be irrevocable in order to meet the requirements of Section 409A of the Code.</w:t>
      </w:r>
    </w:p>
    <w:p>
      <w:pPr>
        <w:spacing w:after="0" w:line="80"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color w:val="auto"/>
        </w:rPr>
        <w:t>Section 13.</w:t>
      </w:r>
      <w:r>
        <w:rPr>
          <w:sz w:val="20"/>
          <w:szCs w:val="20"/>
          <w:color w:val="auto"/>
        </w:rPr>
        <w:tab/>
      </w:r>
      <w:r>
        <w:rPr>
          <w:rFonts w:ascii="Arial" w:cs="Arial" w:eastAsia="Arial" w:hAnsi="Arial"/>
          <w:sz w:val="16"/>
          <w:szCs w:val="16"/>
          <w:i w:val="1"/>
          <w:iCs w:val="1"/>
          <w:color w:val="auto"/>
        </w:rPr>
        <w:t>Effect of Termination of Service or a Change in Control on Awards</w:t>
      </w:r>
      <w:r>
        <w:rPr>
          <w:rFonts w:ascii="Arial" w:cs="Arial" w:eastAsia="Arial" w:hAnsi="Arial"/>
          <w:sz w:val="16"/>
          <w:szCs w:val="16"/>
          <w:color w:val="auto"/>
        </w:rPr>
        <w:t>.</w:t>
      </w:r>
    </w:p>
    <w:p>
      <w:pPr>
        <w:spacing w:after="0" w:line="127" w:lineRule="exact"/>
        <w:rPr>
          <w:sz w:val="20"/>
          <w:szCs w:val="20"/>
          <w:color w:val="auto"/>
        </w:rPr>
      </w:pPr>
    </w:p>
    <w:p>
      <w:pPr>
        <w:ind w:right="160" w:firstLine="656"/>
        <w:spacing w:after="0" w:line="292" w:lineRule="auto"/>
        <w:tabs>
          <w:tab w:leader="none" w:pos="1291"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Committee may provide, by rule or regulation or in any applicable Award Agreement, or may determine in any individual case, the circumstances in which, and the extent to which, an Award may be exercised, settled, vested, paid or forfeited in the event of a Participant’s Termination of Service prior to the end of a Performance Period or vesting, exercise or settlement of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type w:val="continuous"/>
        </w:sectPr>
      </w:pPr>
    </w:p>
    <w:bookmarkStart w:id="138" w:name="page139"/>
    <w:bookmarkEnd w:id="138"/>
    <w:p>
      <w:pPr>
        <w:ind w:left="6620"/>
        <w:spacing w:after="0"/>
        <w:tabs>
          <w:tab w:leader="none" w:pos="1090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Annex C: MSCI Inc. 2025 Omnibus Incentive Plan | MSCI</w:t>
      </w:r>
      <w:r>
        <w:rPr>
          <w:sz w:val="20"/>
          <w:szCs w:val="20"/>
          <w:color w:val="auto"/>
        </w:rPr>
        <w:tab/>
      </w:r>
      <w:r>
        <w:rPr>
          <w:rFonts w:ascii="Arial" w:cs="Arial" w:eastAsia="Arial" w:hAnsi="Arial"/>
          <w:sz w:val="14"/>
          <w:szCs w:val="14"/>
          <w:b w:val="1"/>
          <w:bCs w:val="1"/>
          <w:color w:val="1A3FD6"/>
        </w:rPr>
        <w:t>137</w:t>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firstLine="656"/>
        <w:spacing w:after="0" w:line="282" w:lineRule="auto"/>
        <w:tabs>
          <w:tab w:leader="none" w:pos="1291" w:val="left"/>
        </w:tabs>
        <w:numPr>
          <w:ilvl w:val="0"/>
          <w:numId w:val="163"/>
        </w:numPr>
        <w:rPr>
          <w:rFonts w:ascii="Arial" w:cs="Arial" w:eastAsia="Arial" w:hAnsi="Arial"/>
          <w:sz w:val="16"/>
          <w:szCs w:val="16"/>
          <w:color w:val="auto"/>
        </w:rPr>
      </w:pPr>
      <w:r>
        <w:rPr>
          <w:rFonts w:ascii="Arial" w:cs="Arial" w:eastAsia="Arial" w:hAnsi="Arial"/>
          <w:sz w:val="16"/>
          <w:szCs w:val="16"/>
          <w:color w:val="auto"/>
        </w:rPr>
        <w:t>Subject to the last sentence of Section 2(jj), the Committee may determine, in its discretion, whether, and the extent to which, (i) an Award will vest during a leave of absence, (ii) a reduction in service level (for example, from full-time to part-time employment) will cause a reduction, or other change, to an Award and (iii) a leave of absence or reduction in service will be deemed a Termination of Service. For the avoidance of doubt, in the case of a Participant who is an Employee, the cessation of employee status pursuant to this Section 13(b) but the continuation of the performance of services for the Company or a Subsidiary as a Director or Consultant shall not be deemed a cessation of service that would constitute a Termination of Service, unless the Committee determines otherwise.</w:t>
      </w:r>
    </w:p>
    <w:p>
      <w:pPr>
        <w:spacing w:after="0" w:line="79" w:lineRule="exact"/>
        <w:rPr>
          <w:rFonts w:ascii="Arial" w:cs="Arial" w:eastAsia="Arial" w:hAnsi="Arial"/>
          <w:sz w:val="16"/>
          <w:szCs w:val="16"/>
          <w:color w:val="auto"/>
        </w:rPr>
      </w:pPr>
    </w:p>
    <w:p>
      <w:pPr>
        <w:ind w:right="160" w:firstLine="656"/>
        <w:spacing w:after="0" w:line="292" w:lineRule="auto"/>
        <w:tabs>
          <w:tab w:leader="none" w:pos="128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In the event of a Change in Control, the Committee may, in its sole discretion, and on such terms and conditions as it deems appropriate, take any one or more of the following actions with respect to any outstanding Award, which need not be uniform with respect to all Participants and/or Awards:</w:t>
      </w:r>
    </w:p>
    <w:p>
      <w:pPr>
        <w:spacing w:after="0" w:line="57" w:lineRule="exact"/>
        <w:rPr>
          <w:rFonts w:ascii="Arial" w:cs="Arial" w:eastAsia="Arial" w:hAnsi="Arial"/>
          <w:sz w:val="16"/>
          <w:szCs w:val="16"/>
          <w:color w:val="auto"/>
        </w:rPr>
      </w:pPr>
    </w:p>
    <w:p>
      <w:pPr>
        <w:ind w:left="660" w:right="420" w:firstLine="644"/>
        <w:spacing w:after="0" w:line="321" w:lineRule="auto"/>
        <w:tabs>
          <w:tab w:leader="none" w:pos="1938" w:val="left"/>
        </w:tabs>
        <w:numPr>
          <w:ilvl w:val="1"/>
          <w:numId w:val="163"/>
        </w:numPr>
        <w:rPr>
          <w:rFonts w:ascii="Arial" w:cs="Arial" w:eastAsia="Arial" w:hAnsi="Arial"/>
          <w:sz w:val="16"/>
          <w:szCs w:val="16"/>
          <w:color w:val="auto"/>
        </w:rPr>
      </w:pPr>
      <w:r>
        <w:rPr>
          <w:rFonts w:ascii="Arial" w:cs="Arial" w:eastAsia="Arial" w:hAnsi="Arial"/>
          <w:sz w:val="16"/>
          <w:szCs w:val="16"/>
          <w:color w:val="auto"/>
        </w:rPr>
        <w:t>continuation or assumption of such Award by the Company (if it is the surviving corporation) or by the successor or surviving entity or its parent;</w:t>
      </w:r>
    </w:p>
    <w:p>
      <w:pPr>
        <w:spacing w:after="0" w:line="47" w:lineRule="exact"/>
        <w:rPr>
          <w:rFonts w:ascii="Arial" w:cs="Arial" w:eastAsia="Arial" w:hAnsi="Arial"/>
          <w:sz w:val="16"/>
          <w:szCs w:val="16"/>
          <w:color w:val="auto"/>
        </w:rPr>
      </w:pPr>
    </w:p>
    <w:p>
      <w:pPr>
        <w:ind w:left="660" w:firstLine="644"/>
        <w:spacing w:after="0" w:line="283" w:lineRule="auto"/>
        <w:tabs>
          <w:tab w:leader="none" w:pos="1933" w:val="left"/>
        </w:tabs>
        <w:numPr>
          <w:ilvl w:val="1"/>
          <w:numId w:val="163"/>
        </w:numPr>
        <w:rPr>
          <w:rFonts w:ascii="Arial" w:cs="Arial" w:eastAsia="Arial" w:hAnsi="Arial"/>
          <w:sz w:val="16"/>
          <w:szCs w:val="16"/>
          <w:color w:val="auto"/>
        </w:rPr>
      </w:pPr>
      <w:r>
        <w:rPr>
          <w:rFonts w:ascii="Arial" w:cs="Arial" w:eastAsia="Arial" w:hAnsi="Arial"/>
          <w:sz w:val="16"/>
          <w:szCs w:val="16"/>
          <w:color w:val="auto"/>
        </w:rPr>
        <w:t>substitution or replacement of such Award by the successor or surviving entity or its parent with cash, securities, rights or other property to be paid or issued, as the case may be, by the successor or surviving entity (or a parent or subsidiary thereof), with substantially the same terms and value as such Award (including, without limitation, any applicable performance targets or criteria with respect thereto), in each case as determined by the Committee in its sole discretion;</w:t>
      </w:r>
    </w:p>
    <w:p>
      <w:pPr>
        <w:spacing w:after="0" w:line="77" w:lineRule="exact"/>
        <w:rPr>
          <w:rFonts w:ascii="Arial" w:cs="Arial" w:eastAsia="Arial" w:hAnsi="Arial"/>
          <w:sz w:val="16"/>
          <w:szCs w:val="16"/>
          <w:color w:val="auto"/>
        </w:rPr>
      </w:pPr>
    </w:p>
    <w:p>
      <w:pPr>
        <w:ind w:left="660" w:right="20" w:firstLine="644"/>
        <w:spacing w:after="0" w:line="279" w:lineRule="auto"/>
        <w:tabs>
          <w:tab w:leader="none" w:pos="1942" w:val="left"/>
        </w:tabs>
        <w:numPr>
          <w:ilvl w:val="1"/>
          <w:numId w:val="163"/>
        </w:numPr>
        <w:rPr>
          <w:rFonts w:ascii="Arial" w:cs="Arial" w:eastAsia="Arial" w:hAnsi="Arial"/>
          <w:sz w:val="16"/>
          <w:szCs w:val="16"/>
          <w:color w:val="auto"/>
        </w:rPr>
      </w:pPr>
      <w:r>
        <w:rPr>
          <w:rFonts w:ascii="Arial" w:cs="Arial" w:eastAsia="Arial" w:hAnsi="Arial"/>
          <w:sz w:val="16"/>
          <w:szCs w:val="16"/>
          <w:color w:val="auto"/>
        </w:rPr>
        <w:t>acceleration of the vesting of such Award and the lapse of any restrictions thereon and, in the case of an Option or SAR Award, acceleration of the right to exercise such Award during a specified period (and the termination of such Option or SAR Award without payment of any consideration therefor to the extent such Award is not timely exercised), in each case, either (A) in the case of an Award held by a non-employee Director only, immediately prior to or as of the date of the Change in Control, (B) upon the Participant’s involuntary Termination of Service (including upon a termination of the Participant’s employment by the Company (or a successor corporation or its parent) without “cause” or by the Participant for “good reason”, as such terms may be defined in the applicable Award Agreement and/or the Participant’s employment agreement or offer letter, as the case may be) within a specified period prior to, on or within 24 months following such Change in Control or (C) upon the failure of the successor or surviving entity (or its parent) to continue or assume or substitute or replace such Award;</w:t>
      </w:r>
    </w:p>
    <w:p>
      <w:pPr>
        <w:spacing w:after="0" w:line="84" w:lineRule="exact"/>
        <w:rPr>
          <w:rFonts w:ascii="Arial" w:cs="Arial" w:eastAsia="Arial" w:hAnsi="Arial"/>
          <w:sz w:val="16"/>
          <w:szCs w:val="16"/>
          <w:color w:val="auto"/>
        </w:rPr>
      </w:pPr>
    </w:p>
    <w:p>
      <w:pPr>
        <w:ind w:left="2000" w:hanging="696"/>
        <w:spacing w:after="0"/>
        <w:tabs>
          <w:tab w:leader="none" w:pos="200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in the case of a Performance Award, determination of the level of attainment of the applicable performance condition(s); and</w:t>
      </w:r>
    </w:p>
    <w:p>
      <w:pPr>
        <w:spacing w:after="0" w:line="126" w:lineRule="exact"/>
        <w:rPr>
          <w:rFonts w:ascii="Arial" w:cs="Arial" w:eastAsia="Arial" w:hAnsi="Arial"/>
          <w:sz w:val="16"/>
          <w:szCs w:val="16"/>
          <w:color w:val="auto"/>
        </w:rPr>
      </w:pPr>
    </w:p>
    <w:p>
      <w:pPr>
        <w:ind w:left="660" w:right="20" w:firstLine="644"/>
        <w:spacing w:after="0" w:line="280" w:lineRule="auto"/>
        <w:tabs>
          <w:tab w:leader="none" w:pos="1942" w:val="left"/>
        </w:tabs>
        <w:numPr>
          <w:ilvl w:val="1"/>
          <w:numId w:val="163"/>
        </w:numPr>
        <w:rPr>
          <w:rFonts w:ascii="Arial" w:cs="Arial" w:eastAsia="Arial" w:hAnsi="Arial"/>
          <w:sz w:val="16"/>
          <w:szCs w:val="16"/>
          <w:color w:val="auto"/>
        </w:rPr>
      </w:pPr>
      <w:r>
        <w:rPr>
          <w:rFonts w:ascii="Arial" w:cs="Arial" w:eastAsia="Arial" w:hAnsi="Arial"/>
          <w:sz w:val="16"/>
          <w:szCs w:val="16"/>
          <w:color w:val="auto"/>
        </w:rPr>
        <w:t>cancellation of such Award in consideration of a payment, with the form, amount and timing of such payment determined by the Committee in its sole discretion, subject to the following: (A) such payment shall be made in cash, securities, rights and/or other property; (B) the amount of such payment shall equal the value of such Award, as determined by the Committee in its sole discretion; provided that, in the case of an Option or SAR Award, if such value equals the Intrinsic Value of such Award, such value shall be deemed to be valid; provided further that, if the Intrinsic Value of an Option or SAR Award is equal to or less than zero, the Committee may, in its sole discretion, provide for the cancellation of such Award without payment of any consideration therefor (for the avoidance of doubt, in the event of a Change in Control, the Committee may, in its sole discretion, terminate any Option or SAR Awards for which the exercise or hurdle price is equal to or exceeds the per Share value of the consideration to be paid in the Change in Control transaction without payment of consideration therefor); and (C) such payment shall be made promptly following such Change in Control or on a specified date or dates following such Change in Control; provided that the timing of such payment shall comply with Section 409A of the Code.</w:t>
      </w:r>
    </w:p>
    <w:p>
      <w:pPr>
        <w:spacing w:after="0" w:line="68" w:lineRule="exact"/>
        <w:rPr>
          <w:sz w:val="20"/>
          <w:szCs w:val="20"/>
          <w:color w:val="auto"/>
        </w:rPr>
      </w:pPr>
    </w:p>
    <w:p>
      <w:pPr>
        <w:ind w:right="20" w:firstLine="648"/>
        <w:spacing w:after="0" w:line="282"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i w:val="1"/>
          <w:iCs w:val="1"/>
          <w:color w:val="auto"/>
        </w:rPr>
        <w:t>Minimum Vesting Requirements</w:t>
      </w:r>
      <w:r>
        <w:rPr>
          <w:rFonts w:ascii="Arial" w:cs="Arial" w:eastAsia="Arial" w:hAnsi="Arial"/>
          <w:sz w:val="16"/>
          <w:szCs w:val="16"/>
          <w:color w:val="auto"/>
        </w:rPr>
        <w:t>. Notwithstanding anything to the contrary herein, and subject to Section 13, Awards shall vest over a period of not less than one year following the date of grant (the “Minimum Vesting Requirements”); provided, however, that the Committee may, in its sole discretion, (i) accelerate the vesting of Awards or otherwise lapse or waive the Minimum Vesting Requirements upon (A) the Participant’s death or “disability” (as such term may be defined in the applicable Award Agreement and/or the Participant’s employment agreement or offer letter, as the case may be) or (B) a Change in Control (subject to the requirements of Section 13) and (ii) grant Awards that are not subject to the Minimum Vesting Requirements with respect to 5% or less of the Shares available for issuance under the Plan (as set forth in Section 5(a), as may be adjusted pursuant to Section 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955675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139" w:name="page140"/>
    <w:bookmarkEnd w:id="139"/>
    <w:p>
      <w:pPr>
        <w:spacing w:after="0"/>
        <w:tabs>
          <w:tab w:leader="none" w:pos="6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138</w:t>
      </w:r>
      <w:r>
        <w:rPr>
          <w:sz w:val="20"/>
          <w:szCs w:val="20"/>
          <w:color w:val="auto"/>
        </w:rPr>
        <w:tab/>
      </w:r>
      <w:r>
        <w:rPr>
          <w:rFonts w:ascii="Arial" w:cs="Arial" w:eastAsia="Arial" w:hAnsi="Arial"/>
          <w:sz w:val="14"/>
          <w:szCs w:val="14"/>
          <w:b w:val="1"/>
          <w:bCs w:val="1"/>
          <w:color w:val="1A3FD6"/>
        </w:rPr>
        <w:t>2025 PROXY STATEMENT</w:t>
      </w:r>
    </w:p>
    <w:p>
      <w:pPr>
        <w:sectPr>
          <w:pgSz w:w="11900" w:h="16838" w:orient="portrait"/>
          <w:cols w:equalWidth="0" w:num="1">
            <w:col w:w="11120"/>
          </w:cols>
          <w:pgMar w:left="420" w:top="2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60"/>
        <w:spacing w:after="0"/>
        <w:tabs>
          <w:tab w:leader="none" w:pos="1520" w:val="left"/>
        </w:tabs>
        <w:rPr>
          <w:sz w:val="20"/>
          <w:szCs w:val="20"/>
          <w:color w:val="auto"/>
        </w:rPr>
      </w:pPr>
      <w:r>
        <w:rPr>
          <w:rFonts w:ascii="Arial" w:cs="Arial" w:eastAsia="Arial" w:hAnsi="Arial"/>
          <w:sz w:val="16"/>
          <w:szCs w:val="16"/>
          <w:color w:val="auto"/>
        </w:rPr>
        <w:t>Section 15.</w:t>
      </w:r>
      <w:r>
        <w:rPr>
          <w:sz w:val="20"/>
          <w:szCs w:val="20"/>
          <w:color w:val="auto"/>
        </w:rPr>
        <w:tab/>
      </w:r>
      <w:r>
        <w:rPr>
          <w:rFonts w:ascii="Arial" w:cs="Arial" w:eastAsia="Arial" w:hAnsi="Arial"/>
          <w:sz w:val="16"/>
          <w:szCs w:val="16"/>
          <w:i w:val="1"/>
          <w:iCs w:val="1"/>
          <w:color w:val="auto"/>
        </w:rPr>
        <w:t>General Provisions Applicable to Awards.</w:t>
      </w:r>
    </w:p>
    <w:p>
      <w:pPr>
        <w:spacing w:after="0" w:line="140" w:lineRule="exact"/>
        <w:rPr>
          <w:sz w:val="20"/>
          <w:szCs w:val="20"/>
          <w:color w:val="auto"/>
        </w:rPr>
      </w:pPr>
    </w:p>
    <w:p>
      <w:pPr>
        <w:ind w:left="-100" w:right="60" w:firstLine="656"/>
        <w:spacing w:after="0" w:line="304" w:lineRule="auto"/>
        <w:tabs>
          <w:tab w:leader="none" w:pos="1191"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Awards shall be granted for such cash or other consideration, if any, as the Committee determines; provided that in no event shall Awards be issued for less than such minimal consideration as may be required by applicable law.</w:t>
      </w:r>
    </w:p>
    <w:p>
      <w:pPr>
        <w:spacing w:after="0" w:line="60" w:lineRule="exact"/>
        <w:rPr>
          <w:rFonts w:ascii="Arial" w:cs="Arial" w:eastAsia="Arial" w:hAnsi="Arial"/>
          <w:sz w:val="16"/>
          <w:szCs w:val="16"/>
          <w:color w:val="auto"/>
        </w:rPr>
      </w:pPr>
    </w:p>
    <w:p>
      <w:pPr>
        <w:ind w:left="-100" w:right="160" w:firstLine="656"/>
        <w:spacing w:after="0" w:line="289" w:lineRule="auto"/>
        <w:tabs>
          <w:tab w:leader="none" w:pos="1191"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58" w:lineRule="exact"/>
        <w:rPr>
          <w:rFonts w:ascii="Arial" w:cs="Arial" w:eastAsia="Arial" w:hAnsi="Arial"/>
          <w:sz w:val="16"/>
          <w:szCs w:val="16"/>
          <w:color w:val="auto"/>
        </w:rPr>
      </w:pPr>
    </w:p>
    <w:p>
      <w:pPr>
        <w:ind w:left="-100" w:firstLine="656"/>
        <w:spacing w:after="0" w:line="287" w:lineRule="auto"/>
        <w:tabs>
          <w:tab w:leader="none" w:pos="118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Subject to the terms of the Plan, payments or transfers to be made by the Company upon the grant, exercise or settlement of an Award may be made in the form of cash, Shares, other Awards, other property, net settlement, or any combination thereof, as determined by the Committee in its discretion at the time of grant, and may be made in a single payment or transfer, in installments or on a deferred basis, in each case in accordance with rules and procedures established by the Committee. Such rules and procedures may include provisions for the payment or crediting of reasonable interest on installment or deferred payments or the grant or crediting of dividend equivalents in respect of installment or deferred payments.</w:t>
      </w:r>
    </w:p>
    <w:p>
      <w:pPr>
        <w:spacing w:after="0" w:line="60" w:lineRule="exact"/>
        <w:rPr>
          <w:rFonts w:ascii="Arial" w:cs="Arial" w:eastAsia="Arial" w:hAnsi="Arial"/>
          <w:sz w:val="16"/>
          <w:szCs w:val="16"/>
          <w:color w:val="auto"/>
        </w:rPr>
      </w:pPr>
    </w:p>
    <w:p>
      <w:pPr>
        <w:ind w:left="-100" w:right="240" w:firstLine="656"/>
        <w:spacing w:after="0" w:line="287" w:lineRule="auto"/>
        <w:tabs>
          <w:tab w:leader="none" w:pos="1178" w:val="left"/>
        </w:tabs>
        <w:numPr>
          <w:ilvl w:val="0"/>
          <w:numId w:val="164"/>
        </w:numPr>
        <w:rPr>
          <w:rFonts w:ascii="Arial" w:cs="Arial" w:eastAsia="Arial" w:hAnsi="Arial"/>
          <w:sz w:val="16"/>
          <w:szCs w:val="16"/>
          <w:color w:val="auto"/>
        </w:rPr>
      </w:pPr>
      <w:r>
        <w:rPr>
          <w:rFonts w:ascii="Arial" w:cs="Arial" w:eastAsia="Arial" w:hAnsi="Arial"/>
          <w:sz w:val="16"/>
          <w:szCs w:val="16"/>
          <w:color w:val="auto"/>
        </w:rPr>
        <w:t>Except as may be permitted by the Committee or as specifically provided in an Award Agreement, (i) no Award and no right under any Award shall be assignable, alienable, saleable or transferable by a Participant other than by will or pursuant to Section 15(e) and (ii) during a Participant’s lifetime, each Award, and each right under any Award, shall be exercisable only by such Participant or, if permissible under applicable law, by such Participant’s guardian or legal representative. The provisions of this Section 15(d) shall not apply to any Award that has been fully exercised or settled, as the case may be, and shall not preclude forfeiture of an Award in accordance with the terms thereof.</w:t>
      </w:r>
    </w:p>
    <w:p>
      <w:pPr>
        <w:spacing w:after="0" w:line="60" w:lineRule="exact"/>
        <w:rPr>
          <w:rFonts w:ascii="Arial" w:cs="Arial" w:eastAsia="Arial" w:hAnsi="Arial"/>
          <w:sz w:val="16"/>
          <w:szCs w:val="16"/>
          <w:color w:val="auto"/>
        </w:rPr>
      </w:pPr>
    </w:p>
    <w:p>
      <w:pPr>
        <w:ind w:left="-100" w:right="800" w:firstLine="656"/>
        <w:spacing w:after="0" w:line="321" w:lineRule="auto"/>
        <w:tabs>
          <w:tab w:leader="none" w:pos="1191"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 Participant may designate a Beneficiary or change a previous Beneficiary designation only at such times as prescribed by the Committee, in its sole discretion, and only by using forms and following procedures approved or accepted by the Committee for that purpose.</w:t>
      </w:r>
    </w:p>
    <w:p>
      <w:pPr>
        <w:spacing w:after="0" w:line="34" w:lineRule="exact"/>
        <w:rPr>
          <w:rFonts w:ascii="Arial" w:cs="Arial" w:eastAsia="Arial" w:hAnsi="Arial"/>
          <w:sz w:val="16"/>
          <w:szCs w:val="16"/>
          <w:color w:val="auto"/>
        </w:rPr>
      </w:pPr>
    </w:p>
    <w:p>
      <w:pPr>
        <w:ind w:left="-100" w:right="20" w:firstLine="656"/>
        <w:spacing w:after="0" w:line="289" w:lineRule="auto"/>
        <w:tabs>
          <w:tab w:leader="none" w:pos="1173"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All certificates for Shares and/or other securities delivered under the Plan pursuant to any Award or the exercise or settlement thereof shall be subject to such stop transfer orders and other restrictions as the Committee may deem advisable under the Plan or the rules, regulations and other requirements of the SEC, any stock market or exchange upon which such Shares or other securities are then quoted, traded or listed, and any applicable securities laws, and the Committee may cause a legend or legends to be put on any such certificates to make appropriate reference to such restrictions.</w:t>
      </w:r>
    </w:p>
    <w:p>
      <w:pPr>
        <w:spacing w:after="0" w:line="72" w:lineRule="exact"/>
        <w:rPr>
          <w:rFonts w:ascii="Arial" w:cs="Arial" w:eastAsia="Arial" w:hAnsi="Arial"/>
          <w:sz w:val="16"/>
          <w:szCs w:val="16"/>
          <w:color w:val="auto"/>
        </w:rPr>
      </w:pPr>
    </w:p>
    <w:p>
      <w:pPr>
        <w:ind w:left="-100" w:firstLine="656"/>
        <w:spacing w:after="0" w:line="279" w:lineRule="auto"/>
        <w:tabs>
          <w:tab w:leader="none" w:pos="1191"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Company will not be obligated to deliver any Shares under the Plan or remove restrictions from Shares previously delivered under the Plan until (i) all Award conditions have been met or removed to the Committee’s satisfaction, (ii) as determined by the Committee, all other legal matters regarding the issuance and delivery of such Shares have been satisfied, including any applicable securities laws, stock market or exchange rules and regulations or accounting or tax rules and regulations and (iii) the Participant has executed and delivered to the Company such documentation (including any representations or agreements) as the Committee deems necessary or appropriate. The Company’s inability to obtain authority from any regulatory body having jurisdiction, which the Committee determines is necessary to the lawful issuance and sale of any Shares, will relieve the Company of any liability for failing to issue or sell such Shares as to which such requisite authority has not been obtained.</w:t>
      </w:r>
    </w:p>
    <w:p>
      <w:pPr>
        <w:spacing w:after="0" w:line="82" w:lineRule="exact"/>
        <w:rPr>
          <w:rFonts w:ascii="Arial" w:cs="Arial" w:eastAsia="Arial" w:hAnsi="Arial"/>
          <w:sz w:val="16"/>
          <w:szCs w:val="16"/>
          <w:color w:val="auto"/>
        </w:rPr>
      </w:pPr>
    </w:p>
    <w:p>
      <w:pPr>
        <w:jc w:val="both"/>
        <w:ind w:left="-100" w:firstLine="656"/>
        <w:spacing w:after="0" w:line="289" w:lineRule="auto"/>
        <w:tabs>
          <w:tab w:leader="none" w:pos="1191"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Committee may impose restrictions on any Award with respect to non-competition, non-solicitation, non-disparagement, confidentiality and other restrictive covenants, or requirements to comply with minimum share ownership requirements, or retention requirements, as it deems necessary or appropriate in its sole discretion and in accordance with applicable laws, which such restrictions may be set forth in any applicable Award Agreement, policy of the Company or otherwise.</w:t>
      </w:r>
    </w:p>
    <w:p>
      <w:pPr>
        <w:spacing w:after="0" w:line="59" w:lineRule="exact"/>
        <w:rPr>
          <w:sz w:val="20"/>
          <w:szCs w:val="20"/>
          <w:color w:val="auto"/>
        </w:rPr>
      </w:pPr>
    </w:p>
    <w:p>
      <w:pPr>
        <w:ind w:left="560"/>
        <w:spacing w:after="0"/>
        <w:tabs>
          <w:tab w:leader="none" w:pos="1520" w:val="left"/>
        </w:tabs>
        <w:rPr>
          <w:sz w:val="20"/>
          <w:szCs w:val="20"/>
          <w:color w:val="auto"/>
        </w:rPr>
      </w:pPr>
      <w:r>
        <w:rPr>
          <w:rFonts w:ascii="Arial" w:cs="Arial" w:eastAsia="Arial" w:hAnsi="Arial"/>
          <w:sz w:val="16"/>
          <w:szCs w:val="16"/>
          <w:color w:val="auto"/>
        </w:rPr>
        <w:t>Section 16.</w:t>
      </w:r>
      <w:r>
        <w:rPr>
          <w:sz w:val="20"/>
          <w:szCs w:val="20"/>
          <w:color w:val="auto"/>
        </w:rPr>
        <w:tab/>
      </w:r>
      <w:r>
        <w:rPr>
          <w:rFonts w:ascii="Arial" w:cs="Arial" w:eastAsia="Arial" w:hAnsi="Arial"/>
          <w:sz w:val="16"/>
          <w:szCs w:val="16"/>
          <w:i w:val="1"/>
          <w:iCs w:val="1"/>
          <w:color w:val="auto"/>
        </w:rPr>
        <w:t>Amendments and Terminations.</w:t>
      </w:r>
    </w:p>
    <w:p>
      <w:pPr>
        <w:spacing w:after="0" w:line="140" w:lineRule="exact"/>
        <w:rPr>
          <w:sz w:val="20"/>
          <w:szCs w:val="20"/>
          <w:color w:val="auto"/>
        </w:rPr>
      </w:pPr>
    </w:p>
    <w:p>
      <w:pPr>
        <w:ind w:left="-100" w:right="100" w:firstLine="656"/>
        <w:spacing w:after="0" w:line="282" w:lineRule="auto"/>
        <w:tabs>
          <w:tab w:leader="none" w:pos="1191"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Amendment or Termination of the Plan. Except to the extent prohibited by applicable law and unless otherwise expressly provided in an Award Agreement or in the Plan, the Board may amend, alter, suspend, discontinue or terminate the Plan or any portion thereof at any time; provided, however, that no such amendment, alteration, suspension, discontinuation or termination shall be made without (i) shareholder approval if such approval is required by applicable law or the rules of the stock market or exchange, if any, on which the Shares are principally quoted or traded or (ii) subject to Section 5(c) and Section 13, the consent of the affected Participant, if such action would materially adversely affect the rights of such Participant under any outstanding Award, except (x) to the extent any such amendment, alteration,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724535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20" w:top="292" w:right="359" w:bottom="1440"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322"/>
        </w:trPr>
        <w:tc>
          <w:tcPr>
            <w:tcW w:w="10560" w:type="dxa"/>
            <w:vAlign w:val="bottom"/>
            <w:tcBorders>
              <w:right w:val="single" w:sz="8" w:color="1A3FD6"/>
            </w:tcBorders>
          </w:tcPr>
          <w:p>
            <w:pPr>
              <w:ind w:left="6620"/>
              <w:spacing w:after="0"/>
              <w:rPr>
                <w:sz w:val="20"/>
                <w:szCs w:val="20"/>
                <w:color w:val="auto"/>
              </w:rPr>
            </w:pPr>
            <w:r>
              <w:rPr>
                <w:rFonts w:ascii="Arial" w:cs="Arial" w:eastAsia="Arial" w:hAnsi="Arial"/>
                <w:sz w:val="14"/>
                <w:szCs w:val="14"/>
                <w:b w:val="1"/>
                <w:bCs w:val="1"/>
                <w:color w:val="1A3FD6"/>
              </w:rPr>
              <w:t>Annex C: MSCI Inc. 2025 Omnibus Incentive Plan | MSCI</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1A3FD6"/>
              </w:rPr>
              <w:t>139</w:t>
            </w:r>
          </w:p>
        </w:tc>
      </w:tr>
      <w:tr>
        <w:trPr>
          <w:trHeight w:val="191"/>
        </w:trPr>
        <w:tc>
          <w:tcPr>
            <w:tcW w:w="10560" w:type="dxa"/>
            <w:vAlign w:val="bottom"/>
            <w:tcBorders>
              <w:bottom w:val="single" w:sz="8" w:color="1A3FD6"/>
              <w:right w:val="single" w:sz="8" w:color="1A3FD6"/>
            </w:tcBorders>
          </w:tcPr>
          <w:p>
            <w:pPr>
              <w:spacing w:after="0"/>
              <w:rPr>
                <w:sz w:val="16"/>
                <w:szCs w:val="16"/>
                <w:color w:val="auto"/>
              </w:rPr>
            </w:pPr>
          </w:p>
        </w:tc>
        <w:tc>
          <w:tcPr>
            <w:tcW w:w="680" w:type="dxa"/>
            <w:vAlign w:val="bottom"/>
            <w:tcBorders>
              <w:bottom w:val="single" w:sz="8" w:color="1A3FD6"/>
            </w:tcBorders>
          </w:tcPr>
          <w:p>
            <w:pPr>
              <w:spacing w:after="0"/>
              <w:rPr>
                <w:sz w:val="16"/>
                <w:szCs w:val="16"/>
                <w:color w:val="auto"/>
              </w:rPr>
            </w:pPr>
          </w:p>
        </w:tc>
      </w:tr>
    </w:tbl>
    <w:p>
      <w:pPr>
        <w:spacing w:after="0" w:line="200" w:lineRule="exact"/>
        <w:rPr>
          <w:sz w:val="20"/>
          <w:szCs w:val="20"/>
          <w:color w:val="auto"/>
        </w:rPr>
      </w:pPr>
    </w:p>
    <w:p>
      <w:pPr>
        <w:spacing w:after="0" w:line="204"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suspension, discontinuance or termination is made to cause the Plan to comply with applicable law, stock market or exchange rules and regulations or accounting or tax rules and regulations or (y) to impose any “clawback” or recoupment provisions on any Awards (including any amounts or benefits arising from such Awards) in accordance with Section 20. Notwithstanding anything to the contrary in the Plan, the Committee may amend the Plan, or create sub-plans, in such manner as may be necessary or desirable to enable the Plan to achieve its stated purposes in any jurisdiction in a tax-efficient manner and in compliance with local rules and regulations.</w:t>
      </w:r>
    </w:p>
    <w:p>
      <w:pPr>
        <w:spacing w:after="0" w:line="80" w:lineRule="exact"/>
        <w:rPr>
          <w:sz w:val="20"/>
          <w:szCs w:val="20"/>
          <w:color w:val="auto"/>
        </w:rPr>
      </w:pPr>
    </w:p>
    <w:p>
      <w:pPr>
        <w:ind w:right="20" w:firstLine="656"/>
        <w:spacing w:after="0" w:line="321" w:lineRule="auto"/>
        <w:tabs>
          <w:tab w:leader="none" w:pos="1291" w:val="left"/>
        </w:tabs>
        <w:numPr>
          <w:ilvl w:val="0"/>
          <w:numId w:val="166"/>
        </w:numPr>
        <w:rPr>
          <w:rFonts w:ascii="Arial" w:cs="Arial" w:eastAsia="Arial" w:hAnsi="Arial"/>
          <w:sz w:val="16"/>
          <w:szCs w:val="16"/>
          <w:color w:val="auto"/>
        </w:rPr>
      </w:pPr>
      <w:r>
        <w:rPr>
          <w:rFonts w:ascii="Arial" w:cs="Arial" w:eastAsia="Arial" w:hAnsi="Arial"/>
          <w:sz w:val="16"/>
          <w:szCs w:val="16"/>
          <w:color w:val="auto"/>
        </w:rPr>
        <w:t>Dissolution or Liquidation. In the event of the dissolution or liquidation of the Company, each Award shall terminate immediately prior to the consummation of such action, unless otherwise determined by the Committee.</w:t>
      </w:r>
    </w:p>
    <w:p>
      <w:pPr>
        <w:spacing w:after="0" w:line="34" w:lineRule="exact"/>
        <w:rPr>
          <w:rFonts w:ascii="Arial" w:cs="Arial" w:eastAsia="Arial" w:hAnsi="Arial"/>
          <w:sz w:val="16"/>
          <w:szCs w:val="16"/>
          <w:color w:val="auto"/>
        </w:rPr>
      </w:pPr>
    </w:p>
    <w:p>
      <w:pPr>
        <w:ind w:firstLine="656"/>
        <w:spacing w:after="0" w:line="280" w:lineRule="auto"/>
        <w:tabs>
          <w:tab w:leader="none" w:pos="1282"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Terms of Awards. The Committee may waive any conditions or rights under, amend any terms of, or amend, alter, suspend, discontinue or terminate any Award theretofore granted, prospectively or retroactively, without the consent of any relevant Participant or holder or Beneficiary of an Award; provided, however, that, subject to Section 5(c) and Section 13, no such action shall materially adversely affect the rights of any affected Participant or holder or Beneficiary under any Award theretofore granted under the Plan, except (x) to the extent any such action is made to cause the Plan to comply with applicable law, stock market or exchange rules and regulations or accounting or tax rules and regulations, or (y) to impose any “clawback” or recoupment provisions on any Awards (including any amounts or benefits arising from such Awards) in accordance with Section 20. The Committee shall be authorized to make adjustments in the terms and conditions of, and the criteria included in, Awards in recognition of events (including the events described in Section 5(c))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67" w:lineRule="exact"/>
        <w:rPr>
          <w:rFonts w:ascii="Arial" w:cs="Arial" w:eastAsia="Arial" w:hAnsi="Arial"/>
          <w:sz w:val="16"/>
          <w:szCs w:val="16"/>
          <w:color w:val="auto"/>
        </w:rPr>
      </w:pPr>
    </w:p>
    <w:p>
      <w:pPr>
        <w:jc w:val="both"/>
        <w:ind w:right="80" w:firstLine="656"/>
        <w:spacing w:after="0" w:line="289" w:lineRule="auto"/>
        <w:tabs>
          <w:tab w:leader="none" w:pos="1278" w:val="left"/>
        </w:tabs>
        <w:numPr>
          <w:ilvl w:val="0"/>
          <w:numId w:val="166"/>
        </w:numPr>
        <w:rPr>
          <w:rFonts w:ascii="Arial" w:cs="Arial" w:eastAsia="Arial" w:hAnsi="Arial"/>
          <w:sz w:val="16"/>
          <w:szCs w:val="16"/>
          <w:color w:val="auto"/>
        </w:rPr>
      </w:pPr>
      <w:r>
        <w:rPr>
          <w:rFonts w:ascii="Arial" w:cs="Arial" w:eastAsia="Arial" w:hAnsi="Arial"/>
          <w:sz w:val="16"/>
          <w:szCs w:val="16"/>
          <w:color w:val="auto"/>
        </w:rPr>
        <w:t>No Repricing. Notwithstanding anything in the Plan to the contrary, except as provided in Section 5(c), no action (including the repurchase of Options, SARs or similar Awards (in each case, that are “out of the money”) for cash and/or other property) shall directly or indirectly, through cancellation and grant or regrant of any Award, repurchase or any other method, reduce, or have the effect of reducing, the exercise or hurdle price of any Award established at the time of grant thereof without approval of the Company’s shareholders.</w:t>
      </w:r>
    </w:p>
    <w:p>
      <w:pPr>
        <w:spacing w:after="0" w:line="59"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color w:val="auto"/>
        </w:rPr>
        <w:t>Section 17.</w:t>
      </w:r>
      <w:r>
        <w:rPr>
          <w:sz w:val="20"/>
          <w:szCs w:val="20"/>
          <w:color w:val="auto"/>
        </w:rPr>
        <w:tab/>
      </w:r>
      <w:r>
        <w:rPr>
          <w:rFonts w:ascii="Arial" w:cs="Arial" w:eastAsia="Arial" w:hAnsi="Arial"/>
          <w:sz w:val="16"/>
          <w:szCs w:val="16"/>
          <w:i w:val="1"/>
          <w:iCs w:val="1"/>
          <w:color w:val="auto"/>
        </w:rPr>
        <w:t>Miscellaneous.</w:t>
      </w:r>
    </w:p>
    <w:p>
      <w:pPr>
        <w:spacing w:after="0" w:line="140" w:lineRule="exact"/>
        <w:rPr>
          <w:sz w:val="20"/>
          <w:szCs w:val="20"/>
          <w:color w:val="auto"/>
        </w:rPr>
      </w:pPr>
    </w:p>
    <w:p>
      <w:pPr>
        <w:ind w:right="20" w:firstLine="656"/>
        <w:spacing w:after="0" w:line="289" w:lineRule="auto"/>
        <w:tabs>
          <w:tab w:leader="none" w:pos="1291" w:val="left"/>
        </w:tabs>
        <w:numPr>
          <w:ilvl w:val="0"/>
          <w:numId w:val="167"/>
        </w:numPr>
        <w:rPr>
          <w:rFonts w:ascii="Arial" w:cs="Arial" w:eastAsia="Arial" w:hAnsi="Arial"/>
          <w:sz w:val="16"/>
          <w:szCs w:val="16"/>
          <w:color w:val="auto"/>
        </w:rPr>
      </w:pPr>
      <w:r>
        <w:rPr>
          <w:rFonts w:ascii="Arial" w:cs="Arial" w:eastAsia="Arial" w:hAnsi="Arial"/>
          <w:sz w:val="16"/>
          <w:szCs w:val="16"/>
          <w:color w:val="auto"/>
        </w:rPr>
        <w:t>No Employee, Consultant, Director, Participant or other Person shall have any claim to be granted any Award under the Plan, and there is no obligation for uniformity of treatment of employees, Participants or holders or Beneficiaries of Awards under the Plan. The terms and conditions of Awards need not be the same with respect to each recipient. Any Award granted under the Plan shall be a one-time Award that does not constitute a promise of future grants. The Company, in its sole discretion, maintains the right to make available future grants under the Plan.</w:t>
      </w:r>
    </w:p>
    <w:p>
      <w:pPr>
        <w:spacing w:after="0" w:line="58" w:lineRule="exact"/>
        <w:rPr>
          <w:rFonts w:ascii="Arial" w:cs="Arial" w:eastAsia="Arial" w:hAnsi="Arial"/>
          <w:sz w:val="16"/>
          <w:szCs w:val="16"/>
          <w:color w:val="auto"/>
        </w:rPr>
      </w:pPr>
    </w:p>
    <w:p>
      <w:pPr>
        <w:ind w:right="60" w:firstLine="656"/>
        <w:spacing w:after="0" w:line="287" w:lineRule="auto"/>
        <w:tabs>
          <w:tab w:leader="none" w:pos="1291"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grant of an Award shall not be construed as giving a Participant the right to be retained in the employ of, or to continue to provide services to, the Company or any Subsidiary. Further, the Company or any applicable Subsidiary may at any time dismiss a Participant, free from any liability, or any claim under the Plan, unless otherwise expressly provided in the Plan or in any Award Agreement or in any other agreement binding on the parties. The receipt of any Award under the Plan is not intended to confer any rights on the receiving Participant except as set forth in the applicable Award Agreement.</w:t>
      </w:r>
    </w:p>
    <w:p>
      <w:pPr>
        <w:spacing w:after="0" w:line="60" w:lineRule="exact"/>
        <w:rPr>
          <w:rFonts w:ascii="Arial" w:cs="Arial" w:eastAsia="Arial" w:hAnsi="Arial"/>
          <w:sz w:val="16"/>
          <w:szCs w:val="16"/>
          <w:color w:val="auto"/>
        </w:rPr>
      </w:pPr>
    </w:p>
    <w:p>
      <w:pPr>
        <w:ind w:right="840" w:firstLine="656"/>
        <w:spacing w:after="0" w:line="321" w:lineRule="auto"/>
        <w:tabs>
          <w:tab w:leader="none" w:pos="1282" w:val="left"/>
        </w:tabs>
        <w:numPr>
          <w:ilvl w:val="0"/>
          <w:numId w:val="167"/>
        </w:numPr>
        <w:rPr>
          <w:rFonts w:ascii="Arial" w:cs="Arial" w:eastAsia="Arial" w:hAnsi="Arial"/>
          <w:sz w:val="16"/>
          <w:szCs w:val="16"/>
          <w:color w:val="auto"/>
        </w:rPr>
      </w:pPr>
      <w:r>
        <w:rPr>
          <w:rFonts w:ascii="Arial" w:cs="Arial" w:eastAsia="Arial" w:hAnsi="Arial"/>
          <w:sz w:val="16"/>
          <w:szCs w:val="16"/>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47" w:lineRule="exact"/>
        <w:rPr>
          <w:rFonts w:ascii="Arial" w:cs="Arial" w:eastAsia="Arial" w:hAnsi="Arial"/>
          <w:sz w:val="16"/>
          <w:szCs w:val="16"/>
          <w:color w:val="auto"/>
        </w:rPr>
      </w:pPr>
    </w:p>
    <w:p>
      <w:pPr>
        <w:ind w:right="20" w:firstLine="656"/>
        <w:spacing w:after="0" w:line="282" w:lineRule="auto"/>
        <w:tabs>
          <w:tab w:leader="none" w:pos="1278"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Committee may authorize the Company to withhold from any Award granted or any payment due or transfer made under any Award or under the Plan or from any compensation or other amount owing to the Participant the amount (in cash, Shares, other Awards, other property, net settlement, or any combination thereof) of applicable withholding taxes due in respect of an Award, its exercise or settlement or any payment or transfer under such Award or under the Plan and to take such other action (including providing for elective payment of such amounts in cash or Shares by such Participant) as may be necessary to satisfy all obligations for the payment of such taxes and, unless otherwise determined by the Committee in its discretion, to the extent such withholding would not result in liability classification of such Award (or any portion thereof) pursuant to FASB ASC Subtopic 718-10.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41" w:name="page142"/>
    <w:bookmarkEnd w:id="141"/>
    <w:p>
      <w:pPr>
        <w:ind w:left="100"/>
        <w:spacing w:after="0"/>
        <w:tabs>
          <w:tab w:leader="none" w:pos="78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140</w:t>
      </w:r>
      <w:r>
        <w:rPr>
          <w:sz w:val="20"/>
          <w:szCs w:val="20"/>
          <w:color w:val="auto"/>
        </w:rPr>
        <w:tab/>
      </w:r>
      <w:r>
        <w:rPr>
          <w:rFonts w:ascii="Arial" w:cs="Arial" w:eastAsia="Arial" w:hAnsi="Arial"/>
          <w:sz w:val="14"/>
          <w:szCs w:val="14"/>
          <w:b w:val="1"/>
          <w:bCs w:val="1"/>
          <w:color w:val="1A3FD6"/>
        </w:rPr>
        <w:t>2025 PROXY STATEMENT</w:t>
      </w:r>
    </w:p>
    <w:p>
      <w:pPr>
        <w:sectPr>
          <w:pgSz w:w="11900" w:h="16838" w:orient="portrait"/>
          <w:cols w:equalWidth="0" w:num="1">
            <w:col w:w="11220"/>
          </w:cols>
          <w:pgMar w:left="320" w:top="2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40" w:firstLine="656"/>
        <w:spacing w:after="0" w:line="282" w:lineRule="auto"/>
        <w:tabs>
          <w:tab w:leader="none" w:pos="1291"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If any provision of the Plan or any Award Agreement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Agreement, such provision shall be stricken as to such jurisdiction, Person or Award, and the remainder of the Plan and any such Award Agreement shall remain in full force and effect.</w:t>
      </w:r>
    </w:p>
    <w:p>
      <w:pPr>
        <w:spacing w:after="0" w:line="80" w:lineRule="exact"/>
        <w:rPr>
          <w:rFonts w:ascii="Arial" w:cs="Arial" w:eastAsia="Arial" w:hAnsi="Arial"/>
          <w:sz w:val="16"/>
          <w:szCs w:val="16"/>
          <w:color w:val="auto"/>
        </w:rPr>
      </w:pPr>
    </w:p>
    <w:p>
      <w:pPr>
        <w:ind w:right="580" w:firstLine="656"/>
        <w:spacing w:after="0" w:line="292" w:lineRule="auto"/>
        <w:tabs>
          <w:tab w:leader="none" w:pos="1273" w:val="left"/>
        </w:tabs>
        <w:numPr>
          <w:ilvl w:val="0"/>
          <w:numId w:val="168"/>
        </w:numPr>
        <w:rPr>
          <w:rFonts w:ascii="Arial" w:cs="Arial" w:eastAsia="Arial" w:hAnsi="Arial"/>
          <w:sz w:val="16"/>
          <w:szCs w:val="16"/>
          <w:color w:val="auto"/>
        </w:rPr>
      </w:pPr>
      <w:r>
        <w:rPr>
          <w:rFonts w:ascii="Arial" w:cs="Arial" w:eastAsia="Arial" w:hAnsi="Arial"/>
          <w:sz w:val="16"/>
          <w:szCs w:val="16"/>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70" w:lineRule="exact"/>
        <w:rPr>
          <w:rFonts w:ascii="Arial" w:cs="Arial" w:eastAsia="Arial" w:hAnsi="Arial"/>
          <w:sz w:val="16"/>
          <w:szCs w:val="16"/>
          <w:color w:val="auto"/>
        </w:rPr>
      </w:pPr>
    </w:p>
    <w:p>
      <w:pPr>
        <w:ind w:right="160" w:firstLine="656"/>
        <w:spacing w:after="0" w:line="292" w:lineRule="auto"/>
        <w:tabs>
          <w:tab w:leader="none" w:pos="1291" w:val="left"/>
        </w:tabs>
        <w:numPr>
          <w:ilvl w:val="0"/>
          <w:numId w:val="168"/>
        </w:numPr>
        <w:rPr>
          <w:rFonts w:ascii="Arial" w:cs="Arial" w:eastAsia="Arial" w:hAnsi="Arial"/>
          <w:sz w:val="16"/>
          <w:szCs w:val="16"/>
          <w:color w:val="auto"/>
        </w:rPr>
      </w:pPr>
      <w:r>
        <w:rPr>
          <w:rFonts w:ascii="Arial" w:cs="Arial" w:eastAsia="Arial" w:hAnsi="Arial"/>
          <w:sz w:val="16"/>
          <w:szCs w:val="16"/>
          <w:color w:val="auto"/>
        </w:rPr>
        <w:t>No fractional Shares shall be issued or delivered pursuant to the Plan or any Award, and the Committee shall determine whether cash or other securities shall be paid or transferred in lieu of any fractional Shares, or whether such fractional Shares or any rights thereto shall be canceled, terminated or otherwise eliminated.</w:t>
      </w:r>
    </w:p>
    <w:p>
      <w:pPr>
        <w:spacing w:after="0" w:line="70" w:lineRule="exact"/>
        <w:rPr>
          <w:rFonts w:ascii="Arial" w:cs="Arial" w:eastAsia="Arial" w:hAnsi="Arial"/>
          <w:sz w:val="16"/>
          <w:szCs w:val="16"/>
          <w:color w:val="auto"/>
        </w:rPr>
      </w:pPr>
    </w:p>
    <w:p>
      <w:pPr>
        <w:jc w:val="both"/>
        <w:ind w:right="100" w:firstLine="656"/>
        <w:spacing w:after="0" w:line="282" w:lineRule="auto"/>
        <w:tabs>
          <w:tab w:leader="none" w:pos="1291"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tax policy or custom. The Committee also may impose conditions on the exercise or vesting of Awards in order to minimize the Company’s obligation with respect to tax equalization for Participants on assignments outside their home country.</w:t>
      </w:r>
    </w:p>
    <w:p>
      <w:pPr>
        <w:spacing w:after="0" w:line="80"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color w:val="auto"/>
        </w:rPr>
        <w:t>Section 18.</w:t>
      </w:r>
      <w:r>
        <w:rPr>
          <w:sz w:val="20"/>
          <w:szCs w:val="20"/>
          <w:color w:val="auto"/>
        </w:rPr>
        <w:tab/>
      </w:r>
      <w:r>
        <w:rPr>
          <w:rFonts w:ascii="Arial" w:cs="Arial" w:eastAsia="Arial" w:hAnsi="Arial"/>
          <w:sz w:val="16"/>
          <w:szCs w:val="16"/>
          <w:i w:val="1"/>
          <w:iCs w:val="1"/>
          <w:color w:val="auto"/>
        </w:rPr>
        <w:t xml:space="preserve">Effective Date of the Plan. </w:t>
      </w:r>
      <w:r>
        <w:rPr>
          <w:rFonts w:ascii="Arial" w:cs="Arial" w:eastAsia="Arial" w:hAnsi="Arial"/>
          <w:sz w:val="16"/>
          <w:szCs w:val="16"/>
          <w:color w:val="auto"/>
        </w:rPr>
        <w:t>The Plan shall be effective as of the Effective Date.</w:t>
      </w:r>
    </w:p>
    <w:p>
      <w:pPr>
        <w:spacing w:after="0" w:line="127" w:lineRule="exact"/>
        <w:rPr>
          <w:sz w:val="20"/>
          <w:szCs w:val="20"/>
          <w:color w:val="auto"/>
        </w:rPr>
      </w:pPr>
    </w:p>
    <w:p>
      <w:pPr>
        <w:ind w:right="40" w:firstLine="648"/>
        <w:spacing w:after="0" w:line="282" w:lineRule="auto"/>
        <w:rPr>
          <w:sz w:val="20"/>
          <w:szCs w:val="20"/>
          <w:color w:val="auto"/>
        </w:rPr>
      </w:pPr>
      <w:r>
        <w:rPr>
          <w:rFonts w:ascii="Arial" w:cs="Arial" w:eastAsia="Arial" w:hAnsi="Arial"/>
          <w:sz w:val="16"/>
          <w:szCs w:val="16"/>
          <w:color w:val="auto"/>
        </w:rPr>
        <w:t xml:space="preserve">Section 19. </w:t>
      </w:r>
      <w:r>
        <w:rPr>
          <w:rFonts w:ascii="Arial" w:cs="Arial" w:eastAsia="Arial" w:hAnsi="Arial"/>
          <w:sz w:val="16"/>
          <w:szCs w:val="16"/>
          <w:i w:val="1"/>
          <w:iCs w:val="1"/>
          <w:color w:val="auto"/>
        </w:rPr>
        <w:t>Term of the Plan.</w:t>
      </w:r>
      <w:r>
        <w:rPr>
          <w:rFonts w:ascii="Arial" w:cs="Arial" w:eastAsia="Arial" w:hAnsi="Arial"/>
          <w:sz w:val="16"/>
          <w:szCs w:val="16"/>
          <w:color w:val="auto"/>
        </w:rPr>
        <w:t xml:space="preserve"> No Award shall be granted under the Plan after the earliest to occur of (i) the 10-year anniversary of the Effective Date; (ii) the maximum number of Shares available for issuance under the Plan have been issued; or (iii) the Board terminates the Plan in accordance with Section 16(a). However, unless otherwise expressly provided in the Plan or in an applicable Award Agreement,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pacing w:after="0" w:line="80"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color w:val="auto"/>
        </w:rPr>
        <w:t>Section 20.</w:t>
      </w:r>
      <w:r>
        <w:rPr>
          <w:sz w:val="20"/>
          <w:szCs w:val="20"/>
          <w:color w:val="auto"/>
        </w:rPr>
        <w:tab/>
      </w:r>
      <w:r>
        <w:rPr>
          <w:rFonts w:ascii="Arial" w:cs="Arial" w:eastAsia="Arial" w:hAnsi="Arial"/>
          <w:sz w:val="16"/>
          <w:szCs w:val="16"/>
          <w:i w:val="1"/>
          <w:iCs w:val="1"/>
          <w:color w:val="auto"/>
        </w:rPr>
        <w:t>Cancellation or “Clawback” of Awards.</w:t>
      </w:r>
    </w:p>
    <w:p>
      <w:pPr>
        <w:spacing w:after="0" w:line="140" w:lineRule="exact"/>
        <w:rPr>
          <w:sz w:val="20"/>
          <w:szCs w:val="20"/>
          <w:color w:val="auto"/>
        </w:rPr>
      </w:pPr>
    </w:p>
    <w:p>
      <w:pPr>
        <w:ind w:firstLine="656"/>
        <w:spacing w:after="0" w:line="277" w:lineRule="auto"/>
        <w:tabs>
          <w:tab w:leader="none" w:pos="1291"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Committee may specify in an Award Agreement that a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without limitation, a Termination of Service with or without “cause” (as such term may be defined in the applicable Award Agreement and/or the Participant’s employment agreement or offer letter, as the case may be) (and, in the case of any “cause” that is resulting from an indictment or other non-final determination, the Committee may provide for such Award to be held in escrow or abeyance until a final resolution of the matters related to such event occurs, at which time the Award shall either be reduced, cancelled or forfeited (as provided in such Award Agreement) or remain in effect, depending on the outcome), violation of material policies, breach of non-competition, non-solicitation, non-disparagement, confidentiality or other restrictive covenants, or requirements to comply with minimum share ownership requirements, that may apply to the Participant, or other conduct by the Participant that is detrimental to the business or reputation of the Company and/or its Affiliates.</w:t>
      </w:r>
    </w:p>
    <w:p>
      <w:pPr>
        <w:spacing w:after="0" w:line="86" w:lineRule="exact"/>
        <w:rPr>
          <w:rFonts w:ascii="Arial" w:cs="Arial" w:eastAsia="Arial" w:hAnsi="Arial"/>
          <w:sz w:val="16"/>
          <w:szCs w:val="16"/>
          <w:color w:val="auto"/>
        </w:rPr>
      </w:pPr>
    </w:p>
    <w:p>
      <w:pPr>
        <w:ind w:right="40" w:firstLine="656"/>
        <w:spacing w:after="0" w:line="280" w:lineRule="auto"/>
        <w:tabs>
          <w:tab w:leader="none" w:pos="1291"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Committee shall have full authority to implement any policies and procedures necessary to comply with any reduction, cancellation, forfeiture or recoupment requirement imposed under any applicable laws, rules, regulations or stock exchange listing standard or under any associated Company recoupment policy, including Section 954 of the U.S. Dodd-Frank Wall Street Reform and Consumer Protection Act, Section 10D of the Exchange Act and any rules promulgated thereunder and any other regulatory regimes and any other regulatory regimes, including Rule 10D-1 of the Exchange Act and Section 303A.14 of the NYSE Listed Company Manual. Notwithstanding anything to the contrary contained herein, any Awards granted under the Plan (including any amounts or benefits arising from such Awards) shall be subject to any clawback or recoupment arrangements or policies the Company has in place from time to time, and the Committee may, to the extent permitted by applicable law and stock exchange rules or by any applicable Company policy or arrangement, and shall, to the extent required, cancel or require reimbursement of any Awards granted to the Participant or any Shares issued or cash received upon vesting, exercise or settlement of any such Awards or sale of Shares underlying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type w:val="continuous"/>
        </w:sectPr>
      </w:pPr>
    </w:p>
    <w:bookmarkStart w:id="142" w:name="page143"/>
    <w:bookmarkEnd w:id="142"/>
    <w:p>
      <w:pPr>
        <w:ind w:left="6620"/>
        <w:spacing w:after="0"/>
        <w:tabs>
          <w:tab w:leader="none" w:pos="10900" w:val="left"/>
        </w:tabs>
        <w:rPr>
          <w:sz w:val="20"/>
          <w:szCs w:val="20"/>
          <w:color w:val="auto"/>
        </w:rPr>
      </w:pPr>
      <w:r>
        <w:rPr>
          <w:rFonts w:ascii="Arial" w:cs="Arial" w:eastAsia="Arial" w:hAnsi="Arial"/>
          <w:sz w:val="14"/>
          <w:szCs w:val="14"/>
          <w:b w:val="1"/>
          <w:bCs w:val="1"/>
          <w:color w:val="1A3FD6"/>
        </w:rPr>
        <w:drawing>
          <wp:anchor simplePos="0" relativeHeight="251657728" behindDoc="1" locked="0" layoutInCell="0" allowOverlap="1">
            <wp:simplePos x="0" y="0"/>
            <wp:positionH relativeFrom="page">
              <wp:posOffset>208280</wp:posOffset>
            </wp:positionH>
            <wp:positionV relativeFrom="page">
              <wp:posOffset>106045</wp:posOffset>
            </wp:positionV>
            <wp:extent cx="7132320" cy="3346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32320" cy="334645"/>
                    </a:xfrm>
                    <a:prstGeom prst="rect">
                      <a:avLst/>
                    </a:prstGeom>
                    <a:noFill/>
                  </pic:spPr>
                </pic:pic>
              </a:graphicData>
            </a:graphic>
          </wp:anchor>
        </w:drawing>
        <w:t>Annex C: MSCI Inc. 2025 Omnibus Incentive Plan | MSCI</w:t>
      </w:r>
      <w:r>
        <w:rPr>
          <w:sz w:val="20"/>
          <w:szCs w:val="20"/>
          <w:color w:val="auto"/>
        </w:rPr>
        <w:tab/>
      </w:r>
      <w:r>
        <w:rPr>
          <w:rFonts w:ascii="Arial" w:cs="Arial" w:eastAsia="Arial" w:hAnsi="Arial"/>
          <w:sz w:val="14"/>
          <w:szCs w:val="14"/>
          <w:b w:val="1"/>
          <w:bCs w:val="1"/>
          <w:color w:val="1A3FD6"/>
        </w:rPr>
        <w:t>141</w:t>
      </w:r>
    </w:p>
    <w:p>
      <w:pPr>
        <w:sectPr>
          <w:pgSz w:w="11900" w:h="16838" w:orient="portrait"/>
          <w:cols w:equalWidth="0" w:num="1">
            <w:col w:w="11180"/>
          </w:cols>
          <w:pgMar w:left="320" w:top="29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firstLine="648"/>
        <w:spacing w:after="0" w:line="277" w:lineRule="auto"/>
        <w:rPr>
          <w:sz w:val="20"/>
          <w:szCs w:val="20"/>
          <w:color w:val="auto"/>
        </w:rPr>
      </w:pPr>
      <w:r>
        <w:rPr>
          <w:rFonts w:ascii="Arial" w:cs="Arial" w:eastAsia="Arial" w:hAnsi="Arial"/>
          <w:sz w:val="16"/>
          <w:szCs w:val="16"/>
          <w:color w:val="auto"/>
        </w:rPr>
        <w:t>Section 21. Section 409A of the Code. With respect to Awards subject to Section 409A of the Code, the Plan is intended to comply with the requirements of Section 409A of the Code, and the provisions of the Plan and any Award Agreement shall be interpreted in a manner that satisfies the requirements of Section 409A of the Code, and the Plan shall be operated accordingly. If any provision of the Plan or any term or condition of any Award would otherwise frustrate or conflict with this intent, the provision, term or condition shall be interpreted and deemed amended so as to avoid this conflict. Notwithstanding anything in the Plan to the contrary, if the Board considers a Participant to be a “specified employee” under Section 409A of the Code at the time of such Participant’s “separation from service” (as defined in Section 409A of the Code), and any amount hereunder is “deferred compensation” subject to Section 409A of the Code, any distribution of such amount that otherwise would be made to such Participant with respect to an Award as a result of such “separation from service” shall not be made until the date that is six months after such “separation from service,” except to the extent that earlier distribution would not result in such Participant’s incurring interest or additional tax under Section 409A of the Code. If an Award includes a “series of installment payments” (within the meaning of Section 1.409A-2(b)(2)(iii) of the Treasury Regulations), the Participant’s right to such series of installment payments shall be treated as a right to a series of separate payments and not as a right to a single payment, and if an Award includes “dividend equivalents” (within the meaning of Section 1.409A-3(e) of the Treasury Regulations), the Participant’s right to such dividend equivalents shall be treated separately from the right to other amounts under the Award. Notwithstanding the foregoing, the tax treatment of the benefits provided under the Plan or any Award Agreement is not warranted or guaranteed, and in no event shall the Company be liable for all or any portion of any taxes, penalties, interest or other expenses that may be incurred by any Participant on account of non-compliance with Section 409A of the Code.</w:t>
      </w:r>
    </w:p>
    <w:p>
      <w:pPr>
        <w:spacing w:after="0" w:line="82" w:lineRule="exact"/>
        <w:rPr>
          <w:sz w:val="20"/>
          <w:szCs w:val="20"/>
          <w:color w:val="auto"/>
        </w:rPr>
      </w:pPr>
    </w:p>
    <w:p>
      <w:pPr>
        <w:ind w:right="260" w:firstLine="648"/>
        <w:spacing w:after="0" w:line="321"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i w:val="1"/>
          <w:iCs w:val="1"/>
          <w:color w:val="auto"/>
        </w:rPr>
        <w:t>Successors and Assigns.</w:t>
      </w:r>
      <w:r>
        <w:rPr>
          <w:rFonts w:ascii="Arial" w:cs="Arial" w:eastAsia="Arial" w:hAnsi="Arial"/>
          <w:sz w:val="16"/>
          <w:szCs w:val="16"/>
          <w:color w:val="auto"/>
        </w:rPr>
        <w:t xml:space="preserve"> The terms of the Plan shall be binding upon and inure to the benefit of the Company and any successor entity, including any successor entity contemplated by Section 13(b).</w:t>
      </w:r>
    </w:p>
    <w:p>
      <w:pPr>
        <w:spacing w:after="0" w:line="34" w:lineRule="exact"/>
        <w:rPr>
          <w:sz w:val="20"/>
          <w:szCs w:val="20"/>
          <w:color w:val="auto"/>
        </w:rPr>
      </w:pPr>
    </w:p>
    <w:p>
      <w:pPr>
        <w:jc w:val="both"/>
        <w:ind w:right="40" w:firstLine="648"/>
        <w:spacing w:after="0" w:line="292"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i w:val="1"/>
          <w:iCs w:val="1"/>
          <w:color w:val="auto"/>
        </w:rPr>
        <w:t>Data Protection.</w:t>
      </w:r>
      <w:r>
        <w:rPr>
          <w:rFonts w:ascii="Arial" w:cs="Arial" w:eastAsia="Arial" w:hAnsi="Arial"/>
          <w:sz w:val="16"/>
          <w:szCs w:val="16"/>
          <w:color w:val="auto"/>
        </w:rPr>
        <w:t xml:space="preserve"> By participating in the Plan, each Participant agrees to the holding and processing of personal information provided by the Participant to the Company or any Affiliate, trustee or third party service provider, for all purposes relating to the operation of the Plan. These include, but are not limited to:</w:t>
      </w:r>
    </w:p>
    <w:p>
      <w:pPr>
        <w:spacing w:after="0" w:line="71" w:lineRule="exact"/>
        <w:rPr>
          <w:sz w:val="20"/>
          <w:szCs w:val="20"/>
          <w:color w:val="auto"/>
        </w:rPr>
      </w:pPr>
    </w:p>
    <w:p>
      <w:pPr>
        <w:ind w:left="1300" w:hanging="644"/>
        <w:spacing w:after="0"/>
        <w:tabs>
          <w:tab w:leader="none" w:pos="13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administering and maintaining Participant records;</w:t>
      </w:r>
    </w:p>
    <w:p>
      <w:pPr>
        <w:spacing w:after="0" w:line="126" w:lineRule="exact"/>
        <w:rPr>
          <w:rFonts w:ascii="Arial" w:cs="Arial" w:eastAsia="Arial" w:hAnsi="Arial"/>
          <w:sz w:val="16"/>
          <w:szCs w:val="16"/>
          <w:color w:val="auto"/>
        </w:rPr>
      </w:pPr>
    </w:p>
    <w:p>
      <w:pPr>
        <w:ind w:right="920" w:firstLine="656"/>
        <w:spacing w:after="0" w:line="321" w:lineRule="auto"/>
        <w:tabs>
          <w:tab w:leader="none" w:pos="129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providing information to the Company, any Subsidiary, trustees of any employee benefit trust, registrars, brokers or third party administrators of the Plan;</w:t>
      </w:r>
    </w:p>
    <w:p>
      <w:pPr>
        <w:spacing w:after="0" w:line="47" w:lineRule="exact"/>
        <w:rPr>
          <w:rFonts w:ascii="Arial" w:cs="Arial" w:eastAsia="Arial" w:hAnsi="Arial"/>
          <w:sz w:val="16"/>
          <w:szCs w:val="16"/>
          <w:color w:val="auto"/>
        </w:rPr>
      </w:pPr>
    </w:p>
    <w:p>
      <w:pPr>
        <w:ind w:left="1300" w:hanging="644"/>
        <w:spacing w:after="0"/>
        <w:tabs>
          <w:tab w:leader="none" w:pos="13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providing information to future purchasers or merger partners of the Company or any Affiliate, or the business in which the Participant</w:t>
      </w:r>
    </w:p>
    <w:p>
      <w:pPr>
        <w:spacing w:after="0" w:line="3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works; and</w:t>
      </w:r>
    </w:p>
    <w:p>
      <w:pPr>
        <w:spacing w:after="0" w:line="127" w:lineRule="exact"/>
        <w:rPr>
          <w:rFonts w:ascii="Arial" w:cs="Arial" w:eastAsia="Arial" w:hAnsi="Arial"/>
          <w:sz w:val="16"/>
          <w:szCs w:val="16"/>
          <w:color w:val="auto"/>
        </w:rPr>
      </w:pPr>
    </w:p>
    <w:p>
      <w:pPr>
        <w:ind w:right="180" w:firstLine="656"/>
        <w:spacing w:after="0" w:line="304" w:lineRule="auto"/>
        <w:tabs>
          <w:tab w:leader="none" w:pos="1278"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transferring information about the Participant to any country or territory that may not provide the same information protection or rights as the Participant's home country.</w:t>
      </w:r>
    </w:p>
    <w:p>
      <w:pPr>
        <w:spacing w:after="0" w:line="60" w:lineRule="exact"/>
        <w:rPr>
          <w:sz w:val="20"/>
          <w:szCs w:val="20"/>
          <w:color w:val="auto"/>
        </w:rPr>
      </w:pPr>
    </w:p>
    <w:p>
      <w:pPr>
        <w:ind w:right="100" w:firstLine="648"/>
        <w:spacing w:after="0" w:line="321"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i w:val="1"/>
          <w:iCs w:val="1"/>
          <w:color w:val="auto"/>
        </w:rPr>
        <w:t>Governing Law.</w:t>
      </w:r>
      <w:r>
        <w:rPr>
          <w:rFonts w:ascii="Arial" w:cs="Arial" w:eastAsia="Arial" w:hAnsi="Arial"/>
          <w:sz w:val="16"/>
          <w:szCs w:val="16"/>
          <w:color w:val="auto"/>
        </w:rPr>
        <w:t xml:space="preserve"> The Plan and each Award Agreement shall be governed by the laws of the State of Delaware, without application of the conflicts of law principles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92" w:right="399" w:bottom="1440" w:gutter="0" w:footer="0" w:header="0"/>
          <w:type w:val="continuous"/>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57720" cy="900493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311785</wp:posOffset>
            </wp:positionV>
            <wp:extent cx="7157720" cy="89363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7720" cy="8936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311785</wp:posOffset>
            </wp:positionV>
            <wp:extent cx="6789420" cy="877824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F6DD9AC"/>
    <w:multiLevelType w:val="hybridMultilevel"/>
    <w:lvl w:ilvl="0">
      <w:lvlJc w:val="left"/>
      <w:lvlText w:val="☐"/>
      <w:numFmt w:val="bullet"/>
      <w:start w:val="1"/>
    </w:lvl>
  </w:abstractNum>
  <w:abstractNum w:abstractNumId="1">
    <w:nsid w:val="94211F2"/>
    <w:multiLevelType w:val="hybridMultilevel"/>
    <w:lvl w:ilvl="0">
      <w:lvlJc w:val="left"/>
      <w:lvlText w:val="☑"/>
      <w:numFmt w:val="bullet"/>
      <w:start w:val="1"/>
    </w:lvl>
  </w:abstractNum>
  <w:abstractNum w:abstractNumId="2">
    <w:nsid w:val="885E1B"/>
    <w:multiLevelType w:val="hybridMultilevel"/>
    <w:lvl w:ilvl="0">
      <w:lvlJc w:val="left"/>
      <w:lvlText w:val="☐"/>
      <w:numFmt w:val="bullet"/>
      <w:start w:val="1"/>
    </w:lvl>
  </w:abstractNum>
  <w:abstractNum w:abstractNumId="3">
    <w:nsid w:val="76272110"/>
    <w:multiLevelType w:val="hybridMultilevel"/>
    <w:lvl w:ilvl="0">
      <w:lvlJc w:val="left"/>
      <w:lvlText w:val="☑"/>
      <w:numFmt w:val="bullet"/>
      <w:start w:val="1"/>
    </w:lvl>
  </w:abstractNum>
  <w:abstractNum w:abstractNumId="4">
    <w:nsid w:val="4C04A8AF"/>
    <w:multiLevelType w:val="hybridMultilevel"/>
    <w:lvl w:ilvl="0">
      <w:lvlJc w:val="left"/>
      <w:lvlText w:val="☐"/>
      <w:numFmt w:val="bullet"/>
      <w:start w:val="1"/>
    </w:lvl>
  </w:abstractNum>
  <w:abstractNum w:abstractNumId="5">
    <w:nsid w:val="1716703B"/>
    <w:multiLevelType w:val="hybridMultilevel"/>
    <w:lvl w:ilvl="0">
      <w:lvlJc w:val="left"/>
      <w:lvlText w:val="4"/>
      <w:numFmt w:val="bullet"/>
      <w:start w:val="1"/>
    </w:lvl>
  </w:abstractNum>
  <w:abstractNum w:abstractNumId="6">
    <w:nsid w:val="14E17E33"/>
    <w:multiLevelType w:val="hybridMultilevel"/>
    <w:lvl w:ilvl="0">
      <w:lvlJc w:val="left"/>
      <w:lvlText w:val="6"/>
      <w:numFmt w:val="bullet"/>
      <w:start w:val="1"/>
    </w:lvl>
  </w:abstractNum>
  <w:abstractNum w:abstractNumId="7">
    <w:nsid w:val="3222E7CD"/>
    <w:multiLevelType w:val="hybridMultilevel"/>
    <w:lvl w:ilvl="0">
      <w:lvlJc w:val="left"/>
      <w:lvlText w:val="8"/>
      <w:numFmt w:val="bullet"/>
      <w:start w:val="1"/>
    </w:lvl>
  </w:abstractNum>
  <w:abstractNum w:abstractNumId="8">
    <w:nsid w:val="74DE0EE3"/>
    <w:multiLevelType w:val="hybridMultilevel"/>
    <w:lvl w:ilvl="0">
      <w:lvlJc w:val="left"/>
      <w:lvlText w:val="*"/>
      <w:numFmt w:val="bullet"/>
      <w:start w:val="1"/>
    </w:lvl>
  </w:abstractNum>
  <w:abstractNum w:abstractNumId="9">
    <w:nsid w:val="68EBC550"/>
    <w:multiLevelType w:val="hybridMultilevel"/>
    <w:lvl w:ilvl="0">
      <w:lvlJc w:val="left"/>
      <w:lvlText w:val="•"/>
      <w:numFmt w:val="bullet"/>
      <w:start w:val="1"/>
    </w:lvl>
  </w:abstractNum>
  <w:abstractNum w:abstractNumId="10">
    <w:nsid w:val="2DF6D648"/>
    <w:multiLevelType w:val="hybridMultilevel"/>
    <w:lvl w:ilvl="0">
      <w:lvlJc w:val="left"/>
      <w:lvlText w:val="•"/>
      <w:numFmt w:val="bullet"/>
      <w:start w:val="1"/>
    </w:lvl>
  </w:abstractNum>
  <w:abstractNum w:abstractNumId="11">
    <w:nsid w:val="46B7D447"/>
    <w:multiLevelType w:val="hybridMultilevel"/>
    <w:lvl w:ilvl="0">
      <w:lvlJc w:val="left"/>
      <w:lvlText w:val="•"/>
      <w:numFmt w:val="bullet"/>
      <w:start w:val="1"/>
    </w:lvl>
  </w:abstractNum>
  <w:abstractNum w:abstractNumId="12">
    <w:nsid w:val="4A2AC315"/>
    <w:multiLevelType w:val="hybridMultilevel"/>
    <w:lvl w:ilvl="0">
      <w:lvlJc w:val="left"/>
      <w:lvlText w:val="•"/>
      <w:numFmt w:val="bullet"/>
      <w:start w:val="1"/>
    </w:lvl>
  </w:abstractNum>
  <w:abstractNum w:abstractNumId="13">
    <w:nsid w:val="39EE015C"/>
    <w:multiLevelType w:val="hybridMultilevel"/>
    <w:lvl w:ilvl="0">
      <w:lvlJc w:val="left"/>
      <w:lvlText w:val="•"/>
      <w:numFmt w:val="bullet"/>
      <w:start w:val="1"/>
    </w:lvl>
  </w:abstractNum>
  <w:abstractNum w:abstractNumId="14">
    <w:nsid w:val="57FC4FBB"/>
    <w:multiLevelType w:val="hybridMultilevel"/>
    <w:lvl w:ilvl="0">
      <w:lvlJc w:val="left"/>
      <w:lvlText w:val="•"/>
      <w:numFmt w:val="bullet"/>
      <w:start w:val="1"/>
    </w:lvl>
  </w:abstractNum>
  <w:abstractNum w:abstractNumId="15">
    <w:nsid w:val="CC1016F"/>
    <w:multiLevelType w:val="hybridMultilevel"/>
    <w:lvl w:ilvl="0">
      <w:lvlJc w:val="left"/>
      <w:lvlText w:val="•"/>
      <w:numFmt w:val="bullet"/>
      <w:start w:val="1"/>
    </w:lvl>
  </w:abstractNum>
  <w:abstractNum w:abstractNumId="16">
    <w:nsid w:val="43F18422"/>
    <w:multiLevelType w:val="hybridMultilevel"/>
    <w:lvl w:ilvl="0">
      <w:lvlJc w:val="left"/>
      <w:lvlText w:val="•"/>
      <w:numFmt w:val="bullet"/>
      <w:start w:val="1"/>
    </w:lvl>
  </w:abstractNum>
  <w:abstractNum w:abstractNumId="17">
    <w:nsid w:val="60EF0119"/>
    <w:multiLevelType w:val="hybridMultilevel"/>
    <w:lvl w:ilvl="0">
      <w:lvlJc w:val="left"/>
      <w:lvlText w:val="¢"/>
      <w:numFmt w:val="bullet"/>
      <w:start w:val="1"/>
    </w:lvl>
  </w:abstractNum>
  <w:abstractNum w:abstractNumId="18">
    <w:nsid w:val="26F324BA"/>
    <w:multiLevelType w:val="hybridMultilevel"/>
    <w:lvl w:ilvl="0">
      <w:lvlJc w:val="left"/>
      <w:lvlText w:val="•"/>
      <w:numFmt w:val="bullet"/>
      <w:start w:val="1"/>
    </w:lvl>
  </w:abstractNum>
  <w:abstractNum w:abstractNumId="19">
    <w:nsid w:val="7F01579B"/>
    <w:multiLevelType w:val="hybridMultilevel"/>
    <w:lvl w:ilvl="0">
      <w:lvlJc w:val="left"/>
      <w:lvlText w:val="•"/>
      <w:numFmt w:val="bullet"/>
      <w:start w:val="1"/>
    </w:lvl>
  </w:abstractNum>
  <w:abstractNum w:abstractNumId="20">
    <w:nsid w:val="49DA307D"/>
    <w:multiLevelType w:val="hybridMultilevel"/>
    <w:lvl w:ilvl="0">
      <w:lvlJc w:val="left"/>
      <w:lvlText w:val="6"/>
      <w:numFmt w:val="bullet"/>
      <w:start w:val="1"/>
    </w:lvl>
  </w:abstractNum>
  <w:abstractNum w:abstractNumId="21">
    <w:nsid w:val="7055A5F5"/>
    <w:multiLevelType w:val="hybridMultilevel"/>
    <w:lvl w:ilvl="0">
      <w:lvlJc w:val="left"/>
      <w:lvlText w:val="•"/>
      <w:numFmt w:val="bullet"/>
      <w:start w:val="1"/>
    </w:lvl>
  </w:abstractNum>
  <w:abstractNum w:abstractNumId="22">
    <w:nsid w:val="5FB8370B"/>
    <w:multiLevelType w:val="hybridMultilevel"/>
    <w:lvl w:ilvl="0">
      <w:lvlJc w:val="left"/>
      <w:lvlText w:val="•"/>
      <w:numFmt w:val="bullet"/>
      <w:start w:val="1"/>
    </w:lvl>
    <w:lvl w:ilvl="1">
      <w:lvlJc w:val="left"/>
      <w:lvlText w:val="•"/>
      <w:numFmt w:val="bullet"/>
      <w:start w:val="1"/>
    </w:lvl>
  </w:abstractNum>
  <w:abstractNum w:abstractNumId="23">
    <w:nsid w:val="50801EE1"/>
    <w:multiLevelType w:val="hybridMultilevel"/>
    <w:lvl w:ilvl="0">
      <w:lvlJc w:val="left"/>
      <w:lvlText w:val="•"/>
      <w:numFmt w:val="bullet"/>
      <w:start w:val="1"/>
    </w:lvl>
  </w:abstractNum>
  <w:abstractNum w:abstractNumId="24">
    <w:nsid w:val="488AC1A"/>
    <w:multiLevelType w:val="hybridMultilevel"/>
    <w:lvl w:ilvl="0">
      <w:lvlJc w:val="left"/>
      <w:lvlText w:val="•"/>
      <w:numFmt w:val="bullet"/>
      <w:start w:val="1"/>
    </w:lvl>
  </w:abstractNum>
  <w:abstractNum w:abstractNumId="25">
    <w:nsid w:val="5FB8011C"/>
    <w:multiLevelType w:val="hybridMultilevel"/>
    <w:lvl w:ilvl="0">
      <w:lvlJc w:val="left"/>
      <w:lvlText w:val="•"/>
      <w:numFmt w:val="bullet"/>
      <w:start w:val="1"/>
    </w:lvl>
  </w:abstractNum>
  <w:abstractNum w:abstractNumId="26">
    <w:nsid w:val="6AA78F7F"/>
    <w:multiLevelType w:val="hybridMultilevel"/>
    <w:lvl w:ilvl="0">
      <w:lvlJc w:val="left"/>
      <w:lvlText w:val="•"/>
      <w:numFmt w:val="bullet"/>
      <w:start w:val="1"/>
    </w:lvl>
  </w:abstractNum>
  <w:abstractNum w:abstractNumId="27">
    <w:nsid w:val="7672BD23"/>
    <w:multiLevelType w:val="hybridMultilevel"/>
    <w:lvl w:ilvl="0">
      <w:lvlJc w:val="left"/>
      <w:lvlText w:val="•"/>
      <w:numFmt w:val="bullet"/>
      <w:start w:val="1"/>
    </w:lvl>
  </w:abstractNum>
  <w:abstractNum w:abstractNumId="28">
    <w:nsid w:val="6FC75AF8"/>
    <w:multiLevelType w:val="hybridMultilevel"/>
    <w:lvl w:ilvl="0">
      <w:lvlJc w:val="left"/>
      <w:lvlText w:val="(%1)"/>
      <w:numFmt w:val="decimal"/>
      <w:start w:val="1"/>
    </w:lvl>
  </w:abstractNum>
  <w:abstractNum w:abstractNumId="29">
    <w:nsid w:val="6A5F7029"/>
    <w:multiLevelType w:val="hybridMultilevel"/>
    <w:lvl w:ilvl="0">
      <w:lvlJc w:val="left"/>
      <w:lvlText w:val="n"/>
      <w:numFmt w:val="bullet"/>
      <w:start w:val="1"/>
    </w:lvl>
  </w:abstractNum>
  <w:abstractNum w:abstractNumId="30">
    <w:nsid w:val="7D5E18F8"/>
    <w:multiLevelType w:val="hybridMultilevel"/>
    <w:lvl w:ilvl="0">
      <w:lvlJc w:val="left"/>
      <w:lvlText w:val="•"/>
      <w:numFmt w:val="bullet"/>
      <w:start w:val="1"/>
    </w:lvl>
  </w:abstractNum>
  <w:abstractNum w:abstractNumId="31">
    <w:nsid w:val="5F3534A4"/>
    <w:multiLevelType w:val="hybridMultilevel"/>
    <w:lvl w:ilvl="0">
      <w:lvlJc w:val="left"/>
      <w:lvlText w:val="•"/>
      <w:numFmt w:val="bullet"/>
      <w:start w:val="1"/>
    </w:lvl>
  </w:abstractNum>
  <w:abstractNum w:abstractNumId="32">
    <w:nsid w:val="73A1821B"/>
    <w:multiLevelType w:val="hybridMultilevel"/>
    <w:lvl w:ilvl="0">
      <w:lvlJc w:val="left"/>
      <w:lvlText w:val="•"/>
      <w:numFmt w:val="bullet"/>
      <w:start w:val="1"/>
    </w:lvl>
  </w:abstractNum>
  <w:abstractNum w:abstractNumId="33">
    <w:nsid w:val="7DE67713"/>
    <w:multiLevelType w:val="hybridMultilevel"/>
    <w:lvl w:ilvl="0">
      <w:lvlJc w:val="left"/>
      <w:lvlText w:val="•"/>
      <w:numFmt w:val="bullet"/>
      <w:start w:val="1"/>
    </w:lvl>
  </w:abstractNum>
  <w:abstractNum w:abstractNumId="34">
    <w:nsid w:val="555C55B5"/>
    <w:multiLevelType w:val="hybridMultilevel"/>
    <w:lvl w:ilvl="0">
      <w:lvlJc w:val="left"/>
      <w:lvlText w:val="•"/>
      <w:numFmt w:val="bullet"/>
      <w:start w:val="1"/>
    </w:lvl>
  </w:abstractNum>
  <w:abstractNum w:abstractNumId="35">
    <w:nsid w:val="3FA62ACA"/>
    <w:multiLevelType w:val="hybridMultilevel"/>
    <w:lvl w:ilvl="0">
      <w:lvlJc w:val="left"/>
      <w:lvlText w:val="•"/>
      <w:numFmt w:val="bullet"/>
      <w:start w:val="1"/>
    </w:lvl>
  </w:abstractNum>
  <w:abstractNum w:abstractNumId="36">
    <w:nsid w:val="14FCE74E"/>
    <w:multiLevelType w:val="hybridMultilevel"/>
    <w:lvl w:ilvl="0">
      <w:lvlJc w:val="left"/>
      <w:lvlText w:val="•"/>
      <w:numFmt w:val="bullet"/>
      <w:start w:val="1"/>
    </w:lvl>
  </w:abstractNum>
  <w:abstractNum w:abstractNumId="37">
    <w:nsid w:val="6A3DD3E8"/>
    <w:multiLevelType w:val="hybridMultilevel"/>
    <w:lvl w:ilvl="0">
      <w:lvlJc w:val="left"/>
      <w:lvlText w:val="•"/>
      <w:numFmt w:val="bullet"/>
      <w:start w:val="1"/>
    </w:lvl>
  </w:abstractNum>
  <w:abstractNum w:abstractNumId="38">
    <w:nsid w:val="71C91298"/>
    <w:multiLevelType w:val="hybridMultilevel"/>
    <w:lvl w:ilvl="0">
      <w:lvlJc w:val="left"/>
      <w:lvlText w:val="•"/>
      <w:numFmt w:val="bullet"/>
      <w:start w:val="1"/>
    </w:lvl>
  </w:abstractNum>
  <w:abstractNum w:abstractNumId="39">
    <w:nsid w:val="9DAF632"/>
    <w:multiLevelType w:val="hybridMultilevel"/>
    <w:lvl w:ilvl="0">
      <w:lvlJc w:val="left"/>
      <w:lvlText w:val="•"/>
      <w:numFmt w:val="bullet"/>
      <w:start w:val="1"/>
    </w:lvl>
  </w:abstractNum>
  <w:abstractNum w:abstractNumId="40">
    <w:nsid w:val="53299938"/>
    <w:multiLevelType w:val="hybridMultilevel"/>
    <w:lvl w:ilvl="0">
      <w:lvlJc w:val="left"/>
      <w:lvlText w:val="•"/>
      <w:numFmt w:val="bullet"/>
      <w:start w:val="1"/>
    </w:lvl>
  </w:abstractNum>
  <w:abstractNum w:abstractNumId="41">
    <w:nsid w:val="1FBFE8E0"/>
    <w:multiLevelType w:val="hybridMultilevel"/>
    <w:lvl w:ilvl="0">
      <w:lvlJc w:val="left"/>
      <w:lvlText w:val="•"/>
      <w:numFmt w:val="bullet"/>
      <w:start w:val="1"/>
    </w:lvl>
  </w:abstractNum>
  <w:abstractNum w:abstractNumId="42">
    <w:nsid w:val="5092CA79"/>
    <w:multiLevelType w:val="hybridMultilevel"/>
    <w:lvl w:ilvl="0">
      <w:lvlJc w:val="left"/>
      <w:lvlText w:val="•"/>
      <w:numFmt w:val="bullet"/>
      <w:start w:val="1"/>
    </w:lvl>
  </w:abstractNum>
  <w:abstractNum w:abstractNumId="43">
    <w:nsid w:val="1D545C4D"/>
    <w:multiLevelType w:val="hybridMultilevel"/>
    <w:lvl w:ilvl="0">
      <w:lvlJc w:val="left"/>
      <w:lvlText w:val="•"/>
      <w:numFmt w:val="bullet"/>
      <w:start w:val="1"/>
    </w:lvl>
  </w:abstractNum>
  <w:abstractNum w:abstractNumId="44">
    <w:nsid w:val="59ADEA3D"/>
    <w:multiLevelType w:val="hybridMultilevel"/>
    <w:lvl w:ilvl="0">
      <w:lvlJc w:val="left"/>
      <w:lvlText w:val="•"/>
      <w:numFmt w:val="bullet"/>
      <w:start w:val="1"/>
    </w:lvl>
  </w:abstractNum>
  <w:abstractNum w:abstractNumId="45">
    <w:nsid w:val="288F1A34"/>
    <w:multiLevelType w:val="hybridMultilevel"/>
    <w:lvl w:ilvl="0">
      <w:lvlJc w:val="left"/>
      <w:lvlText w:val="•"/>
      <w:numFmt w:val="bullet"/>
      <w:start w:val="1"/>
    </w:lvl>
  </w:abstractNum>
  <w:abstractNum w:abstractNumId="46">
    <w:nsid w:val="2A155DBC"/>
    <w:multiLevelType w:val="hybridMultilevel"/>
    <w:lvl w:ilvl="0">
      <w:lvlJc w:val="left"/>
      <w:lvlText w:val="•"/>
      <w:numFmt w:val="bullet"/>
      <w:start w:val="1"/>
    </w:lvl>
  </w:abstractNum>
  <w:abstractNum w:abstractNumId="47">
    <w:nsid w:val="1D9F6E5F"/>
    <w:multiLevelType w:val="hybridMultilevel"/>
    <w:lvl w:ilvl="0">
      <w:lvlJc w:val="left"/>
      <w:lvlText w:val="•"/>
      <w:numFmt w:val="bullet"/>
      <w:start w:val="1"/>
    </w:lvl>
    <w:lvl w:ilvl="1">
      <w:lvlJc w:val="left"/>
      <w:lvlText w:val="•"/>
      <w:numFmt w:val="bullet"/>
      <w:start w:val="1"/>
    </w:lvl>
  </w:abstractNum>
  <w:abstractNum w:abstractNumId="48">
    <w:nsid w:val="97E1B4E"/>
    <w:multiLevelType w:val="hybridMultilevel"/>
    <w:lvl w:ilvl="0">
      <w:lvlJc w:val="left"/>
      <w:lvlText w:val="•"/>
      <w:numFmt w:val="bullet"/>
      <w:start w:val="1"/>
    </w:lvl>
  </w:abstractNum>
  <w:abstractNum w:abstractNumId="49">
    <w:nsid w:val="51088277"/>
    <w:multiLevelType w:val="hybridMultilevel"/>
    <w:lvl w:ilvl="0">
      <w:lvlJc w:val="left"/>
      <w:lvlText w:val="•"/>
      <w:numFmt w:val="bullet"/>
      <w:start w:val="1"/>
    </w:lvl>
  </w:abstractNum>
  <w:abstractNum w:abstractNumId="50">
    <w:nsid w:val="1CA0C5FA"/>
    <w:multiLevelType w:val="hybridMultilevel"/>
    <w:lvl w:ilvl="0">
      <w:lvlJc w:val="left"/>
      <w:lvlText w:val="•"/>
      <w:numFmt w:val="bullet"/>
      <w:start w:val="1"/>
    </w:lvl>
  </w:abstractNum>
  <w:abstractNum w:abstractNumId="51">
    <w:nsid w:val="53584BCB"/>
    <w:multiLevelType w:val="hybridMultilevel"/>
    <w:lvl w:ilvl="0">
      <w:lvlJc w:val="left"/>
      <w:lvlText w:val="•"/>
      <w:numFmt w:val="bullet"/>
      <w:start w:val="1"/>
    </w:lvl>
  </w:abstractNum>
  <w:abstractNum w:abstractNumId="52">
    <w:nsid w:val="415E286C"/>
    <w:multiLevelType w:val="hybridMultilevel"/>
    <w:lvl w:ilvl="0">
      <w:lvlJc w:val="left"/>
      <w:lvlText w:val="•"/>
      <w:numFmt w:val="bullet"/>
      <w:start w:val="1"/>
    </w:lvl>
  </w:abstractNum>
  <w:abstractNum w:abstractNumId="53">
    <w:nsid w:val="7C58FD05"/>
    <w:multiLevelType w:val="hybridMultilevel"/>
    <w:lvl w:ilvl="0">
      <w:lvlJc w:val="left"/>
      <w:lvlText w:val="•"/>
      <w:numFmt w:val="bullet"/>
      <w:start w:val="1"/>
    </w:lvl>
  </w:abstractNum>
  <w:abstractNum w:abstractNumId="54">
    <w:nsid w:val="23D86AAC"/>
    <w:multiLevelType w:val="hybridMultilevel"/>
    <w:lvl w:ilvl="0">
      <w:lvlJc w:val="left"/>
      <w:lvlText w:val="•"/>
      <w:numFmt w:val="bullet"/>
      <w:start w:val="1"/>
    </w:lvl>
  </w:abstractNum>
  <w:abstractNum w:abstractNumId="55">
    <w:nsid w:val="45E6D486"/>
    <w:multiLevelType w:val="hybridMultilevel"/>
    <w:lvl w:ilvl="0">
      <w:lvlJc w:val="left"/>
      <w:lvlText w:val="*"/>
      <w:numFmt w:val="bullet"/>
      <w:start w:val="1"/>
    </w:lvl>
  </w:abstractNum>
  <w:abstractNum w:abstractNumId="56">
    <w:nsid w:val="5C10FE21"/>
    <w:multiLevelType w:val="hybridMultilevel"/>
    <w:lvl w:ilvl="0">
      <w:lvlJc w:val="left"/>
      <w:lvlText w:val="(%1)"/>
      <w:numFmt w:val="decimal"/>
      <w:start w:val="1"/>
    </w:lvl>
  </w:abstractNum>
  <w:abstractNum w:abstractNumId="57">
    <w:nsid w:val="E7FFA2B"/>
    <w:multiLevelType w:val="hybridMultilevel"/>
    <w:lvl w:ilvl="0">
      <w:lvlJc w:val="left"/>
      <w:lvlText w:val="(%1)"/>
      <w:numFmt w:val="decimal"/>
      <w:start w:val="2"/>
    </w:lvl>
  </w:abstractNum>
  <w:abstractNum w:abstractNumId="58">
    <w:nsid w:val="3C5991AA"/>
    <w:multiLevelType w:val="hybridMultilevel"/>
    <w:lvl w:ilvl="0">
      <w:lvlJc w:val="left"/>
      <w:lvlText w:val="(%1)"/>
      <w:numFmt w:val="decimal"/>
      <w:start w:val="3"/>
    </w:lvl>
  </w:abstractNum>
  <w:abstractNum w:abstractNumId="59">
    <w:nsid w:val="4BD8591A"/>
    <w:multiLevelType w:val="hybridMultilevel"/>
    <w:lvl w:ilvl="0">
      <w:lvlJc w:val="left"/>
      <w:lvlText w:val="(%1)"/>
      <w:numFmt w:val="decimal"/>
      <w:start w:val="6"/>
    </w:lvl>
  </w:abstractNum>
  <w:abstractNum w:abstractNumId="60">
    <w:nsid w:val="78DF6A55"/>
    <w:multiLevelType w:val="hybridMultilevel"/>
    <w:lvl w:ilvl="0">
      <w:lvlJc w:val="left"/>
      <w:lvlText w:val="%1."/>
      <w:numFmt w:val="decimal"/>
      <w:start w:val="1"/>
    </w:lvl>
  </w:abstractNum>
  <w:abstractNum w:abstractNumId="61">
    <w:nsid w:val="39B7AAA2"/>
    <w:multiLevelType w:val="hybridMultilevel"/>
    <w:lvl w:ilvl="0">
      <w:lvlJc w:val="left"/>
      <w:lvlText w:val="•"/>
      <w:numFmt w:val="bullet"/>
      <w:start w:val="1"/>
    </w:lvl>
  </w:abstractNum>
  <w:abstractNum w:abstractNumId="62">
    <w:nsid w:val="2B0D8DBE"/>
    <w:multiLevelType w:val="hybridMultilevel"/>
    <w:lvl w:ilvl="0">
      <w:lvlJc w:val="left"/>
      <w:lvlText w:val="•"/>
      <w:numFmt w:val="bullet"/>
      <w:start w:val="1"/>
    </w:lvl>
  </w:abstractNum>
  <w:abstractNum w:abstractNumId="63">
    <w:nsid w:val="6C80EC70"/>
    <w:multiLevelType w:val="hybridMultilevel"/>
    <w:lvl w:ilvl="0">
      <w:lvlJc w:val="left"/>
      <w:lvlText w:val="(%1)"/>
      <w:numFmt w:val="decimal"/>
      <w:start w:val="1"/>
    </w:lvl>
  </w:abstractNum>
  <w:abstractNum w:abstractNumId="64">
    <w:nsid w:val="379E21B5"/>
    <w:multiLevelType w:val="hybridMultilevel"/>
    <w:lvl w:ilvl="0">
      <w:lvlJc w:val="left"/>
      <w:lvlText w:val="•"/>
      <w:numFmt w:val="bullet"/>
      <w:start w:val="1"/>
    </w:lvl>
  </w:abstractNum>
  <w:abstractNum w:abstractNumId="65">
    <w:nsid w:val="69E373"/>
    <w:multiLevelType w:val="hybridMultilevel"/>
    <w:lvl w:ilvl="0">
      <w:lvlJc w:val="left"/>
      <w:lvlText w:val="•"/>
      <w:numFmt w:val="bullet"/>
      <w:start w:val="1"/>
    </w:lvl>
  </w:abstractNum>
  <w:abstractNum w:abstractNumId="66">
    <w:nsid w:val="2C27173B"/>
    <w:multiLevelType w:val="hybridMultilevel"/>
    <w:lvl w:ilvl="0">
      <w:lvlJc w:val="left"/>
      <w:lvlText w:val="•"/>
      <w:numFmt w:val="bullet"/>
      <w:start w:val="1"/>
    </w:lvl>
  </w:abstractNum>
  <w:abstractNum w:abstractNumId="67">
    <w:nsid w:val="4C9B0904"/>
    <w:multiLevelType w:val="hybridMultilevel"/>
    <w:lvl w:ilvl="0">
      <w:lvlJc w:val="left"/>
      <w:lvlText w:val="(%1)"/>
      <w:numFmt w:val="decimal"/>
      <w:start w:val="1"/>
    </w:lvl>
  </w:abstractNum>
  <w:abstractNum w:abstractNumId="68">
    <w:nsid w:val="6AA7B75C"/>
    <w:multiLevelType w:val="hybridMultilevel"/>
    <w:lvl w:ilvl="0">
      <w:lvlJc w:val="left"/>
      <w:lvlText w:val="•"/>
      <w:numFmt w:val="bullet"/>
      <w:start w:val="1"/>
    </w:lvl>
  </w:abstractNum>
  <w:abstractNum w:abstractNumId="69">
    <w:nsid w:val="1DF029D3"/>
    <w:multiLevelType w:val="hybridMultilevel"/>
    <w:lvl w:ilvl="0">
      <w:lvlJc w:val="left"/>
      <w:lvlText w:val="•"/>
      <w:numFmt w:val="bullet"/>
      <w:start w:val="1"/>
    </w:lvl>
  </w:abstractNum>
  <w:abstractNum w:abstractNumId="70">
    <w:nsid w:val="5675FF36"/>
    <w:multiLevelType w:val="hybridMultilevel"/>
    <w:lvl w:ilvl="0">
      <w:lvlJc w:val="left"/>
      <w:lvlText w:val="•"/>
      <w:numFmt w:val="bullet"/>
      <w:start w:val="1"/>
    </w:lvl>
  </w:abstractNum>
  <w:abstractNum w:abstractNumId="71">
    <w:nsid w:val="3DD15094"/>
    <w:multiLevelType w:val="hybridMultilevel"/>
    <w:lvl w:ilvl="0">
      <w:lvlJc w:val="left"/>
      <w:lvlText w:val="•"/>
      <w:numFmt w:val="bullet"/>
      <w:start w:val="1"/>
    </w:lvl>
  </w:abstractNum>
  <w:abstractNum w:abstractNumId="72">
    <w:nsid w:val="3DB012B3"/>
    <w:multiLevelType w:val="hybridMultilevel"/>
    <w:lvl w:ilvl="0">
      <w:lvlJc w:val="left"/>
      <w:lvlText w:val="(%1)"/>
      <w:numFmt w:val="decimal"/>
      <w:start w:val="1"/>
    </w:lvl>
  </w:abstractNum>
  <w:abstractNum w:abstractNumId="73">
    <w:nsid w:val="2708C9AF"/>
    <w:multiLevelType w:val="hybridMultilevel"/>
    <w:lvl w:ilvl="0">
      <w:lvlJc w:val="left"/>
      <w:lvlText w:val="%1."/>
      <w:numFmt w:val="decimal"/>
      <w:start w:val="1"/>
    </w:lvl>
  </w:abstractNum>
  <w:abstractNum w:abstractNumId="74">
    <w:nsid w:val="5B25ACE2"/>
    <w:multiLevelType w:val="hybridMultilevel"/>
    <w:lvl w:ilvl="0">
      <w:lvlJc w:val="left"/>
      <w:lvlText w:val="(%1)"/>
      <w:numFmt w:val="decimal"/>
      <w:start w:val="1"/>
    </w:lvl>
  </w:abstractNum>
  <w:abstractNum w:abstractNumId="75">
    <w:nsid w:val="175DFCF0"/>
    <w:multiLevelType w:val="hybridMultilevel"/>
    <w:lvl w:ilvl="0">
      <w:lvlJc w:val="left"/>
      <w:lvlText w:val="(%1)"/>
      <w:numFmt w:val="decimal"/>
      <w:start w:val="1"/>
    </w:lvl>
  </w:abstractNum>
  <w:abstractNum w:abstractNumId="76">
    <w:nsid w:val="4F97E3E4"/>
    <w:multiLevelType w:val="hybridMultilevel"/>
    <w:lvl w:ilvl="0">
      <w:lvlJc w:val="left"/>
      <w:lvlText w:val="(%1)"/>
      <w:numFmt w:val="decimal"/>
      <w:start w:val="1"/>
    </w:lvl>
  </w:abstractNum>
  <w:abstractNum w:abstractNumId="77">
    <w:nsid w:val="53B0A9E"/>
    <w:multiLevelType w:val="hybridMultilevel"/>
    <w:lvl w:ilvl="0">
      <w:lvlJc w:val="left"/>
      <w:lvlText w:val="•"/>
      <w:numFmt w:val="bullet"/>
      <w:start w:val="1"/>
    </w:lvl>
    <w:lvl w:ilvl="1">
      <w:lvlJc w:val="left"/>
      <w:lvlText w:val="•"/>
      <w:numFmt w:val="bullet"/>
      <w:start w:val="1"/>
    </w:lvl>
  </w:abstractNum>
  <w:abstractNum w:abstractNumId="78">
    <w:nsid w:val="34FD6B4F"/>
    <w:multiLevelType w:val="hybridMultilevel"/>
    <w:lvl w:ilvl="0">
      <w:lvlJc w:val="left"/>
      <w:lvlText w:val="•"/>
      <w:numFmt w:val="bullet"/>
      <w:start w:val="1"/>
    </w:lvl>
    <w:lvl w:ilvl="1">
      <w:lvlJc w:val="left"/>
      <w:lvlText w:val="•"/>
      <w:numFmt w:val="bullet"/>
      <w:start w:val="1"/>
    </w:lvl>
  </w:abstractNum>
  <w:abstractNum w:abstractNumId="79">
    <w:nsid w:val="5915FF32"/>
    <w:multiLevelType w:val="hybridMultilevel"/>
    <w:lvl w:ilvl="0">
      <w:lvlJc w:val="left"/>
      <w:lvlText w:val="(%1)"/>
      <w:numFmt w:val="decimal"/>
      <w:start w:val="1"/>
    </w:lvl>
  </w:abstractNum>
  <w:abstractNum w:abstractNumId="80">
    <w:nsid w:val="56438D15"/>
    <w:multiLevelType w:val="hybridMultilevel"/>
    <w:lvl w:ilvl="0">
      <w:lvlJc w:val="left"/>
      <w:lvlText w:val="•"/>
      <w:numFmt w:val="bullet"/>
      <w:start w:val="1"/>
    </w:lvl>
  </w:abstractNum>
  <w:abstractNum w:abstractNumId="81">
    <w:nsid w:val="519E3149"/>
    <w:multiLevelType w:val="hybridMultilevel"/>
    <w:lvl w:ilvl="0">
      <w:lvlJc w:val="left"/>
      <w:lvlText w:val="•"/>
      <w:numFmt w:val="bullet"/>
      <w:start w:val="1"/>
    </w:lvl>
  </w:abstractNum>
  <w:abstractNum w:abstractNumId="82">
    <w:nsid w:val="2C6E4AFD"/>
    <w:multiLevelType w:val="hybridMultilevel"/>
    <w:lvl w:ilvl="0">
      <w:lvlJc w:val="left"/>
      <w:lvlText w:val="•"/>
      <w:numFmt w:val="bullet"/>
      <w:start w:val="1"/>
    </w:lvl>
  </w:abstractNum>
  <w:abstractNum w:abstractNumId="83">
    <w:nsid w:val="17A1B582"/>
    <w:multiLevelType w:val="hybridMultilevel"/>
    <w:lvl w:ilvl="0">
      <w:lvlJc w:val="left"/>
      <w:lvlText w:val="•"/>
      <w:numFmt w:val="bullet"/>
      <w:start w:val="1"/>
    </w:lvl>
  </w:abstractNum>
  <w:abstractNum w:abstractNumId="84">
    <w:nsid w:val="4DF72E4E"/>
    <w:multiLevelType w:val="hybridMultilevel"/>
    <w:lvl w:ilvl="0">
      <w:lvlJc w:val="left"/>
      <w:lvlText w:val="(%1)"/>
      <w:numFmt w:val="decimal"/>
      <w:start w:val="1"/>
    </w:lvl>
  </w:abstractNum>
  <w:abstractNum w:abstractNumId="85">
    <w:nsid w:val="5046B5A9"/>
    <w:multiLevelType w:val="hybridMultilevel"/>
    <w:lvl w:ilvl="0">
      <w:lvlJc w:val="left"/>
      <w:lvlText w:val="(%1)"/>
      <w:numFmt w:val="decimal"/>
      <w:start w:val="1"/>
    </w:lvl>
  </w:abstractNum>
  <w:abstractNum w:abstractNumId="86">
    <w:nsid w:val="5D888A08"/>
    <w:multiLevelType w:val="hybridMultilevel"/>
    <w:lvl w:ilvl="0">
      <w:lvlJc w:val="left"/>
      <w:lvlText w:val="%1."/>
      <w:numFmt w:val="decimal"/>
      <w:start w:val="1"/>
    </w:lvl>
  </w:abstractNum>
  <w:abstractNum w:abstractNumId="87">
    <w:nsid w:val="2A082C70"/>
    <w:multiLevelType w:val="hybridMultilevel"/>
    <w:lvl w:ilvl="0">
      <w:lvlJc w:val="left"/>
      <w:lvlText w:val="•"/>
      <w:numFmt w:val="bullet"/>
      <w:start w:val="1"/>
    </w:lvl>
  </w:abstractNum>
  <w:abstractNum w:abstractNumId="88">
    <w:nsid w:val="5EC6AFD4"/>
    <w:multiLevelType w:val="hybridMultilevel"/>
    <w:lvl w:ilvl="0">
      <w:lvlJc w:val="left"/>
      <w:lvlText w:val="•"/>
      <w:numFmt w:val="bullet"/>
      <w:start w:val="1"/>
    </w:lvl>
  </w:abstractNum>
  <w:abstractNum w:abstractNumId="89">
    <w:nsid w:val="19E21BB2"/>
    <w:multiLevelType w:val="hybridMultilevel"/>
    <w:lvl w:ilvl="0">
      <w:lvlJc w:val="left"/>
      <w:lvlText w:val="(%1)"/>
      <w:numFmt w:val="decimal"/>
      <w:start w:val="1"/>
    </w:lvl>
  </w:abstractNum>
  <w:abstractNum w:abstractNumId="90">
    <w:nsid w:val="75E0858A"/>
    <w:multiLevelType w:val="hybridMultilevel"/>
    <w:lvl w:ilvl="0">
      <w:lvlJc w:val="left"/>
      <w:lvlText w:val="(%1)"/>
      <w:numFmt w:val="decimal"/>
      <w:start w:val="3"/>
    </w:lvl>
  </w:abstractNum>
  <w:abstractNum w:abstractNumId="91">
    <w:nsid w:val="57A61A29"/>
    <w:multiLevelType w:val="hybridMultilevel"/>
    <w:lvl w:ilvl="0">
      <w:lvlJc w:val="left"/>
      <w:lvlText w:val="(%1)"/>
      <w:numFmt w:val="decimal"/>
      <w:start w:val="1"/>
    </w:lvl>
  </w:abstractNum>
  <w:abstractNum w:abstractNumId="92">
    <w:nsid w:val="5399C654"/>
    <w:multiLevelType w:val="hybridMultilevel"/>
    <w:lvl w:ilvl="0">
      <w:lvlJc w:val="left"/>
      <w:lvlText w:val="(%1)"/>
      <w:numFmt w:val="decimal"/>
      <w:start w:val="1"/>
    </w:lvl>
  </w:abstractNum>
  <w:abstractNum w:abstractNumId="93">
    <w:nsid w:val="20EE1348"/>
    <w:multiLevelType w:val="hybridMultilevel"/>
    <w:lvl w:ilvl="0">
      <w:lvlJc w:val="left"/>
      <w:lvlText w:val="%1"/>
      <w:numFmt w:val="decimal"/>
      <w:start w:val="1"/>
    </w:lvl>
    <w:lvl w:ilvl="1">
      <w:lvlJc w:val="left"/>
      <w:lvlText w:val="%2"/>
      <w:numFmt w:val="decimal"/>
      <w:start w:val="88"/>
    </w:lvl>
  </w:abstractNum>
  <w:abstractNum w:abstractNumId="94">
    <w:nsid w:val="4427069A"/>
    <w:multiLevelType w:val="hybridMultilevel"/>
    <w:lvl w:ilvl="0">
      <w:lvlJc w:val="left"/>
      <w:lvlText w:val="(%1)"/>
      <w:numFmt w:val="decimal"/>
      <w:start w:val="4"/>
    </w:lvl>
    <w:lvl w:ilvl="1">
      <w:lvlJc w:val="left"/>
      <w:lvlText w:val="%2"/>
      <w:numFmt w:val="decimal"/>
      <w:start w:val="1"/>
    </w:lvl>
  </w:abstractNum>
  <w:abstractNum w:abstractNumId="95">
    <w:nsid w:val="B37E80A"/>
    <w:multiLevelType w:val="hybridMultilevel"/>
    <w:lvl w:ilvl="0">
      <w:lvlJc w:val="left"/>
      <w:lvlText w:val="(%1)"/>
      <w:numFmt w:val="decimal"/>
      <w:start w:val="5"/>
    </w:lvl>
  </w:abstractNum>
  <w:abstractNum w:abstractNumId="96">
    <w:nsid w:val="2157F6BC"/>
    <w:multiLevelType w:val="hybridMultilevel"/>
    <w:lvl w:ilvl="0">
      <w:lvlJc w:val="left"/>
      <w:lvlText w:val="(%1)"/>
      <w:numFmt w:val="decimal"/>
      <w:start w:val="1"/>
    </w:lvl>
  </w:abstractNum>
  <w:abstractNum w:abstractNumId="97">
    <w:nsid w:val="704E1DD5"/>
    <w:multiLevelType w:val="hybridMultilevel"/>
    <w:lvl w:ilvl="0">
      <w:lvlJc w:val="left"/>
      <w:lvlText w:val="(%1)"/>
      <w:numFmt w:val="decimal"/>
      <w:start w:val="1"/>
    </w:lvl>
  </w:abstractNum>
  <w:abstractNum w:abstractNumId="98">
    <w:nsid w:val="57D2F10E"/>
    <w:multiLevelType w:val="hybridMultilevel"/>
    <w:lvl w:ilvl="0">
      <w:lvlJc w:val="left"/>
      <w:lvlText w:val="•"/>
      <w:numFmt w:val="bullet"/>
      <w:start w:val="1"/>
    </w:lvl>
  </w:abstractNum>
  <w:abstractNum w:abstractNumId="99">
    <w:nsid w:val="BFFAE18"/>
    <w:multiLevelType w:val="hybridMultilevel"/>
    <w:lvl w:ilvl="0">
      <w:lvlJc w:val="left"/>
      <w:lvlText w:val="•"/>
      <w:numFmt w:val="bullet"/>
      <w:start w:val="1"/>
    </w:lvl>
  </w:abstractNum>
  <w:abstractNum w:abstractNumId="100">
    <w:nsid w:val="E3E47A8"/>
    <w:multiLevelType w:val="hybridMultilevel"/>
    <w:lvl w:ilvl="0">
      <w:lvlJc w:val="left"/>
      <w:lvlText w:val="•"/>
      <w:numFmt w:val="bullet"/>
      <w:start w:val="1"/>
    </w:lvl>
  </w:abstractNum>
  <w:abstractNum w:abstractNumId="101">
    <w:nsid w:val="2E48F044"/>
    <w:multiLevelType w:val="hybridMultilevel"/>
    <w:lvl w:ilvl="0">
      <w:lvlJc w:val="left"/>
      <w:lvlText w:val="•"/>
      <w:numFmt w:val="bullet"/>
      <w:start w:val="1"/>
    </w:lvl>
  </w:abstractNum>
  <w:abstractNum w:abstractNumId="102">
    <w:nsid w:val="49D0FEAC"/>
    <w:multiLevelType w:val="hybridMultilevel"/>
    <w:lvl w:ilvl="0">
      <w:lvlJc w:val="left"/>
      <w:lvlText w:val="(%1)"/>
      <w:numFmt w:val="decimal"/>
      <w:start w:val="1"/>
    </w:lvl>
  </w:abstractNum>
  <w:abstractNum w:abstractNumId="103">
    <w:nsid w:val="4BEE5A5B"/>
    <w:multiLevelType w:val="hybridMultilevel"/>
    <w:lvl w:ilvl="0">
      <w:lvlJc w:val="left"/>
      <w:lvlText w:val="•"/>
      <w:numFmt w:val="bullet"/>
      <w:start w:val="1"/>
    </w:lvl>
  </w:abstractNum>
  <w:abstractNum w:abstractNumId="104">
    <w:nsid w:val="5551B9F3"/>
    <w:multiLevelType w:val="hybridMultilevel"/>
    <w:lvl w:ilvl="0">
      <w:lvlJc w:val="left"/>
      <w:lvlText w:val="(%1)"/>
      <w:numFmt w:val="decimal"/>
      <w:start w:val="1"/>
    </w:lvl>
  </w:abstractNum>
  <w:abstractNum w:abstractNumId="105">
    <w:nsid w:val="24F6AB8E"/>
    <w:multiLevelType w:val="hybridMultilevel"/>
    <w:lvl w:ilvl="0">
      <w:lvlJc w:val="left"/>
      <w:lvlText w:val="(%1)"/>
      <w:numFmt w:val="decimal"/>
      <w:start w:val="3"/>
    </w:lvl>
  </w:abstractNum>
  <w:abstractNum w:abstractNumId="106">
    <w:nsid w:val="634C574C"/>
    <w:multiLevelType w:val="hybridMultilevel"/>
    <w:lvl w:ilvl="0">
      <w:lvlJc w:val="left"/>
      <w:lvlText w:val="(%1)"/>
      <w:numFmt w:val="decimal"/>
      <w:start w:val="1"/>
    </w:lvl>
  </w:abstractNum>
  <w:abstractNum w:abstractNumId="107">
    <w:nsid w:val="24E99DD7"/>
    <w:multiLevelType w:val="hybridMultilevel"/>
    <w:lvl w:ilvl="0">
      <w:lvlJc w:val="left"/>
      <w:lvlText w:val="(%1)"/>
      <w:numFmt w:val="decimal"/>
      <w:start w:val="1"/>
    </w:lvl>
  </w:abstractNum>
  <w:abstractNum w:abstractNumId="108">
    <w:nsid w:val="2A31B62D"/>
    <w:multiLevelType w:val="hybridMultilevel"/>
    <w:lvl w:ilvl="0">
      <w:lvlJc w:val="left"/>
      <w:lvlText w:val="(%1)"/>
      <w:numFmt w:val="lowerRoman"/>
      <w:start w:val="1"/>
    </w:lvl>
  </w:abstractNum>
  <w:abstractNum w:abstractNumId="109">
    <w:nsid w:val="1849C29B"/>
    <w:multiLevelType w:val="hybridMultilevel"/>
    <w:lvl w:ilvl="0">
      <w:lvlJc w:val="left"/>
      <w:lvlText w:val="•"/>
      <w:numFmt w:val="bullet"/>
      <w:start w:val="1"/>
    </w:lvl>
  </w:abstractNum>
  <w:abstractNum w:abstractNumId="110">
    <w:nsid w:val="7DFF9D09"/>
    <w:multiLevelType w:val="hybridMultilevel"/>
    <w:lvl w:ilvl="0">
      <w:lvlJc w:val="left"/>
      <w:lvlText w:val="•"/>
      <w:numFmt w:val="bullet"/>
      <w:start w:val="1"/>
    </w:lvl>
  </w:abstractNum>
  <w:abstractNum w:abstractNumId="111">
    <w:nsid w:val="754342"/>
    <w:multiLevelType w:val="hybridMultilevel"/>
    <w:lvl w:ilvl="0">
      <w:lvlJc w:val="left"/>
      <w:lvlText w:val="•"/>
      <w:numFmt w:val="bullet"/>
      <w:start w:val="1"/>
    </w:lvl>
  </w:abstractNum>
  <w:abstractNum w:abstractNumId="112">
    <w:nsid w:val="69E7F3E5"/>
    <w:multiLevelType w:val="hybridMultilevel"/>
    <w:lvl w:ilvl="0">
      <w:lvlJc w:val="left"/>
      <w:lvlText w:val="•"/>
      <w:numFmt w:val="bullet"/>
      <w:start w:val="1"/>
    </w:lvl>
  </w:abstractNum>
  <w:abstractNum w:abstractNumId="113">
    <w:nsid w:val="2A6DE806"/>
    <w:multiLevelType w:val="hybridMultilevel"/>
    <w:lvl w:ilvl="0">
      <w:lvlJc w:val="left"/>
      <w:lvlText w:val="•"/>
      <w:numFmt w:val="bullet"/>
      <w:start w:val="1"/>
    </w:lvl>
  </w:abstractNum>
  <w:abstractNum w:abstractNumId="114">
    <w:nsid w:val="1816F8C4"/>
    <w:multiLevelType w:val="hybridMultilevel"/>
    <w:lvl w:ilvl="0">
      <w:lvlJc w:val="left"/>
      <w:lvlText w:val="(%1)"/>
      <w:numFmt w:val="decimal"/>
      <w:start w:val="1"/>
    </w:lvl>
  </w:abstractNum>
  <w:abstractNum w:abstractNumId="115">
    <w:nsid w:val="37DF2233"/>
    <w:multiLevelType w:val="hybridMultilevel"/>
    <w:lvl w:ilvl="0">
      <w:lvlJc w:val="left"/>
      <w:lvlText w:val="(%1)"/>
      <w:numFmt w:val="decimal"/>
      <w:start w:val="1"/>
    </w:lvl>
  </w:abstractNum>
  <w:abstractNum w:abstractNumId="116">
    <w:nsid w:val="7AB49DAF"/>
    <w:multiLevelType w:val="hybridMultilevel"/>
    <w:lvl w:ilvl="0">
      <w:lvlJc w:val="left"/>
      <w:lvlText w:val="•"/>
      <w:numFmt w:val="bullet"/>
      <w:start w:val="1"/>
    </w:lvl>
  </w:abstractNum>
  <w:abstractNum w:abstractNumId="117">
    <w:nsid w:val="759F82CD"/>
    <w:multiLevelType w:val="hybridMultilevel"/>
    <w:lvl w:ilvl="0">
      <w:lvlJc w:val="left"/>
      <w:lvlText w:val="•"/>
      <w:numFmt w:val="bullet"/>
      <w:start w:val="1"/>
    </w:lvl>
  </w:abstractNum>
  <w:abstractNum w:abstractNumId="118">
    <w:nsid w:val="61E74EA3"/>
    <w:multiLevelType w:val="hybridMultilevel"/>
    <w:lvl w:ilvl="0">
      <w:lvlJc w:val="left"/>
      <w:lvlText w:val="•"/>
      <w:numFmt w:val="bullet"/>
      <w:start w:val="1"/>
    </w:lvl>
  </w:abstractNum>
  <w:abstractNum w:abstractNumId="119">
    <w:nsid w:val="597B4D84"/>
    <w:multiLevelType w:val="hybridMultilevel"/>
    <w:lvl w:ilvl="0">
      <w:lvlJc w:val="left"/>
      <w:lvlText w:val="•"/>
      <w:numFmt w:val="bullet"/>
      <w:start w:val="1"/>
    </w:lvl>
  </w:abstractNum>
  <w:abstractNum w:abstractNumId="120">
    <w:nsid w:val="F819E7F"/>
    <w:multiLevelType w:val="hybridMultilevel"/>
    <w:lvl w:ilvl="0">
      <w:lvlJc w:val="left"/>
      <w:lvlText w:val="•"/>
      <w:numFmt w:val="bullet"/>
      <w:start w:val="1"/>
    </w:lvl>
  </w:abstractNum>
  <w:abstractNum w:abstractNumId="121">
    <w:nsid w:val="57C7D42D"/>
    <w:multiLevelType w:val="hybridMultilevel"/>
    <w:lvl w:ilvl="0">
      <w:lvlJc w:val="left"/>
      <w:lvlText w:val="•"/>
      <w:numFmt w:val="bullet"/>
      <w:start w:val="1"/>
    </w:lvl>
  </w:abstractNum>
  <w:abstractNum w:abstractNumId="122">
    <w:nsid w:val="312167AD"/>
    <w:multiLevelType w:val="hybridMultilevel"/>
    <w:lvl w:ilvl="0">
      <w:lvlJc w:val="left"/>
      <w:lvlText w:val="•"/>
      <w:numFmt w:val="bullet"/>
      <w:start w:val="1"/>
    </w:lvl>
  </w:abstractNum>
  <w:abstractNum w:abstractNumId="123">
    <w:nsid w:val="631B64D4"/>
    <w:multiLevelType w:val="hybridMultilevel"/>
    <w:lvl w:ilvl="0">
      <w:lvlJc w:val="left"/>
      <w:lvlText w:val="•"/>
      <w:numFmt w:val="bullet"/>
      <w:start w:val="1"/>
    </w:lvl>
  </w:abstractNum>
  <w:abstractNum w:abstractNumId="124">
    <w:nsid w:val="78B5E776"/>
    <w:multiLevelType w:val="hybridMultilevel"/>
    <w:lvl w:ilvl="0">
      <w:lvlJc w:val="left"/>
      <w:lvlText w:val="•"/>
      <w:numFmt w:val="bullet"/>
      <w:start w:val="1"/>
    </w:lvl>
  </w:abstractNum>
  <w:abstractNum w:abstractNumId="125">
    <w:nsid w:val="75486E47"/>
    <w:multiLevelType w:val="hybridMultilevel"/>
    <w:lvl w:ilvl="0">
      <w:lvlJc w:val="left"/>
      <w:lvlText w:val="•"/>
      <w:numFmt w:val="bullet"/>
      <w:start w:val="1"/>
    </w:lvl>
  </w:abstractNum>
  <w:abstractNum w:abstractNumId="126">
    <w:nsid w:val="6E534CDE"/>
    <w:multiLevelType w:val="hybridMultilevel"/>
    <w:lvl w:ilvl="0">
      <w:lvlJc w:val="left"/>
      <w:lvlText w:val="•"/>
      <w:numFmt w:val="bullet"/>
      <w:start w:val="1"/>
    </w:lvl>
  </w:abstractNum>
  <w:abstractNum w:abstractNumId="127">
    <w:nsid w:val="1A0DDE32"/>
    <w:multiLevelType w:val="hybridMultilevel"/>
    <w:lvl w:ilvl="0">
      <w:lvlJc w:val="left"/>
      <w:lvlText w:val="•"/>
      <w:numFmt w:val="bullet"/>
      <w:start w:val="1"/>
    </w:lvl>
  </w:abstractNum>
  <w:abstractNum w:abstractNumId="128">
    <w:nsid w:val="65968C1C"/>
    <w:multiLevelType w:val="hybridMultilevel"/>
    <w:lvl w:ilvl="0">
      <w:lvlJc w:val="left"/>
      <w:lvlText w:val="•"/>
      <w:numFmt w:val="bullet"/>
      <w:start w:val="1"/>
    </w:lvl>
  </w:abstractNum>
  <w:abstractNum w:abstractNumId="129">
    <w:nsid w:val="46263DEC"/>
    <w:multiLevelType w:val="hybridMultilevel"/>
    <w:lvl w:ilvl="0">
      <w:lvlJc w:val="left"/>
      <w:lvlText w:val="•"/>
      <w:numFmt w:val="bullet"/>
      <w:start w:val="1"/>
    </w:lvl>
  </w:abstractNum>
  <w:abstractNum w:abstractNumId="130">
    <w:nsid w:val="260D8C4A"/>
    <w:multiLevelType w:val="hybridMultilevel"/>
    <w:lvl w:ilvl="0">
      <w:lvlJc w:val="left"/>
      <w:lvlText w:val="•"/>
      <w:numFmt w:val="bullet"/>
      <w:start w:val="1"/>
    </w:lvl>
  </w:abstractNum>
  <w:abstractNum w:abstractNumId="131">
    <w:nsid w:val="73D4D3C4"/>
    <w:multiLevelType w:val="hybridMultilevel"/>
    <w:lvl w:ilvl="0">
      <w:lvlJc w:val="left"/>
      <w:lvlText w:val="•"/>
      <w:numFmt w:val="bullet"/>
      <w:start w:val="1"/>
    </w:lvl>
  </w:abstractNum>
  <w:abstractNum w:abstractNumId="132">
    <w:nsid w:val="746F2E30"/>
    <w:multiLevelType w:val="hybridMultilevel"/>
    <w:lvl w:ilvl="0">
      <w:lvlJc w:val="left"/>
      <w:lvlText w:val="(%1)"/>
      <w:numFmt w:val="decimal"/>
      <w:start w:val="1"/>
    </w:lvl>
  </w:abstractNum>
  <w:abstractNum w:abstractNumId="133">
    <w:nsid w:val="6FDE8AF6"/>
    <w:multiLevelType w:val="hybridMultilevel"/>
    <w:lvl w:ilvl="0">
      <w:lvlJc w:val="left"/>
      <w:lvlText w:val="(%1)"/>
      <w:numFmt w:val="decimal"/>
      <w:start w:val="1"/>
    </w:lvl>
  </w:abstractNum>
  <w:abstractNum w:abstractNumId="134">
    <w:nsid w:val="3FC32E20"/>
    <w:multiLevelType w:val="hybridMultilevel"/>
    <w:lvl w:ilvl="0">
      <w:lvlJc w:val="left"/>
      <w:lvlText w:val="•"/>
      <w:numFmt w:val="bullet"/>
      <w:start w:val="1"/>
    </w:lvl>
  </w:abstractNum>
  <w:abstractNum w:abstractNumId="135">
    <w:nsid w:val="49C0E823"/>
    <w:multiLevelType w:val="hybridMultilevel"/>
    <w:lvl w:ilvl="0">
      <w:lvlJc w:val="left"/>
      <w:lvlText w:val="(%1)"/>
      <w:numFmt w:val="decimal"/>
      <w:start w:val="1"/>
    </w:lvl>
  </w:abstractNum>
  <w:abstractNum w:abstractNumId="136">
    <w:nsid w:val="14D53685"/>
    <w:multiLevelType w:val="hybridMultilevel"/>
    <w:lvl w:ilvl="0">
      <w:lvlJc w:val="left"/>
      <w:lvlText w:val="(%1)"/>
      <w:numFmt w:val="decimal"/>
      <w:start w:val="2"/>
    </w:lvl>
  </w:abstractNum>
  <w:abstractNum w:abstractNumId="137">
    <w:nsid w:val="230F856C"/>
    <w:multiLevelType w:val="hybridMultilevel"/>
    <w:lvl w:ilvl="0">
      <w:lvlJc w:val="left"/>
      <w:lvlText w:val="(%1)"/>
      <w:numFmt w:val="decimal"/>
      <w:start w:val="1"/>
    </w:lvl>
  </w:abstractNum>
  <w:abstractNum w:abstractNumId="138">
    <w:nsid w:val="6EAA85FB"/>
    <w:multiLevelType w:val="hybridMultilevel"/>
    <w:lvl w:ilvl="0">
      <w:lvlJc w:val="left"/>
      <w:lvlText w:val="*"/>
      <w:numFmt w:val="bullet"/>
      <w:start w:val="1"/>
    </w:lvl>
  </w:abstractNum>
  <w:abstractNum w:abstractNumId="139">
    <w:nsid w:val="3F06ECB2"/>
    <w:multiLevelType w:val="hybridMultilevel"/>
    <w:lvl w:ilvl="0">
      <w:lvlJc w:val="left"/>
      <w:lvlText w:val="•"/>
      <w:numFmt w:val="bullet"/>
      <w:start w:val="1"/>
    </w:lvl>
  </w:abstractNum>
  <w:abstractNum w:abstractNumId="140">
    <w:nsid w:val="3B594807"/>
    <w:multiLevelType w:val="hybridMultilevel"/>
    <w:lvl w:ilvl="0">
      <w:lvlJc w:val="left"/>
      <w:lvlText w:val="•"/>
      <w:numFmt w:val="bullet"/>
      <w:start w:val="1"/>
    </w:lvl>
  </w:abstractNum>
  <w:abstractNum w:abstractNumId="141">
    <w:nsid w:val="6CAA2304"/>
    <w:multiLevelType w:val="hybridMultilevel"/>
    <w:lvl w:ilvl="0">
      <w:lvlJc w:val="left"/>
      <w:lvlText w:val="•"/>
      <w:numFmt w:val="bullet"/>
      <w:start w:val="1"/>
    </w:lvl>
  </w:abstractNum>
  <w:abstractNum w:abstractNumId="142">
    <w:nsid w:val="3F7C2FF4"/>
    <w:multiLevelType w:val="hybridMultilevel"/>
    <w:lvl w:ilvl="0">
      <w:lvlJc w:val="left"/>
      <w:lvlText w:val="(%1)"/>
      <w:numFmt w:val="decimal"/>
      <w:start w:val="1"/>
    </w:lvl>
  </w:abstractNum>
  <w:abstractNum w:abstractNumId="143">
    <w:nsid w:val="25413BEC"/>
    <w:multiLevelType w:val="hybridMultilevel"/>
    <w:lvl w:ilvl="0">
      <w:lvlJc w:val="left"/>
      <w:lvlText w:val="(%1)"/>
      <w:numFmt w:val="decimal"/>
      <w:start w:val="1"/>
    </w:lvl>
  </w:abstractNum>
  <w:abstractNum w:abstractNumId="144">
    <w:nsid w:val="17180B0B"/>
    <w:multiLevelType w:val="hybridMultilevel"/>
    <w:lvl w:ilvl="0">
      <w:lvlJc w:val="left"/>
      <w:lvlText w:val="•"/>
      <w:numFmt w:val="bullet"/>
      <w:start w:val="1"/>
    </w:lvl>
  </w:abstractNum>
  <w:abstractNum w:abstractNumId="145">
    <w:nsid w:val="579328B9"/>
    <w:multiLevelType w:val="hybridMultilevel"/>
    <w:lvl w:ilvl="0">
      <w:lvlJc w:val="left"/>
      <w:lvlText w:val="(%1)"/>
      <w:numFmt w:val="lowerLetter"/>
      <w:start w:val="1"/>
    </w:lvl>
    <w:lvl w:ilvl="1">
      <w:lvlJc w:val="left"/>
      <w:lvlText w:val="(%2)"/>
      <w:numFmt w:val="lowerRoman"/>
      <w:start w:val="1"/>
    </w:lvl>
  </w:abstractNum>
  <w:abstractNum w:abstractNumId="146">
    <w:nsid w:val="5D205E20"/>
    <w:multiLevelType w:val="hybridMultilevel"/>
    <w:lvl w:ilvl="0">
      <w:lvlJc w:val="left"/>
      <w:lvlText w:val="(%1)"/>
      <w:numFmt w:val="lowerRoman"/>
      <w:start w:val="3"/>
    </w:lvl>
  </w:abstractNum>
  <w:abstractNum w:abstractNumId="147">
    <w:nsid w:val="11CCA8BA"/>
    <w:multiLevelType w:val="hybridMultilevel"/>
    <w:lvl w:ilvl="0">
      <w:lvlJc w:val="left"/>
      <w:lvlText w:val="(%1)"/>
      <w:numFmt w:val="lowerLetter"/>
      <w:start w:val="9"/>
    </w:lvl>
    <w:lvl w:ilvl="1">
      <w:lvlJc w:val="left"/>
      <w:lvlText w:val="(%2)"/>
      <w:numFmt w:val="lowerLetter"/>
      <w:start w:val="8"/>
    </w:lvl>
  </w:abstractNum>
  <w:abstractNum w:abstractNumId="148">
    <w:nsid w:val="4D32AB86"/>
    <w:multiLevelType w:val="hybridMultilevel"/>
    <w:lvl w:ilvl="0">
      <w:lvlJc w:val="left"/>
      <w:lvlText w:val="(%1)"/>
      <w:numFmt w:val="lowerLetter"/>
      <w:start w:val="15"/>
    </w:lvl>
  </w:abstractNum>
  <w:abstractNum w:abstractNumId="149">
    <w:nsid w:val="3F07ACC3"/>
    <w:multiLevelType w:val="hybridMultilevel"/>
    <w:lvl w:ilvl="0">
      <w:lvlJc w:val="left"/>
      <w:lvlText w:val="(%1)"/>
      <w:numFmt w:val="lowerLetter"/>
      <w:start w:val="27"/>
    </w:lvl>
  </w:abstractNum>
  <w:abstractNum w:abstractNumId="150">
    <w:nsid w:val="6B47F63E"/>
    <w:multiLevelType w:val="hybridMultilevel"/>
    <w:lvl w:ilvl="0">
      <w:lvlJc w:val="left"/>
      <w:lvlText w:val="(%1)"/>
      <w:numFmt w:val="lowerLetter"/>
      <w:start w:val="34"/>
    </w:lvl>
  </w:abstractNum>
  <w:abstractNum w:abstractNumId="151">
    <w:nsid w:val="5CB44A05"/>
    <w:multiLevelType w:val="hybridMultilevel"/>
    <w:lvl w:ilvl="0">
      <w:lvlJc w:val="left"/>
      <w:lvlText w:val="(%1)"/>
      <w:numFmt w:val="lowerLetter"/>
      <w:start w:val="1"/>
    </w:lvl>
  </w:abstractNum>
  <w:abstractNum w:abstractNumId="152">
    <w:nsid w:val="16CF80F1"/>
    <w:multiLevelType w:val="hybridMultilevel"/>
    <w:lvl w:ilvl="0">
      <w:lvlJc w:val="left"/>
      <w:lvlText w:val="(%1)"/>
      <w:numFmt w:val="lowerLetter"/>
      <w:start w:val="1"/>
    </w:lvl>
  </w:abstractNum>
  <w:abstractNum w:abstractNumId="153">
    <w:nsid w:val="1C695DEC"/>
    <w:multiLevelType w:val="hybridMultilevel"/>
    <w:lvl w:ilvl="0">
      <w:lvlJc w:val="left"/>
      <w:lvlText w:val="(%1)"/>
      <w:numFmt w:val="lowerLetter"/>
      <w:start w:val="1"/>
    </w:lvl>
    <w:lvl w:ilvl="1">
      <w:lvlJc w:val="left"/>
      <w:lvlText w:val="(%2)"/>
      <w:numFmt w:val="lowerRoman"/>
      <w:start w:val="1"/>
    </w:lvl>
  </w:abstractNum>
  <w:abstractNum w:abstractNumId="154">
    <w:nsid w:val="3FCFAED9"/>
    <w:multiLevelType w:val="hybridMultilevel"/>
    <w:lvl w:ilvl="0">
      <w:lvlJc w:val="left"/>
      <w:lvlText w:val="(%1)"/>
      <w:numFmt w:val="lowerLetter"/>
      <w:start w:val="4"/>
    </w:lvl>
  </w:abstractNum>
  <w:abstractNum w:abstractNumId="155">
    <w:nsid w:val="F856867"/>
    <w:multiLevelType w:val="hybridMultilevel"/>
    <w:lvl w:ilvl="0">
      <w:lvlJc w:val="left"/>
      <w:lvlText w:val="(%1)"/>
      <w:numFmt w:val="lowerLetter"/>
      <w:start w:val="6"/>
    </w:lvl>
  </w:abstractNum>
  <w:abstractNum w:abstractNumId="156">
    <w:nsid w:val="11B1CC33"/>
    <w:multiLevelType w:val="hybridMultilevel"/>
    <w:lvl w:ilvl="0">
      <w:lvlJc w:val="left"/>
      <w:lvlText w:val="(%1)"/>
      <w:numFmt w:val="lowerLetter"/>
      <w:start w:val="1"/>
    </w:lvl>
  </w:abstractNum>
  <w:abstractNum w:abstractNumId="157">
    <w:nsid w:val="2E22FBB7"/>
    <w:multiLevelType w:val="hybridMultilevel"/>
    <w:lvl w:ilvl="0">
      <w:lvlJc w:val="left"/>
      <w:lvlText w:val="(%1)"/>
      <w:numFmt w:val="lowerLetter"/>
      <w:start w:val="1"/>
    </w:lvl>
  </w:abstractNum>
  <w:abstractNum w:abstractNumId="158">
    <w:nsid w:val="29934699"/>
    <w:multiLevelType w:val="hybridMultilevel"/>
    <w:lvl w:ilvl="0">
      <w:lvlJc w:val="left"/>
      <w:lvlText w:val="(%1)"/>
      <w:numFmt w:val="lowerLetter"/>
      <w:start w:val="1"/>
    </w:lvl>
  </w:abstractNum>
  <w:abstractNum w:abstractNumId="159">
    <w:nsid w:val="77485850"/>
    <w:multiLevelType w:val="hybridMultilevel"/>
    <w:lvl w:ilvl="0">
      <w:lvlJc w:val="left"/>
      <w:lvlText w:val="(%1)"/>
      <w:numFmt w:val="lowerLetter"/>
      <w:start w:val="1"/>
    </w:lvl>
  </w:abstractNum>
  <w:abstractNum w:abstractNumId="160">
    <w:nsid w:val="744939A3"/>
    <w:multiLevelType w:val="hybridMultilevel"/>
    <w:lvl w:ilvl="0">
      <w:lvlJc w:val="left"/>
      <w:lvlText w:val="(%1)"/>
      <w:numFmt w:val="lowerLetter"/>
      <w:start w:val="3"/>
    </w:lvl>
  </w:abstractNum>
  <w:abstractNum w:abstractNumId="161">
    <w:nsid w:val="4FA0D2E3"/>
    <w:multiLevelType w:val="hybridMultilevel"/>
    <w:lvl w:ilvl="0">
      <w:lvlJc w:val="left"/>
      <w:lvlText w:val="(%1)"/>
      <w:numFmt w:val="lowerLetter"/>
      <w:start w:val="1"/>
    </w:lvl>
  </w:abstractNum>
  <w:abstractNum w:abstractNumId="162">
    <w:nsid w:val="6B1D2C14"/>
    <w:multiLevelType w:val="hybridMultilevel"/>
    <w:lvl w:ilvl="0">
      <w:lvlJc w:val="left"/>
      <w:lvlText w:val="(%1)"/>
      <w:numFmt w:val="lowerLetter"/>
      <w:start w:val="2"/>
    </w:lvl>
    <w:lvl w:ilvl="1">
      <w:lvlJc w:val="left"/>
      <w:lvlText w:val="(%2)"/>
      <w:numFmt w:val="lowerRoman"/>
      <w:start w:val="1"/>
    </w:lvl>
  </w:abstractNum>
  <w:abstractNum w:abstractNumId="163">
    <w:nsid w:val="68B867D3"/>
    <w:multiLevelType w:val="hybridMultilevel"/>
    <w:lvl w:ilvl="0">
      <w:lvlJc w:val="left"/>
      <w:lvlText w:val="(%1)"/>
      <w:numFmt w:val="lowerLetter"/>
      <w:start w:val="1"/>
    </w:lvl>
  </w:abstractNum>
  <w:abstractNum w:abstractNumId="164">
    <w:nsid w:val="3F7F5DD9"/>
    <w:multiLevelType w:val="hybridMultilevel"/>
    <w:lvl w:ilvl="0">
      <w:lvlJc w:val="left"/>
      <w:lvlText w:val="(%1)"/>
      <w:numFmt w:val="lowerLetter"/>
      <w:start w:val="1"/>
    </w:lvl>
  </w:abstractNum>
  <w:abstractNum w:abstractNumId="165">
    <w:nsid w:val="2AE05A34"/>
    <w:multiLevelType w:val="hybridMultilevel"/>
    <w:lvl w:ilvl="0">
      <w:lvlJc w:val="left"/>
      <w:lvlText w:val="(%1)"/>
      <w:numFmt w:val="lowerLetter"/>
      <w:start w:val="2"/>
    </w:lvl>
  </w:abstractNum>
  <w:abstractNum w:abstractNumId="166">
    <w:nsid w:val="32794FF7"/>
    <w:multiLevelType w:val="hybridMultilevel"/>
    <w:lvl w:ilvl="0">
      <w:lvlJc w:val="left"/>
      <w:lvlText w:val="(%1)"/>
      <w:numFmt w:val="lowerLetter"/>
      <w:start w:val="1"/>
    </w:lvl>
  </w:abstractNum>
  <w:abstractNum w:abstractNumId="167">
    <w:nsid w:val="5454945E"/>
    <w:multiLevelType w:val="hybridMultilevel"/>
    <w:lvl w:ilvl="0">
      <w:lvlJc w:val="left"/>
      <w:lvlText w:val="(%1)"/>
      <w:numFmt w:val="lowerLetter"/>
      <w:start w:val="5"/>
    </w:lvl>
  </w:abstractNum>
  <w:abstractNum w:abstractNumId="168">
    <w:nsid w:val="4DEFDFA0"/>
    <w:multiLevelType w:val="hybridMultilevel"/>
    <w:lvl w:ilvl="0">
      <w:lvlJc w:val="left"/>
      <w:lvlText w:val="(%1)"/>
      <w:numFmt w:val="lowerLetter"/>
      <w:start w:val="1"/>
    </w:lvl>
  </w:abstractNum>
  <w:abstractNum w:abstractNumId="169">
    <w:nsid w:val="2123D5F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jpeg"/><Relationship Id="rId477" Type="http://schemas.openxmlformats.org/officeDocument/2006/relationships/image" Target="media/image470.jpeg"/><Relationship Id="rId478" Type="http://schemas.openxmlformats.org/officeDocument/2006/relationships/image" Target="media/image471.jpeg"/><Relationship Id="rId479" Type="http://schemas.openxmlformats.org/officeDocument/2006/relationships/image" Target="media/image472.jpeg"/><Relationship Id="rId480" Type="http://schemas.openxmlformats.org/officeDocument/2006/relationships/image" Target="media/image473.jpeg"/><Relationship Id="rId481" Type="http://schemas.openxmlformats.org/officeDocument/2006/relationships/image" Target="media/image474.jpeg"/><Relationship Id="rId482" Type="http://schemas.openxmlformats.org/officeDocument/2006/relationships/image" Target="media/image475.jpeg"/><Relationship Id="rId483" Type="http://schemas.openxmlformats.org/officeDocument/2006/relationships/image" Target="media/image476.jpeg"/><Relationship Id="rId484" Type="http://schemas.openxmlformats.org/officeDocument/2006/relationships/image" Target="media/image477.jpeg"/><Relationship Id="rId485" Type="http://schemas.openxmlformats.org/officeDocument/2006/relationships/image" Target="media/image478.jpeg"/><Relationship Id="rId486" Type="http://schemas.openxmlformats.org/officeDocument/2006/relationships/image" Target="media/image479.jpe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jpe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jpe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jpe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jpe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jpe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jpe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2025-03-12T09:18:45Z</dcterms:created>
  <dcterms:modified xsi:type="dcterms:W3CDTF">2025-03-12T09:18:45Z</dcterms:modified>
</cp:coreProperties>
</file>