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417"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345" w:before="0" w:after="0"/>
        <w:jc w:val="center"/>
        <w:rPr>
          <w:rFonts w:ascii="Times New Roman;serif" w:hAnsi="Times New Roman;serif"/>
          <w:b/>
          <w:color w:val="000000"/>
          <w:sz w:val="28"/>
        </w:rPr>
      </w:pPr>
      <w:r>
        <w:rPr>
          <w:rFonts w:ascii="Times New Roman;serif" w:hAnsi="Times New Roman;serif"/>
          <w:b/>
          <w:color w:val="000000"/>
          <w:sz w:val="28"/>
        </w:rPr>
        <w:t>Washington, D.C. 20549</w:t>
      </w:r>
    </w:p>
    <w:p>
      <w:pPr>
        <w:pStyle w:val="TextBody"/>
        <w:bidi w:val="0"/>
        <w:spacing w:lineRule="auto" w:line="345" w:before="0" w:after="0"/>
        <w:jc w:val="center"/>
        <w:rPr>
          <w:rFonts w:ascii="Times New Roman;serif" w:hAnsi="Times New Roman;serif"/>
          <w:b/>
          <w:color w:val="000000"/>
          <w:sz w:val="36"/>
        </w:rPr>
      </w:pPr>
      <w:r>
        <w:rPr>
          <w:rFonts w:ascii="Times New Roman;serif" w:hAnsi="Times New Roman;serif"/>
          <w:b/>
          <w:color w:val="000000"/>
          <w:sz w:val="36"/>
        </w:rPr>
        <w:t xml:space="preserve">FORM 8-K </w:t>
      </w:r>
    </w:p>
    <w:p>
      <w:pPr>
        <w:pStyle w:val="TextBody"/>
        <w:bidi w:val="0"/>
        <w:spacing w:lineRule="auto" w:line="288" w:before="220" w:after="283"/>
        <w:jc w:val="center"/>
        <w:rPr>
          <w:rFonts w:ascii="Times New Roman;serif" w:hAnsi="Times New Roman;serif"/>
          <w:b/>
          <w:color w:val="231F20"/>
          <w:sz w:val="24"/>
        </w:rPr>
      </w:pPr>
      <w:r>
        <w:rPr>
          <w:rFonts w:ascii="Times New Roman;serif" w:hAnsi="Times New Roman;serif"/>
          <w:b/>
          <w:color w:val="231F20"/>
          <w:sz w:val="24"/>
        </w:rPr>
        <w:t>CURRENT REPORT</w:t>
      </w:r>
    </w:p>
    <w:p>
      <w:pPr>
        <w:pStyle w:val="TextBody"/>
        <w:bidi w:val="0"/>
        <w:spacing w:lineRule="auto" w:line="288" w:before="20" w:after="283"/>
        <w:jc w:val="center"/>
        <w:rPr>
          <w:rFonts w:ascii="Times New Roman;serif" w:hAnsi="Times New Roman;serif"/>
          <w:b/>
          <w:color w:val="231F20"/>
          <w:sz w:val="24"/>
        </w:rPr>
      </w:pPr>
      <w:r>
        <w:rPr>
          <w:rFonts w:ascii="Times New Roman;serif" w:hAnsi="Times New Roman;serif"/>
          <w:b/>
          <w:color w:val="231F20"/>
          <w:sz w:val="24"/>
        </w:rPr>
        <w:t>Pursuant to Section 13 or 15(d) of the Securities Exchange Act of 1934</w:t>
      </w:r>
    </w:p>
    <w:p>
      <w:pPr>
        <w:pStyle w:val="TextBody"/>
        <w:bidi w:val="0"/>
        <w:spacing w:before="0" w:after="0"/>
        <w:jc w:val="center"/>
        <w:rPr/>
      </w:pPr>
      <w:r>
        <w:rPr/>
      </w:r>
    </w:p>
    <w:p>
      <w:pPr>
        <w:pStyle w:val="TextBody"/>
        <w:bidi w:val="0"/>
        <w:spacing w:lineRule="auto" w:line="288" w:before="0" w:after="0"/>
        <w:jc w:val="center"/>
        <w:rPr/>
      </w:pPr>
      <w:r>
        <w:rPr>
          <w:rFonts w:ascii="Times New Roman;serif" w:hAnsi="Times New Roman;serif"/>
          <w:b/>
          <w:color w:val="000000"/>
          <w:sz w:val="24"/>
        </w:rPr>
        <w:t xml:space="preserve">Date of Report (Date of earliest event reported): </w:t>
      </w:r>
      <w:r>
        <w:rPr>
          <w:rFonts w:ascii="Times New Roman;serif" w:hAnsi="Times New Roman;serif"/>
          <w:b w:val="false"/>
          <w:color w:val="000000"/>
          <w:sz w:val="24"/>
        </w:rPr>
        <w:t xml:space="preserve">August 7, 2026 </w:t>
      </w:r>
    </w:p>
    <w:p>
      <w:pPr>
        <w:pStyle w:val="TextBody"/>
        <w:bidi w:val="0"/>
        <w:spacing w:before="0" w:after="0"/>
        <w:jc w:val="center"/>
        <w:rPr/>
      </w:pPr>
      <w:r>
        <w:rPr/>
      </w:r>
    </w:p>
    <w:p>
      <w:pPr>
        <w:pStyle w:val="TextBody"/>
        <w:bidi w:val="0"/>
        <w:spacing w:lineRule="auto" w:line="345" w:before="0" w:after="0"/>
        <w:jc w:val="center"/>
        <w:rPr>
          <w:rFonts w:ascii="Times New Roman;serif" w:hAnsi="Times New Roman;serif"/>
          <w:b/>
          <w:color w:val="000000"/>
          <w:sz w:val="36"/>
        </w:rPr>
      </w:pPr>
      <w:r>
        <w:rPr>
          <w:rFonts w:ascii="Times New Roman;serif" w:hAnsi="Times New Roman;serif"/>
          <w:b/>
          <w:color w:val="000000"/>
          <w:sz w:val="36"/>
        </w:rPr>
        <w:t xml:space="preserve">MSCI Inc. </w:t>
      </w:r>
    </w:p>
    <w:p>
      <w:pPr>
        <w:pStyle w:val="TextBody"/>
        <w:bidi w:val="0"/>
        <w:spacing w:lineRule="auto" w:line="345" w:before="0" w:after="0"/>
        <w:jc w:val="center"/>
        <w:rPr>
          <w:rFonts w:ascii="Times New Roman;serif" w:hAnsi="Times New Roman;serif"/>
          <w:b/>
          <w:color w:val="000000"/>
          <w:sz w:val="24"/>
        </w:rPr>
      </w:pPr>
      <w:r>
        <w:rPr>
          <w:rFonts w:ascii="Times New Roman;serif" w:hAnsi="Times New Roman;serif"/>
          <w:b/>
          <w:color w:val="000000"/>
          <w:sz w:val="24"/>
        </w:rPr>
        <w:t>(Exact name of Registrant as Specified in Its Charter)</w:t>
      </w:r>
    </w:p>
    <w:p>
      <w:pPr>
        <w:pStyle w:val="TextBody"/>
        <w:bidi w:val="0"/>
        <w:spacing w:before="0" w:after="0"/>
        <w:jc w:val="center"/>
        <w:rPr/>
      </w:pPr>
      <w:r>
        <w:rPr/>
      </w:r>
    </w:p>
    <w:tbl>
      <w:tblPr>
        <w:tblW w:w="9517" w:type="dxa"/>
        <w:jc w:val="center"/>
        <w:tblInd w:w="0" w:type="dxa"/>
        <w:tblLayout w:type="fixed"/>
        <w:tblCellMar>
          <w:top w:w="28" w:type="dxa"/>
          <w:left w:w="28" w:type="dxa"/>
          <w:bottom w:w="28" w:type="dxa"/>
          <w:right w:w="28" w:type="dxa"/>
        </w:tblCellMar>
      </w:tblPr>
      <w:tblGrid>
        <w:gridCol w:w="1328"/>
        <w:gridCol w:w="1167"/>
        <w:gridCol w:w="1179"/>
        <w:gridCol w:w="109"/>
        <w:gridCol w:w="109"/>
        <w:gridCol w:w="109"/>
        <w:gridCol w:w="762"/>
        <w:gridCol w:w="762"/>
        <w:gridCol w:w="770"/>
        <w:gridCol w:w="109"/>
        <w:gridCol w:w="109"/>
        <w:gridCol w:w="109"/>
        <w:gridCol w:w="845"/>
        <w:gridCol w:w="845"/>
        <w:gridCol w:w="1205"/>
      </w:tblGrid>
      <w:tr>
        <w:trPr/>
        <w:tc>
          <w:tcPr>
            <w:tcW w:w="1328"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345" w:before="0" w:after="283"/>
              <w:jc w:val="center"/>
              <w:rPr>
                <w:rFonts w:ascii="Times New Roman;serif" w:hAnsi="Times New Roman;serif"/>
                <w:b w:val="false"/>
                <w:color w:val="000000"/>
                <w:sz w:val="20"/>
              </w:rPr>
            </w:pPr>
            <w:r>
              <w:rPr>
                <w:rFonts w:ascii="Times New Roman;serif" w:hAnsi="Times New Roman;serif"/>
                <w:b w:val="false"/>
                <w:color w:val="000000"/>
                <w:sz w:val="20"/>
              </w:rPr>
              <w:t>001-33812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13-4038723</w:t>
            </w:r>
          </w:p>
        </w:tc>
      </w:tr>
      <w:tr>
        <w:trPr/>
        <w:tc>
          <w:tcPr>
            <w:tcW w:w="3674"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bl>
    <w:tbl>
      <w:tblPr>
        <w:tblW w:w="7618" w:type="dxa"/>
        <w:jc w:val="center"/>
        <w:tblInd w:w="0" w:type="dxa"/>
        <w:tblLayout w:type="fixed"/>
        <w:tblCellMar>
          <w:top w:w="28" w:type="dxa"/>
          <w:left w:w="28" w:type="dxa"/>
          <w:bottom w:w="28" w:type="dxa"/>
          <w:right w:w="28" w:type="dxa"/>
        </w:tblCellMar>
      </w:tblPr>
      <w:tblGrid>
        <w:gridCol w:w="743"/>
        <w:gridCol w:w="654"/>
        <w:gridCol w:w="657"/>
        <w:gridCol w:w="984"/>
        <w:gridCol w:w="984"/>
        <w:gridCol w:w="987"/>
        <w:gridCol w:w="329"/>
        <w:gridCol w:w="329"/>
        <w:gridCol w:w="331"/>
        <w:gridCol w:w="314"/>
        <w:gridCol w:w="314"/>
        <w:gridCol w:w="316"/>
        <w:gridCol w:w="198"/>
        <w:gridCol w:w="198"/>
        <w:gridCol w:w="280"/>
      </w:tblGrid>
      <w:tr>
        <w:trPr/>
        <w:tc>
          <w:tcPr>
            <w:tcW w:w="743"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r>
      <w:tr>
        <w:trPr/>
        <w:tc>
          <w:tcPr>
            <w:tcW w:w="2054" w:type="dxa"/>
            <w:gridSpan w:val="3"/>
            <w:tcBorders/>
            <w:vAlign w:val="center"/>
          </w:tcPr>
          <w:p>
            <w:pPr>
              <w:pStyle w:val="TableContents"/>
              <w:bidi w:val="0"/>
              <w:spacing w:before="0" w:after="283"/>
              <w:jc w:val="left"/>
              <w:rPr>
                <w:sz w:val="4"/>
                <w:szCs w:val="4"/>
              </w:rPr>
            </w:pPr>
            <w:r>
              <w:rPr>
                <w:sz w:val="4"/>
                <w:szCs w:val="4"/>
              </w:rPr>
            </w:r>
          </w:p>
        </w:tc>
        <w:tc>
          <w:tcPr>
            <w:tcW w:w="2955"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1620" w:type="dxa"/>
            <w:gridSpan w:val="6"/>
            <w:tcBorders/>
          </w:tcPr>
          <w:p>
            <w:pPr>
              <w:pStyle w:val="TableContents"/>
              <w:bidi w:val="0"/>
              <w:spacing w:before="0" w:after="283"/>
              <w:jc w:val="left"/>
              <w:rPr>
                <w:sz w:val="4"/>
                <w:szCs w:val="4"/>
              </w:rPr>
            </w:pPr>
            <w:r>
              <w:rPr>
                <w:sz w:val="4"/>
                <w:szCs w:val="4"/>
              </w:rPr>
            </w:r>
          </w:p>
        </w:tc>
      </w:tr>
      <w:tr>
        <w:trPr/>
        <w:tc>
          <w:tcPr>
            <w:tcW w:w="2054" w:type="dxa"/>
            <w:gridSpan w:val="3"/>
            <w:tcBorders/>
            <w:vAlign w:val="center"/>
          </w:tcPr>
          <w:p>
            <w:pPr>
              <w:pStyle w:val="TableContents"/>
              <w:bidi w:val="0"/>
              <w:spacing w:before="0" w:after="283"/>
              <w:jc w:val="left"/>
              <w:rPr>
                <w:sz w:val="4"/>
                <w:szCs w:val="4"/>
              </w:rPr>
            </w:pPr>
            <w:r>
              <w:rPr>
                <w:sz w:val="4"/>
                <w:szCs w:val="4"/>
              </w:rPr>
            </w:r>
          </w:p>
        </w:tc>
        <w:tc>
          <w:tcPr>
            <w:tcW w:w="2955"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1620" w:type="dxa"/>
            <w:gridSpan w:val="6"/>
            <w:tcBorders/>
          </w:tcPr>
          <w:p>
            <w:pPr>
              <w:pStyle w:val="TableContents"/>
              <w:bidi w:val="0"/>
              <w:spacing w:before="0" w:after="283"/>
              <w:jc w:val="left"/>
              <w:rPr>
                <w:sz w:val="4"/>
                <w:szCs w:val="4"/>
              </w:rPr>
            </w:pPr>
            <w:r>
              <w:rPr>
                <w:sz w:val="4"/>
                <w:szCs w:val="4"/>
              </w:rPr>
            </w:r>
          </w:p>
        </w:tc>
      </w:tr>
      <w:tr>
        <w:trPr/>
        <w:tc>
          <w:tcPr>
            <w:tcW w:w="2054" w:type="dxa"/>
            <w:gridSpan w:val="3"/>
            <w:tcBorders/>
            <w:vAlign w:val="center"/>
          </w:tcPr>
          <w:p>
            <w:pPr>
              <w:pStyle w:val="TableContents"/>
              <w:bidi w:val="0"/>
              <w:spacing w:before="0" w:after="283"/>
              <w:jc w:val="left"/>
              <w:rPr>
                <w:sz w:val="4"/>
                <w:szCs w:val="4"/>
              </w:rPr>
            </w:pPr>
            <w:r>
              <w:rPr>
                <w:sz w:val="4"/>
                <w:szCs w:val="4"/>
              </w:rPr>
            </w:r>
          </w:p>
        </w:tc>
        <w:tc>
          <w:tcPr>
            <w:tcW w:w="2955" w:type="dxa"/>
            <w:gridSpan w:val="3"/>
            <w:tcBorders/>
            <w:vAlign w:val="center"/>
          </w:tcPr>
          <w:p>
            <w:pPr>
              <w:pStyle w:val="TableContents"/>
              <w:bidi w:val="0"/>
              <w:spacing w:before="0" w:after="283"/>
              <w:jc w:val="left"/>
              <w:rPr>
                <w:sz w:val="4"/>
                <w:szCs w:val="4"/>
              </w:rPr>
            </w:pPr>
            <w:r>
              <w:rPr>
                <w:sz w:val="4"/>
                <w:szCs w:val="4"/>
              </w:rPr>
            </w:r>
          </w:p>
        </w:tc>
        <w:tc>
          <w:tcPr>
            <w:tcW w:w="2609" w:type="dxa"/>
            <w:gridSpan w:val="9"/>
            <w:tcBorders/>
          </w:tcPr>
          <w:p>
            <w:pPr>
              <w:pStyle w:val="TableContents"/>
              <w:bidi w:val="0"/>
              <w:spacing w:before="0" w:after="283"/>
              <w:jc w:val="left"/>
              <w:rPr>
                <w:sz w:val="4"/>
                <w:szCs w:val="4"/>
              </w:rPr>
            </w:pPr>
            <w:r>
              <w:rPr>
                <w:sz w:val="4"/>
                <w:szCs w:val="4"/>
              </w:rPr>
            </w:r>
          </w:p>
        </w:tc>
      </w:tr>
      <w:tr>
        <w:trPr/>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7 World Trade Center,</w:t>
            </w:r>
          </w:p>
        </w:tc>
        <w:tc>
          <w:tcPr>
            <w:tcW w:w="29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250 Greenwich Street, 49th Floor,</w:t>
            </w:r>
          </w:p>
        </w:tc>
        <w:tc>
          <w:tcPr>
            <w:tcW w:w="9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New York,</w:t>
            </w:r>
          </w:p>
        </w:tc>
        <w:tc>
          <w:tcPr>
            <w:tcW w:w="9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New York</w:t>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10007</w:t>
            </w:r>
          </w:p>
        </w:tc>
      </w:tr>
      <w:tr>
        <w:trPr/>
        <w:tc>
          <w:tcPr>
            <w:tcW w:w="7618" w:type="dxa"/>
            <w:gridSpan w:val="15"/>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 (Zip Code)</w:t>
            </w:r>
          </w:p>
        </w:tc>
      </w:tr>
    </w:tbl>
    <w:p>
      <w:pPr>
        <w:pStyle w:val="TextBody"/>
        <w:bidi w:val="0"/>
        <w:spacing w:lineRule="auto" w:line="345" w:before="0" w:after="0"/>
        <w:jc w:val="center"/>
        <w:rPr>
          <w:rFonts w:ascii="Times New Roman;serif" w:hAnsi="Times New Roman;serif"/>
          <w:b/>
          <w:color w:val="000000"/>
          <w:sz w:val="20"/>
        </w:rPr>
      </w:pPr>
      <w:r>
        <w:rPr>
          <w:rFonts w:ascii="Times New Roman;serif" w:hAnsi="Times New Roman;serif"/>
          <w:b/>
          <w:color w:val="000000"/>
          <w:sz w:val="20"/>
        </w:rPr>
        <w:t xml:space="preserve">(212) 804-3900 </w:t>
      </w:r>
    </w:p>
    <w:p>
      <w:pPr>
        <w:pStyle w:val="TextBody"/>
        <w:bidi w:val="0"/>
        <w:spacing w:lineRule="auto" w:line="264" w:before="0" w:after="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NOT APPLICABLE</w:t>
      </w:r>
    </w:p>
    <w:p>
      <w:pPr>
        <w:pStyle w:val="TextBody"/>
        <w:bidi w:val="0"/>
        <w:spacing w:lineRule="auto" w:line="288" w:before="0" w:after="0"/>
        <w:jc w:val="center"/>
        <w:rPr>
          <w:rFonts w:ascii="Times New Roman;serif" w:hAnsi="Times New Roman;serif"/>
          <w:b w:val="false"/>
          <w:color w:val="231F20"/>
          <w:sz w:val="20"/>
        </w:rPr>
      </w:pPr>
      <w:r>
        <w:rPr>
          <w:rFonts w:ascii="Times New Roman;serif" w:hAnsi="Times New Roman;serif"/>
          <w:b w:val="false"/>
          <w:color w:val="231F20"/>
          <w:sz w:val="20"/>
        </w:rPr>
        <w:t>(Former name or former address, if changed since last report.)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jc w:val="left"/>
        <w:rPr/>
      </w:pPr>
      <w:r>
        <w:rPr/>
      </w:r>
    </w:p>
    <w:p>
      <w:pPr>
        <w:pStyle w:val="TextBody"/>
        <w:bidi w:val="0"/>
        <w:spacing w:lineRule="auto" w:line="288" w:before="0" w:after="20"/>
        <w:jc w:val="left"/>
        <w:rPr/>
      </w:pPr>
      <w:r>
        <w:rPr>
          <w:color w:val="000000"/>
        </w:rPr>
        <w:t xml:space="preserve">☐ </w:t>
      </w:r>
      <w:r>
        <w:rPr>
          <w:rFonts w:ascii="Times New Roman;serif" w:hAnsi="Times New Roman;serif"/>
          <w:b w:val="false"/>
          <w:color w:val="000000"/>
          <w:sz w:val="20"/>
        </w:rPr>
        <w:t>Written communications pursuant to Rule 425 under the Securities Act (17 CFR 230.425)</w:t>
      </w:r>
    </w:p>
    <w:p>
      <w:pPr>
        <w:pStyle w:val="TextBody"/>
        <w:bidi w:val="0"/>
        <w:spacing w:lineRule="auto" w:line="288" w:before="0" w:after="20"/>
        <w:jc w:val="left"/>
        <w:rPr/>
      </w:pPr>
      <w:r>
        <w:rPr>
          <w:color w:val="000000"/>
        </w:rPr>
        <w:t xml:space="preserve">☐ </w:t>
      </w:r>
      <w:r>
        <w:rPr>
          <w:rFonts w:ascii="Times New Roman;serif" w:hAnsi="Times New Roman;serif"/>
          <w:b w:val="false"/>
          <w:color w:val="231F20"/>
          <w:sz w:val="20"/>
        </w:rPr>
        <w:t xml:space="preserve">Soliciting material pursuant to Rule 14a-12 under the Exchange Act (17 CFR 240.14a-12) </w:t>
      </w:r>
    </w:p>
    <w:p>
      <w:pPr>
        <w:pStyle w:val="TextBody"/>
        <w:bidi w:val="0"/>
        <w:spacing w:lineRule="auto" w:line="288" w:before="0" w:after="20"/>
        <w:jc w:val="left"/>
        <w:rPr/>
      </w:pPr>
      <w:r>
        <w:rPr>
          <w:color w:val="000000"/>
        </w:rPr>
        <w:t xml:space="preserve">☐ </w:t>
      </w:r>
      <w:r>
        <w:rPr>
          <w:rFonts w:ascii="Times New Roman;serif" w:hAnsi="Times New Roman;serif"/>
          <w:b w:val="false"/>
          <w:color w:val="231F20"/>
          <w:sz w:val="20"/>
        </w:rPr>
        <w:t xml:space="preserve">Pre-commencement communications pursuant to Rule 14d-2(b) under the Exchange Act (17 CFR 240.14d-2(b)) </w:t>
      </w:r>
    </w:p>
    <w:p>
      <w:pPr>
        <w:pStyle w:val="TextBody"/>
        <w:bidi w:val="0"/>
        <w:spacing w:lineRule="auto" w:line="288" w:before="0" w:after="20"/>
        <w:jc w:val="left"/>
        <w:rPr/>
      </w:pPr>
      <w:r>
        <w:rPr>
          <w:color w:val="000000"/>
        </w:rPr>
        <w:t>☐</w:t>
      </w:r>
      <w:r>
        <w:rPr>
          <w:color w:val="231F20"/>
        </w:rPr>
        <w:t xml:space="preserve"> </w:t>
      </w:r>
      <w:r>
        <w:rPr>
          <w:rFonts w:ascii="Times New Roman;serif" w:hAnsi="Times New Roman;serif"/>
          <w:b w:val="false"/>
          <w:color w:val="231F20"/>
          <w:sz w:val="20"/>
        </w:rPr>
        <w:t xml:space="preserve">Pre-commencement communications pursuant to Rule 13e-4(c) under the Exchange Act (17 CFR 240.13e-4(c))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Securities registered pursuant to Section 12(b) of the Act: </w:t>
      </w:r>
    </w:p>
    <w:tbl>
      <w:tblPr>
        <w:tblW w:w="8819" w:type="dxa"/>
        <w:jc w:val="center"/>
        <w:tblInd w:w="0" w:type="dxa"/>
        <w:tblLayout w:type="fixed"/>
        <w:tblCellMar>
          <w:top w:w="28" w:type="dxa"/>
          <w:left w:w="28" w:type="dxa"/>
          <w:bottom w:w="28" w:type="dxa"/>
          <w:right w:w="28" w:type="dxa"/>
        </w:tblCellMar>
      </w:tblPr>
      <w:tblGrid>
        <w:gridCol w:w="1266"/>
        <w:gridCol w:w="1108"/>
        <w:gridCol w:w="1121"/>
        <w:gridCol w:w="539"/>
        <w:gridCol w:w="539"/>
        <w:gridCol w:w="541"/>
        <w:gridCol w:w="1085"/>
        <w:gridCol w:w="1085"/>
        <w:gridCol w:w="1535"/>
      </w:tblGrid>
      <w:tr>
        <w:trPr/>
        <w:tc>
          <w:tcPr>
            <w:tcW w:w="1266"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6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70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3495"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par value $0.01 per share</w:t>
            </w:r>
          </w:p>
        </w:tc>
        <w:tc>
          <w:tcPr>
            <w:tcW w:w="161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MSCI</w:t>
            </w:r>
          </w:p>
        </w:tc>
        <w:tc>
          <w:tcPr>
            <w:tcW w:w="370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0" w:after="0"/>
        <w:jc w:val="right"/>
        <w:rPr/>
      </w:pPr>
      <w:r>
        <w:rPr>
          <w:rFonts w:ascii="Times New Roman;serif" w:hAnsi="Times New Roman;serif"/>
          <w:b w:val="false"/>
          <w:color w:val="231F20"/>
          <w:sz w:val="20"/>
        </w:rPr>
        <w:t xml:space="preserve">Emerging growth company </w:t>
      </w:r>
      <w:r>
        <w:rPr>
          <w:color w:val="000000"/>
        </w:rPr>
        <w:t>☐</w:t>
      </w:r>
      <w:r>
        <w:rPr>
          <w:color w:val="231F20"/>
        </w:rPr>
        <w:t xml:space="preserv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8" w:before="0" w:after="0"/>
        <w:jc w:val="right"/>
        <w:rPr>
          <w:color w:val="000000"/>
        </w:rPr>
      </w:pPr>
      <w:r>
        <w:rPr>
          <w:color w:val="000000"/>
        </w:rPr>
        <w:t>☐</w:t>
      </w:r>
    </w:p>
    <w:p>
      <w:pPr>
        <w:pStyle w:val="TextBody"/>
        <w:bidi w:val="0"/>
        <w:spacing w:before="0" w:after="0"/>
        <w:jc w:val="righ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Item 5.02. Departure of Directors or Certain Officers; Election of Directors; Appointment of Certain Officers; Compensatory Arrangements of Certain Officers.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On August 7, 2026, in connection with the previously disclosed departure of the Global Controller and Chief Accounting Officer of MSCI Inc. (the “Company”), as disclosed in the Company’s Current Report on Form 8-K filed with the U.S. Securities and Exchange Commission (the “SEC”) on March 31, 2026, the Board of Directors of the Company appointed Andrew C. Wiechmann, the Company’s Chief Financial Officer, to serve as the Company’s principal accounting officer on an interim basis, effective August 10, 2026, until a successor is designated. Mr. Wiechmann will continue to serve as the Company’s Chief Financial Officer and principal financial officer.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Also effective August 10, 2026, Kristine Johnson was appointed to serve as the Company’s interim Global Controller, reporting to Mr. Wiechmann. Ms. Johnson has served as the Company’s Commercial Controller and Head of Revenue Operations since April 2025 and previously served as the Company’s Head of External Reporting from August 2022 to April 2025.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Mr. Wiechmann’s biographical information is set forth in the Company’s Annual Report on Form 10-K filed with the SEC on February 6, 2026, and such information is incorporated herein by reference. There are no family relationships between Mr. Wiechmann and any director or executive officer of the Company that require disclosure under Item 401(d) of Regulation S-K, and there are no transactions involving Mr. Wiechmann that require disclosure under Item 404(a) of Regulation S-K. No new compensatory arrangements will be entered into with Mr. Wiechmann in connection with his assuming the responsibilities as the Company’s interim principal accounting officer.</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lineRule="auto" w:line="268" w:before="0" w:after="0"/>
        <w:ind w:left="0" w:right="0" w:firstLine="46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pPr>
      <w:r>
        <w:rPr/>
      </w:r>
    </w:p>
    <w:tbl>
      <w:tblPr>
        <w:tblW w:w="6569" w:type="dxa"/>
        <w:jc w:val="center"/>
        <w:tblInd w:w="0" w:type="dxa"/>
        <w:tblLayout w:type="fixed"/>
        <w:tblCellMar>
          <w:top w:w="28" w:type="dxa"/>
          <w:left w:w="28" w:type="dxa"/>
          <w:bottom w:w="28" w:type="dxa"/>
          <w:right w:w="28" w:type="dxa"/>
        </w:tblCellMar>
      </w:tblPr>
      <w:tblGrid>
        <w:gridCol w:w="667"/>
        <w:gridCol w:w="587"/>
        <w:gridCol w:w="590"/>
        <w:gridCol w:w="233"/>
        <w:gridCol w:w="197"/>
        <w:gridCol w:w="200"/>
        <w:gridCol w:w="1199"/>
        <w:gridCol w:w="1199"/>
        <w:gridCol w:w="1697"/>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697"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5" w:type="dxa"/>
            <w:gridSpan w:val="6"/>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MSCI Inc.</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7, 2026</w:t>
            </w:r>
          </w:p>
        </w:tc>
        <w:tc>
          <w:tcPr>
            <w:tcW w:w="63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095"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/s/ Henry A. Fernandez</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40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Henry A. Fernandez</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4095"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Chairman, Chief Executive Officer and President</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640</Words>
  <Characters>3554</Characters>
  <CharactersWithSpaces>4150</CharactersWithSpaces>
  <Paragraphs>55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