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Matlock Robin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299" w:lineRule="auto"/>
        <w:rPr>
          <w:sz w:val="20"/>
          <w:szCs w:val="20"/>
          <w:color w:val="auto"/>
        </w:rPr>
      </w:pPr>
      <w:r>
        <w:rPr>
          <w:rFonts w:ascii="Times New Roman" w:cs="Times New Roman" w:eastAsia="Times New Roman" w:hAnsi="Times New Roman"/>
          <w:sz w:val="17"/>
          <w:szCs w:val="17"/>
          <w:color w:val="0000FF"/>
        </w:rPr>
        <w:t>7 WORLD TRADE CENTER, 250 GREENWICH ST.</w:t>
      </w:r>
    </w:p>
    <w:p>
      <w:pPr>
        <w:spacing w:after="0" w:line="274"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MSCI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MSCI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80" w:type="dxa"/>
            <w:vAlign w:val="bottom"/>
            <w:tcBorders>
              <w:bottom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6</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2,031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by the Reporting Person in connection with MSCI Inc.'s payment of a dividend. Of the shares reported, 1 share is attributable to the Reporting Person's unvested RSUs and remains subject to the same vesting conditions as the underlying RSUs. Pursuant to the MSCI Inc. Non-Employee Directors Deferral Plan, the Reporting Person has elected to defer receipt of the shares until the earlier of June 1, 2033 and the 60th day after such Reporting Person's "separation from service" as a director.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Cecilia Aza, attorney-in-</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1215" TargetMode="External"/><Relationship Id="rId14" Type="http://schemas.openxmlformats.org/officeDocument/2006/relationships/hyperlink" Target="http://www.sec.gov/cgi-bin/browse-edgar?action=getcompany&amp;CIK=0001408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2026-06-02T15:11:42Z</dcterms:created>
  <dcterms:modified xsi:type="dcterms:W3CDTF">2026-06-02T15:11:42Z</dcterms:modified>
</cp:coreProperties>
</file>