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MSCI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62"/>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ind w:left="1360"/>
              <w:spacing w:after="0"/>
              <w:rPr>
                <w:sz w:val="20"/>
                <w:szCs w:val="20"/>
                <w:color w:val="auto"/>
              </w:rPr>
            </w:pPr>
            <w:r>
              <w:rPr>
                <w:rFonts w:ascii="Arial" w:cs="Arial" w:eastAsia="Arial" w:hAnsi="Arial"/>
                <w:sz w:val="18"/>
                <w:szCs w:val="18"/>
                <w:b w:val="1"/>
                <w:bCs w:val="1"/>
                <w:color w:val="auto"/>
              </w:rPr>
              <w:t>001-33812</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13-4038723</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ind w:left="132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 World Trade Center, 250 Greenwich St., 49th Floor, New York, NY 10007</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804-3900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September 18, 2014, MSCI Inc. (the “Company”) entered into a $300.0 million accelerated share repurchase agreement (the “ASR Agreement”) with Goldman Sachs &amp; Co. (“GS&amp;Co.”). Under the ASR Agreement, on September 19, 2014, the Company paid GS&amp;Co. $300.0 million in cash and received approximately 4.5 million shares of the Company’s common stock and may also receive from GS&amp;Co. additional shares at or prior to maturity of the ASR Agreement. The total number of shares to be repurchased will be based primarily on an arithmetic average of the volume-weighted average prices of the Company’s common stock on each trading day during the repurchase period. This average price will be capped such that only under limited circumstances will the Company be required to deliver shares or pay cash to GS&amp;Co. at settlement. The Company anticipates that all repurchases under the ASR Agreement will be completed no later than the final date of the repurchase period in May 2015, although GS&amp;Co. has the right to accelerate settlement of the ASR Agreement under certain circumstances.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payment under the ASR Agreement was funded with cash on hand. The repurchased shares will be held in treasury.</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ASR Agreement was entered into under the $850.0 million share repurchase program approved by the board of directors of the Company (the “Board of Directors”) on September 17, 2014, which increased the $300.0 million share repurchase authority approved by the Board of Directors on February 4, 2014. Share repurchases made pursuant to the remaining authority may take place through December 31, 2016 in the open market or in privately negotiated transactions from time to time based on market and other conditions. This authorization may be modified, suspended, terminated or extended by the Board of Directors at any time without prior notice.</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GS&amp;Co. and certain of its affiliates have engaged, and may in the future engage, in financial advisory, investment banking and other services for the Company and its affiliates.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 Item 1.01 is incorporated herein by reference.</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MSCI Inc.</w:t>
      </w:r>
    </w:p>
    <w:p>
      <w:pPr>
        <w:spacing w:after="0" w:line="225" w:lineRule="exact"/>
        <w:rPr>
          <w:sz w:val="20"/>
          <w:szCs w:val="20"/>
          <w:color w:val="auto"/>
        </w:rPr>
      </w:pPr>
    </w:p>
    <w:tbl>
      <w:tblPr>
        <w:tblLayout w:type="fixed"/>
        <w:tblInd w:w="71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A. Fernandez</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Henry A. Fernandez</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w w:val="93"/>
              </w:rPr>
              <w:t>Chief Executive Officer, President and Chairman</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19, 2014</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2019-12-07T16:24:58Z</dcterms:created>
  <dcterms:modified xsi:type="dcterms:W3CDTF">2019-12-07T16:24:58Z</dcterms:modified>
</cp:coreProperties>
</file>